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footer7.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footer8.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footer9.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footer10.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1.xml" ContentType="application/vnd.openxmlformats-officedocument.wordprocessingml.footer+xml"/>
  <Override PartName="/word/header21.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22.xml" ContentType="application/vnd.openxmlformats-officedocument.wordprocessingml.header+xml"/>
  <Override PartName="/word/footer14.xml" ContentType="application/vnd.openxmlformats-officedocument.wordprocessingml.footer+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charts/chart2.xml" ContentType="application/vnd.openxmlformats-officedocument.drawingml.chart+xml"/>
  <Override PartName="/word/charts/style2.xml" ContentType="application/vnd.ms-office.chartstyle+xml"/>
  <Override PartName="/word/charts/colors2.xml" ContentType="application/vnd.ms-office.chartcolorstyle+xml"/>
  <Override PartName="/word/header23.xml" ContentType="application/vnd.openxmlformats-officedocument.wordprocessingml.header+xml"/>
  <Override PartName="/word/header24.xml" ContentType="application/vnd.openxmlformats-officedocument.wordprocessingml.header+xml"/>
  <Override PartName="/word/header25.xml" ContentType="application/vnd.openxmlformats-officedocument.wordprocessingml.header+xml"/>
  <Override PartName="/word/header26.xml" ContentType="application/vnd.openxmlformats-officedocument.wordprocessingml.header+xml"/>
  <Override PartName="/word/header27.xml" ContentType="application/vnd.openxmlformats-officedocument.wordprocessingml.header+xml"/>
  <Override PartName="/word/header28.xml" ContentType="application/vnd.openxmlformats-officedocument.wordprocessingml.header+xml"/>
  <Override PartName="/word/header29.xml" ContentType="application/vnd.openxmlformats-officedocument.wordprocessingml.header+xml"/>
  <Override PartName="/word/header30.xml" ContentType="application/vnd.openxmlformats-officedocument.wordprocessingml.header+xml"/>
  <Override PartName="/word/header31.xml" ContentType="application/vnd.openxmlformats-officedocument.wordprocessingml.header+xml"/>
  <Override PartName="/word/header32.xml" ContentType="application/vnd.openxmlformats-officedocument.wordprocessingml.header+xml"/>
  <Override PartName="/word/header33.xml" ContentType="application/vnd.openxmlformats-officedocument.wordprocessingml.header+xml"/>
  <Override PartName="/word/header34.xml" ContentType="application/vnd.openxmlformats-officedocument.wordprocessingml.header+xml"/>
  <Override PartName="/word/header35.xml" ContentType="application/vnd.openxmlformats-officedocument.wordprocessingml.header+xml"/>
  <Override PartName="/word/header36.xml" ContentType="application/vnd.openxmlformats-officedocument.wordprocessingml.header+xml"/>
  <Override PartName="/word/header37.xml" ContentType="application/vnd.openxmlformats-officedocument.wordprocessingml.header+xml"/>
  <Override PartName="/word/header38.xml" ContentType="application/vnd.openxmlformats-officedocument.wordprocessingml.header+xml"/>
  <Override PartName="/word/header39.xml" ContentType="application/vnd.openxmlformats-officedocument.wordprocessingml.header+xml"/>
  <Override PartName="/word/header40.xml" ContentType="application/vnd.openxmlformats-officedocument.wordprocessingml.header+xml"/>
  <Override PartName="/word/header41.xml" ContentType="application/vnd.openxmlformats-officedocument.wordprocessingml.header+xml"/>
  <Override PartName="/word/header42.xml" ContentType="application/vnd.openxmlformats-officedocument.wordprocessingml.header+xml"/>
  <Override PartName="/word/header43.xml" ContentType="application/vnd.openxmlformats-officedocument.wordprocessingml.header+xml"/>
  <Override PartName="/word/header44.xml" ContentType="application/vnd.openxmlformats-officedocument.wordprocessingml.header+xml"/>
  <Override PartName="/word/header45.xml" ContentType="application/vnd.openxmlformats-officedocument.wordprocessingml.header+xml"/>
  <Override PartName="/word/header46.xml" ContentType="application/vnd.openxmlformats-officedocument.wordprocessingml.header+xml"/>
  <Override PartName="/word/header47.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0B9736" w14:textId="57FA0E5B" w:rsidR="007B5712" w:rsidRPr="004A3983" w:rsidRDefault="002E5535" w:rsidP="0086092C">
      <w:pPr>
        <w:tabs>
          <w:tab w:val="center" w:pos="5103"/>
        </w:tabs>
        <w:spacing w:after="160"/>
        <w:ind w:right="260"/>
        <w:rPr>
          <w:sz w:val="48"/>
        </w:rPr>
      </w:pPr>
      <w:sdt>
        <w:sdtPr>
          <w:rPr>
            <w:sz w:val="48"/>
          </w:rPr>
          <w:id w:val="-743948725"/>
          <w:docPartObj>
            <w:docPartGallery w:val="Cover Pages"/>
            <w:docPartUnique/>
          </w:docPartObj>
        </w:sdtPr>
        <w:sdtEndPr/>
        <w:sdtContent>
          <w:r w:rsidR="007B5712" w:rsidRPr="004A3983">
            <w:rPr>
              <w:noProof/>
              <w:sz w:val="48"/>
              <w:lang w:eastAsia="en-AU"/>
            </w:rPr>
            <mc:AlternateContent>
              <mc:Choice Requires="wpg">
                <w:drawing>
                  <wp:anchor distT="0" distB="0" distL="114300" distR="114300" simplePos="0" relativeHeight="251658243" behindDoc="0" locked="1" layoutInCell="1" allowOverlap="0" wp14:anchorId="0EDA6B16" wp14:editId="6B92447B">
                    <wp:simplePos x="0" y="0"/>
                    <wp:positionH relativeFrom="margin">
                      <wp:posOffset>-19050</wp:posOffset>
                    </wp:positionH>
                    <wp:positionV relativeFrom="page">
                      <wp:posOffset>8239125</wp:posOffset>
                    </wp:positionV>
                    <wp:extent cx="3875405" cy="1943100"/>
                    <wp:effectExtent l="0" t="0" r="0" b="0"/>
                    <wp:wrapNone/>
                    <wp:docPr id="3" name="Group 1"/>
                    <wp:cNvGraphicFramePr/>
                    <a:graphic xmlns:a="http://schemas.openxmlformats.org/drawingml/2006/main">
                      <a:graphicData uri="http://schemas.microsoft.com/office/word/2010/wordprocessingGroup">
                        <wpg:wgp>
                          <wpg:cNvGrpSpPr/>
                          <wpg:grpSpPr bwMode="auto">
                            <a:xfrm>
                              <a:off x="0" y="0"/>
                              <a:ext cx="3875405" cy="1943100"/>
                              <a:chOff x="0" y="0"/>
                              <a:chExt cx="9144000" cy="4586288"/>
                            </a:xfrm>
                            <a:solidFill>
                              <a:schemeClr val="bg1"/>
                            </a:solidFill>
                          </wpg:grpSpPr>
                          <wps:wsp>
                            <wps:cNvPr id="4" name="Freeform 1"/>
                            <wps:cNvSpPr>
                              <a:spLocks noChangeArrowheads="1"/>
                            </wps:cNvSpPr>
                            <wps:spPr bwMode="auto">
                              <a:xfrm>
                                <a:off x="0" y="2817813"/>
                                <a:ext cx="9144000" cy="1768475"/>
                              </a:xfrm>
                              <a:custGeom>
                                <a:avLst/>
                                <a:gdLst>
                                  <a:gd name="T0" fmla="*/ 899245 w 25401"/>
                                  <a:gd name="T1" fmla="*/ 300864 h 4914"/>
                                  <a:gd name="T2" fmla="*/ 755250 w 25401"/>
                                  <a:gd name="T3" fmla="*/ 635197 h 4914"/>
                                  <a:gd name="T4" fmla="*/ 883405 w 25401"/>
                                  <a:gd name="T5" fmla="*/ 355207 h 4914"/>
                                  <a:gd name="T6" fmla="*/ 2989322 w 25401"/>
                                  <a:gd name="T7" fmla="*/ 283230 h 4914"/>
                                  <a:gd name="T8" fmla="*/ 2850008 w 25401"/>
                                  <a:gd name="T9" fmla="*/ 296185 h 4914"/>
                                  <a:gd name="T10" fmla="*/ 3282351 w 25401"/>
                                  <a:gd name="T11" fmla="*/ 22313 h 4914"/>
                                  <a:gd name="T12" fmla="*/ 3610298 w 25401"/>
                                  <a:gd name="T13" fmla="*/ 236804 h 4914"/>
                                  <a:gd name="T14" fmla="*/ 3909446 w 25401"/>
                                  <a:gd name="T15" fmla="*/ 561781 h 4914"/>
                                  <a:gd name="T16" fmla="*/ 3845369 w 25401"/>
                                  <a:gd name="T17" fmla="*/ 520034 h 4914"/>
                                  <a:gd name="T18" fmla="*/ 4152797 w 25401"/>
                                  <a:gd name="T19" fmla="*/ 276752 h 4914"/>
                                  <a:gd name="T20" fmla="*/ 4493703 w 25401"/>
                                  <a:gd name="T21" fmla="*/ 686661 h 4914"/>
                                  <a:gd name="T22" fmla="*/ 4429626 w 25401"/>
                                  <a:gd name="T23" fmla="*/ 414588 h 4914"/>
                                  <a:gd name="T24" fmla="*/ 4376708 w 25401"/>
                                  <a:gd name="T25" fmla="*/ 347289 h 4914"/>
                                  <a:gd name="T26" fmla="*/ 4830650 w 25401"/>
                                  <a:gd name="T27" fmla="*/ 516795 h 4914"/>
                                  <a:gd name="T28" fmla="*/ 5024682 w 25401"/>
                                  <a:gd name="T29" fmla="*/ 633758 h 4914"/>
                                  <a:gd name="T30" fmla="*/ 5152477 w 25401"/>
                                  <a:gd name="T31" fmla="*/ 326416 h 4914"/>
                                  <a:gd name="T32" fmla="*/ 5680576 w 25401"/>
                                  <a:gd name="T33" fmla="*/ 380758 h 4914"/>
                                  <a:gd name="T34" fmla="*/ 6048482 w 25401"/>
                                  <a:gd name="T35" fmla="*/ 385437 h 4914"/>
                                  <a:gd name="T36" fmla="*/ 5515703 w 25401"/>
                                  <a:gd name="T37" fmla="*/ 249760 h 4914"/>
                                  <a:gd name="T38" fmla="*/ 6163677 w 25401"/>
                                  <a:gd name="T39" fmla="*/ 465691 h 4914"/>
                                  <a:gd name="T40" fmla="*/ 6395868 w 25401"/>
                                  <a:gd name="T41" fmla="*/ 636637 h 4914"/>
                                  <a:gd name="T42" fmla="*/ 6458146 w 25401"/>
                                  <a:gd name="T43" fmla="*/ 305542 h 4914"/>
                                  <a:gd name="T44" fmla="*/ 6727055 w 25401"/>
                                  <a:gd name="T45" fmla="*/ 689900 h 4914"/>
                                  <a:gd name="T46" fmla="*/ 7389789 w 25401"/>
                                  <a:gd name="T47" fmla="*/ 60821 h 4914"/>
                                  <a:gd name="T48" fmla="*/ 41398 w 25401"/>
                                  <a:gd name="T49" fmla="*/ 1588892 h 4914"/>
                                  <a:gd name="T50" fmla="*/ 102596 w 25401"/>
                                  <a:gd name="T51" fmla="*/ 1526632 h 4914"/>
                                  <a:gd name="T52" fmla="*/ 286549 w 25401"/>
                                  <a:gd name="T53" fmla="*/ 1064180 h 4914"/>
                                  <a:gd name="T54" fmla="*/ 700892 w 25401"/>
                                  <a:gd name="T55" fmla="*/ 1392035 h 4914"/>
                                  <a:gd name="T56" fmla="*/ 736171 w 25401"/>
                                  <a:gd name="T57" fmla="*/ 1508998 h 4914"/>
                                  <a:gd name="T58" fmla="*/ 1000041 w 25401"/>
                                  <a:gd name="T59" fmla="*/ 1672026 h 4914"/>
                                  <a:gd name="T60" fmla="*/ 1444983 w 25401"/>
                                  <a:gd name="T61" fmla="*/ 1291267 h 4914"/>
                                  <a:gd name="T62" fmla="*/ 1565218 w 25401"/>
                                  <a:gd name="T63" fmla="*/ 1430543 h 4914"/>
                                  <a:gd name="T64" fmla="*/ 2137956 w 25401"/>
                                  <a:gd name="T65" fmla="*/ 1363244 h 4914"/>
                                  <a:gd name="T66" fmla="*/ 1995761 w 25401"/>
                                  <a:gd name="T67" fmla="*/ 1697578 h 4914"/>
                                  <a:gd name="T68" fmla="*/ 2123556 w 25401"/>
                                  <a:gd name="T69" fmla="*/ 1417587 h 4914"/>
                                  <a:gd name="T70" fmla="*/ 2693414 w 25401"/>
                                  <a:gd name="T71" fmla="*/ 1303863 h 4914"/>
                                  <a:gd name="T72" fmla="*/ 2899686 w 25401"/>
                                  <a:gd name="T73" fmla="*/ 1625601 h 4914"/>
                                  <a:gd name="T74" fmla="*/ 2968443 w 25401"/>
                                  <a:gd name="T75" fmla="*/ 1595370 h 4914"/>
                                  <a:gd name="T76" fmla="*/ 3050160 w 25401"/>
                                  <a:gd name="T77" fmla="*/ 1299185 h 4914"/>
                                  <a:gd name="T78" fmla="*/ 3560620 w 25401"/>
                                  <a:gd name="T79" fmla="*/ 1688221 h 4914"/>
                                  <a:gd name="T80" fmla="*/ 4450505 w 25401"/>
                                  <a:gd name="T81" fmla="*/ 1672026 h 4914"/>
                                  <a:gd name="T82" fmla="*/ 4450505 w 25401"/>
                                  <a:gd name="T83" fmla="*/ 1153791 h 4914"/>
                                  <a:gd name="T84" fmla="*/ 5019642 w 25401"/>
                                  <a:gd name="T85" fmla="*/ 1327976 h 4914"/>
                                  <a:gd name="T86" fmla="*/ 4931806 w 25401"/>
                                  <a:gd name="T87" fmla="*/ 1763437 h 4914"/>
                                  <a:gd name="T88" fmla="*/ 5022882 w 25401"/>
                                  <a:gd name="T89" fmla="*/ 1429103 h 4914"/>
                                  <a:gd name="T90" fmla="*/ 5314111 w 25401"/>
                                  <a:gd name="T91" fmla="*/ 1528072 h 4914"/>
                                  <a:gd name="T92" fmla="*/ 5627658 w 25401"/>
                                  <a:gd name="T93" fmla="*/ 1417587 h 4914"/>
                                  <a:gd name="T94" fmla="*/ 5795772 w 25401"/>
                                  <a:gd name="T95" fmla="*/ 1294506 h 4914"/>
                                  <a:gd name="T96" fmla="*/ 6119039 w 25401"/>
                                  <a:gd name="T97" fmla="*/ 1528072 h 4914"/>
                                  <a:gd name="T98" fmla="*/ 6440866 w 25401"/>
                                  <a:gd name="T99" fmla="*/ 1406431 h 4914"/>
                                  <a:gd name="T100" fmla="*/ 6586301 w 25401"/>
                                  <a:gd name="T101" fmla="*/ 1291267 h 4914"/>
                                  <a:gd name="T102" fmla="*/ 6959246 w 25401"/>
                                  <a:gd name="T103" fmla="*/ 1081814 h 4914"/>
                                  <a:gd name="T104" fmla="*/ 7232835 w 25401"/>
                                  <a:gd name="T105" fmla="*/ 1475169 h 4914"/>
                                  <a:gd name="T106" fmla="*/ 7127359 w 25401"/>
                                  <a:gd name="T107" fmla="*/ 1327976 h 4914"/>
                                  <a:gd name="T108" fmla="*/ 7109720 w 25401"/>
                                  <a:gd name="T109" fmla="*/ 1662669 h 4914"/>
                                  <a:gd name="T110" fmla="*/ 7613700 w 25401"/>
                                  <a:gd name="T111" fmla="*/ 1452856 h 4914"/>
                                  <a:gd name="T112" fmla="*/ 7525864 w 25401"/>
                                  <a:gd name="T113" fmla="*/ 1358566 h 4914"/>
                                  <a:gd name="T114" fmla="*/ 8048923 w 25401"/>
                                  <a:gd name="T115" fmla="*/ 1081814 h 4914"/>
                                  <a:gd name="T116" fmla="*/ 8135680 w 25401"/>
                                  <a:gd name="T117" fmla="*/ 1502520 h 4914"/>
                                  <a:gd name="T118" fmla="*/ 8236476 w 25401"/>
                                  <a:gd name="T119" fmla="*/ 1429103 h 4914"/>
                                  <a:gd name="T120" fmla="*/ 8394869 w 25401"/>
                                  <a:gd name="T121" fmla="*/ 1697578 h 4914"/>
                                  <a:gd name="T122" fmla="*/ 8838012 w 25401"/>
                                  <a:gd name="T123" fmla="*/ 1347410 h 4914"/>
                                  <a:gd name="T124" fmla="*/ 9073083 w 25401"/>
                                  <a:gd name="T125" fmla="*/ 1753720 h 4914"/>
                                  <a:gd name="T126" fmla="*/ 0 60000 65536"/>
                                  <a:gd name="T127" fmla="*/ 0 60000 65536"/>
                                  <a:gd name="T128" fmla="*/ 0 60000 65536"/>
                                  <a:gd name="T129" fmla="*/ 0 60000 65536"/>
                                  <a:gd name="T130" fmla="*/ 0 60000 65536"/>
                                  <a:gd name="T131" fmla="*/ 0 60000 65536"/>
                                  <a:gd name="T132" fmla="*/ 0 60000 65536"/>
                                  <a:gd name="T133" fmla="*/ 0 60000 65536"/>
                                  <a:gd name="T134" fmla="*/ 0 60000 65536"/>
                                  <a:gd name="T135" fmla="*/ 0 60000 65536"/>
                                  <a:gd name="T136" fmla="*/ 0 60000 65536"/>
                                  <a:gd name="T137" fmla="*/ 0 60000 65536"/>
                                  <a:gd name="T138" fmla="*/ 0 60000 65536"/>
                                  <a:gd name="T139" fmla="*/ 0 60000 65536"/>
                                  <a:gd name="T140" fmla="*/ 0 60000 65536"/>
                                  <a:gd name="T141" fmla="*/ 0 60000 65536"/>
                                  <a:gd name="T142" fmla="*/ 0 60000 65536"/>
                                  <a:gd name="T143" fmla="*/ 0 60000 65536"/>
                                  <a:gd name="T144" fmla="*/ 0 60000 65536"/>
                                  <a:gd name="T145" fmla="*/ 0 60000 65536"/>
                                  <a:gd name="T146" fmla="*/ 0 60000 65536"/>
                                  <a:gd name="T147" fmla="*/ 0 60000 65536"/>
                                  <a:gd name="T148" fmla="*/ 0 60000 65536"/>
                                  <a:gd name="T149" fmla="*/ 0 60000 65536"/>
                                  <a:gd name="T150" fmla="*/ 0 60000 65536"/>
                                  <a:gd name="T151" fmla="*/ 0 60000 65536"/>
                                  <a:gd name="T152" fmla="*/ 0 60000 65536"/>
                                  <a:gd name="T153" fmla="*/ 0 60000 65536"/>
                                  <a:gd name="T154" fmla="*/ 0 60000 65536"/>
                                  <a:gd name="T155" fmla="*/ 0 60000 65536"/>
                                  <a:gd name="T156" fmla="*/ 0 60000 65536"/>
                                  <a:gd name="T157" fmla="*/ 0 60000 65536"/>
                                  <a:gd name="T158" fmla="*/ 0 60000 65536"/>
                                  <a:gd name="T159" fmla="*/ 0 60000 65536"/>
                                  <a:gd name="T160" fmla="*/ 0 60000 65536"/>
                                  <a:gd name="T161" fmla="*/ 0 60000 65536"/>
                                  <a:gd name="T162" fmla="*/ 0 60000 65536"/>
                                  <a:gd name="T163" fmla="*/ 0 60000 65536"/>
                                  <a:gd name="T164" fmla="*/ 0 60000 65536"/>
                                  <a:gd name="T165" fmla="*/ 0 60000 65536"/>
                                  <a:gd name="T166" fmla="*/ 0 60000 65536"/>
                                  <a:gd name="T167" fmla="*/ 0 60000 65536"/>
                                  <a:gd name="T168" fmla="*/ 0 60000 65536"/>
                                  <a:gd name="T169" fmla="*/ 0 60000 65536"/>
                                  <a:gd name="T170" fmla="*/ 0 60000 65536"/>
                                  <a:gd name="T171" fmla="*/ 0 60000 65536"/>
                                  <a:gd name="T172" fmla="*/ 0 60000 65536"/>
                                  <a:gd name="T173" fmla="*/ 0 60000 65536"/>
                                  <a:gd name="T174" fmla="*/ 0 60000 65536"/>
                                  <a:gd name="T175" fmla="*/ 0 60000 65536"/>
                                  <a:gd name="T176" fmla="*/ 0 60000 65536"/>
                                  <a:gd name="T177" fmla="*/ 0 60000 65536"/>
                                  <a:gd name="T178" fmla="*/ 0 60000 65536"/>
                                  <a:gd name="T179" fmla="*/ 0 60000 65536"/>
                                  <a:gd name="T180" fmla="*/ 0 60000 65536"/>
                                  <a:gd name="T181" fmla="*/ 0 60000 65536"/>
                                  <a:gd name="T182" fmla="*/ 0 60000 65536"/>
                                  <a:gd name="T183" fmla="*/ 0 60000 65536"/>
                                  <a:gd name="T184" fmla="*/ 0 60000 65536"/>
                                  <a:gd name="T185" fmla="*/ 0 60000 65536"/>
                                  <a:gd name="T186" fmla="*/ 0 60000 65536"/>
                                  <a:gd name="T187" fmla="*/ 0 60000 65536"/>
                                  <a:gd name="T188" fmla="*/ 0 60000 65536"/>
                                </a:gdLst>
                                <a:ahLst/>
                                <a:cxnLst>
                                  <a:cxn ang="T126">
                                    <a:pos x="T0" y="T1"/>
                                  </a:cxn>
                                  <a:cxn ang="T127">
                                    <a:pos x="T2" y="T3"/>
                                  </a:cxn>
                                  <a:cxn ang="T128">
                                    <a:pos x="T4" y="T5"/>
                                  </a:cxn>
                                  <a:cxn ang="T129">
                                    <a:pos x="T6" y="T7"/>
                                  </a:cxn>
                                  <a:cxn ang="T130">
                                    <a:pos x="T8" y="T9"/>
                                  </a:cxn>
                                  <a:cxn ang="T131">
                                    <a:pos x="T10" y="T11"/>
                                  </a:cxn>
                                  <a:cxn ang="T132">
                                    <a:pos x="T12" y="T13"/>
                                  </a:cxn>
                                  <a:cxn ang="T133">
                                    <a:pos x="T14" y="T15"/>
                                  </a:cxn>
                                  <a:cxn ang="T134">
                                    <a:pos x="T16" y="T17"/>
                                  </a:cxn>
                                  <a:cxn ang="T135">
                                    <a:pos x="T18" y="T19"/>
                                  </a:cxn>
                                  <a:cxn ang="T136">
                                    <a:pos x="T20" y="T21"/>
                                  </a:cxn>
                                  <a:cxn ang="T137">
                                    <a:pos x="T22" y="T23"/>
                                  </a:cxn>
                                  <a:cxn ang="T138">
                                    <a:pos x="T24" y="T25"/>
                                  </a:cxn>
                                  <a:cxn ang="T139">
                                    <a:pos x="T26" y="T27"/>
                                  </a:cxn>
                                  <a:cxn ang="T140">
                                    <a:pos x="T28" y="T29"/>
                                  </a:cxn>
                                  <a:cxn ang="T141">
                                    <a:pos x="T30" y="T31"/>
                                  </a:cxn>
                                  <a:cxn ang="T142">
                                    <a:pos x="T32" y="T33"/>
                                  </a:cxn>
                                  <a:cxn ang="T143">
                                    <a:pos x="T34" y="T35"/>
                                  </a:cxn>
                                  <a:cxn ang="T144">
                                    <a:pos x="T36" y="T37"/>
                                  </a:cxn>
                                  <a:cxn ang="T145">
                                    <a:pos x="T38" y="T39"/>
                                  </a:cxn>
                                  <a:cxn ang="T146">
                                    <a:pos x="T40" y="T41"/>
                                  </a:cxn>
                                  <a:cxn ang="T147">
                                    <a:pos x="T42" y="T43"/>
                                  </a:cxn>
                                  <a:cxn ang="T148">
                                    <a:pos x="T44" y="T45"/>
                                  </a:cxn>
                                  <a:cxn ang="T149">
                                    <a:pos x="T46" y="T47"/>
                                  </a:cxn>
                                  <a:cxn ang="T150">
                                    <a:pos x="T48" y="T49"/>
                                  </a:cxn>
                                  <a:cxn ang="T151">
                                    <a:pos x="T50" y="T51"/>
                                  </a:cxn>
                                  <a:cxn ang="T152">
                                    <a:pos x="T52" y="T53"/>
                                  </a:cxn>
                                  <a:cxn ang="T153">
                                    <a:pos x="T54" y="T55"/>
                                  </a:cxn>
                                  <a:cxn ang="T154">
                                    <a:pos x="T56" y="T57"/>
                                  </a:cxn>
                                  <a:cxn ang="T155">
                                    <a:pos x="T58" y="T59"/>
                                  </a:cxn>
                                  <a:cxn ang="T156">
                                    <a:pos x="T60" y="T61"/>
                                  </a:cxn>
                                  <a:cxn ang="T157">
                                    <a:pos x="T62" y="T63"/>
                                  </a:cxn>
                                  <a:cxn ang="T158">
                                    <a:pos x="T64" y="T65"/>
                                  </a:cxn>
                                  <a:cxn ang="T159">
                                    <a:pos x="T66" y="T67"/>
                                  </a:cxn>
                                  <a:cxn ang="T160">
                                    <a:pos x="T68" y="T69"/>
                                  </a:cxn>
                                  <a:cxn ang="T161">
                                    <a:pos x="T70" y="T71"/>
                                  </a:cxn>
                                  <a:cxn ang="T162">
                                    <a:pos x="T72" y="T73"/>
                                  </a:cxn>
                                  <a:cxn ang="T163">
                                    <a:pos x="T74" y="T75"/>
                                  </a:cxn>
                                  <a:cxn ang="T164">
                                    <a:pos x="T76" y="T77"/>
                                  </a:cxn>
                                  <a:cxn ang="T165">
                                    <a:pos x="T78" y="T79"/>
                                  </a:cxn>
                                  <a:cxn ang="T166">
                                    <a:pos x="T80" y="T81"/>
                                  </a:cxn>
                                  <a:cxn ang="T167">
                                    <a:pos x="T82" y="T83"/>
                                  </a:cxn>
                                  <a:cxn ang="T168">
                                    <a:pos x="T84" y="T85"/>
                                  </a:cxn>
                                  <a:cxn ang="T169">
                                    <a:pos x="T86" y="T87"/>
                                  </a:cxn>
                                  <a:cxn ang="T170">
                                    <a:pos x="T88" y="T89"/>
                                  </a:cxn>
                                  <a:cxn ang="T171">
                                    <a:pos x="T90" y="T91"/>
                                  </a:cxn>
                                  <a:cxn ang="T172">
                                    <a:pos x="T92" y="T93"/>
                                  </a:cxn>
                                  <a:cxn ang="T173">
                                    <a:pos x="T94" y="T95"/>
                                  </a:cxn>
                                  <a:cxn ang="T174">
                                    <a:pos x="T96" y="T97"/>
                                  </a:cxn>
                                  <a:cxn ang="T175">
                                    <a:pos x="T98" y="T99"/>
                                  </a:cxn>
                                  <a:cxn ang="T176">
                                    <a:pos x="T100" y="T101"/>
                                  </a:cxn>
                                  <a:cxn ang="T177">
                                    <a:pos x="T102" y="T103"/>
                                  </a:cxn>
                                  <a:cxn ang="T178">
                                    <a:pos x="T104" y="T105"/>
                                  </a:cxn>
                                  <a:cxn ang="T179">
                                    <a:pos x="T106" y="T107"/>
                                  </a:cxn>
                                  <a:cxn ang="T180">
                                    <a:pos x="T108" y="T109"/>
                                  </a:cxn>
                                  <a:cxn ang="T181">
                                    <a:pos x="T110" y="T111"/>
                                  </a:cxn>
                                  <a:cxn ang="T182">
                                    <a:pos x="T112" y="T113"/>
                                  </a:cxn>
                                  <a:cxn ang="T183">
                                    <a:pos x="T114" y="T115"/>
                                  </a:cxn>
                                  <a:cxn ang="T184">
                                    <a:pos x="T116" y="T117"/>
                                  </a:cxn>
                                  <a:cxn ang="T185">
                                    <a:pos x="T118" y="T119"/>
                                  </a:cxn>
                                  <a:cxn ang="T186">
                                    <a:pos x="T120" y="T121"/>
                                  </a:cxn>
                                  <a:cxn ang="T187">
                                    <a:pos x="T122" y="T123"/>
                                  </a:cxn>
                                  <a:cxn ang="T188">
                                    <a:pos x="T124" y="T125"/>
                                  </a:cxn>
                                </a:cxnLst>
                                <a:rect l="0" t="0" r="r" b="b"/>
                                <a:pathLst>
                                  <a:path w="25401" h="4914">
                                    <a:moveTo>
                                      <a:pt x="311" y="1716"/>
                                    </a:moveTo>
                                    <a:lnTo>
                                      <a:pt x="1187" y="1716"/>
                                    </a:lnTo>
                                    <a:lnTo>
                                      <a:pt x="1187" y="1917"/>
                                    </a:lnTo>
                                    <a:lnTo>
                                      <a:pt x="102" y="1917"/>
                                    </a:lnTo>
                                    <a:lnTo>
                                      <a:pt x="102" y="27"/>
                                    </a:lnTo>
                                    <a:lnTo>
                                      <a:pt x="311" y="27"/>
                                    </a:lnTo>
                                    <a:lnTo>
                                      <a:pt x="311" y="1716"/>
                                    </a:lnTo>
                                    <a:close/>
                                    <a:moveTo>
                                      <a:pt x="1440" y="1294"/>
                                    </a:moveTo>
                                    <a:lnTo>
                                      <a:pt x="1440" y="1294"/>
                                    </a:lnTo>
                                    <a:lnTo>
                                      <a:pt x="1445" y="1369"/>
                                    </a:lnTo>
                                    <a:lnTo>
                                      <a:pt x="1453" y="1440"/>
                                    </a:lnTo>
                                    <a:lnTo>
                                      <a:pt x="1467" y="1507"/>
                                    </a:lnTo>
                                    <a:lnTo>
                                      <a:pt x="1489" y="1569"/>
                                    </a:lnTo>
                                    <a:lnTo>
                                      <a:pt x="1516" y="1632"/>
                                    </a:lnTo>
                                    <a:lnTo>
                                      <a:pt x="1547" y="1685"/>
                                    </a:lnTo>
                                    <a:lnTo>
                                      <a:pt x="1582" y="1734"/>
                                    </a:lnTo>
                                    <a:lnTo>
                                      <a:pt x="1623" y="1779"/>
                                    </a:lnTo>
                                    <a:lnTo>
                                      <a:pt x="1667" y="1818"/>
                                    </a:lnTo>
                                    <a:lnTo>
                                      <a:pt x="1711" y="1854"/>
                                    </a:lnTo>
                                    <a:lnTo>
                                      <a:pt x="1765" y="1885"/>
                                    </a:lnTo>
                                    <a:lnTo>
                                      <a:pt x="1818" y="1912"/>
                                    </a:lnTo>
                                    <a:lnTo>
                                      <a:pt x="1876" y="1930"/>
                                    </a:lnTo>
                                    <a:lnTo>
                                      <a:pt x="1934" y="1947"/>
                                    </a:lnTo>
                                    <a:lnTo>
                                      <a:pt x="1996" y="1956"/>
                                    </a:lnTo>
                                    <a:lnTo>
                                      <a:pt x="2058" y="1956"/>
                                    </a:lnTo>
                                    <a:lnTo>
                                      <a:pt x="2143" y="1952"/>
                                    </a:lnTo>
                                    <a:lnTo>
                                      <a:pt x="2218" y="1939"/>
                                    </a:lnTo>
                                    <a:lnTo>
                                      <a:pt x="2285" y="1917"/>
                                    </a:lnTo>
                                    <a:lnTo>
                                      <a:pt x="2347" y="1885"/>
                                    </a:lnTo>
                                    <a:lnTo>
                                      <a:pt x="2405" y="1845"/>
                                    </a:lnTo>
                                    <a:lnTo>
                                      <a:pt x="2454" y="1801"/>
                                    </a:lnTo>
                                    <a:lnTo>
                                      <a:pt x="2498" y="1752"/>
                                    </a:lnTo>
                                    <a:lnTo>
                                      <a:pt x="2534" y="1694"/>
                                    </a:lnTo>
                                    <a:lnTo>
                                      <a:pt x="2538" y="1694"/>
                                    </a:lnTo>
                                    <a:lnTo>
                                      <a:pt x="2538" y="1917"/>
                                    </a:lnTo>
                                    <a:lnTo>
                                      <a:pt x="2734" y="1917"/>
                                    </a:lnTo>
                                    <a:lnTo>
                                      <a:pt x="2734" y="671"/>
                                    </a:lnTo>
                                    <a:lnTo>
                                      <a:pt x="2538" y="671"/>
                                    </a:lnTo>
                                    <a:lnTo>
                                      <a:pt x="2538" y="889"/>
                                    </a:lnTo>
                                    <a:lnTo>
                                      <a:pt x="2534" y="889"/>
                                    </a:lnTo>
                                    <a:lnTo>
                                      <a:pt x="2498" y="836"/>
                                    </a:lnTo>
                                    <a:lnTo>
                                      <a:pt x="2454" y="783"/>
                                    </a:lnTo>
                                    <a:lnTo>
                                      <a:pt x="2405" y="738"/>
                                    </a:lnTo>
                                    <a:lnTo>
                                      <a:pt x="2347" y="703"/>
                                    </a:lnTo>
                                    <a:lnTo>
                                      <a:pt x="2285" y="671"/>
                                    </a:lnTo>
                                    <a:lnTo>
                                      <a:pt x="2218" y="649"/>
                                    </a:lnTo>
                                    <a:lnTo>
                                      <a:pt x="2143" y="636"/>
                                    </a:lnTo>
                                    <a:lnTo>
                                      <a:pt x="2058" y="627"/>
                                    </a:lnTo>
                                    <a:lnTo>
                                      <a:pt x="1996" y="632"/>
                                    </a:lnTo>
                                    <a:lnTo>
                                      <a:pt x="1934" y="640"/>
                                    </a:lnTo>
                                    <a:lnTo>
                                      <a:pt x="1876" y="654"/>
                                    </a:lnTo>
                                    <a:lnTo>
                                      <a:pt x="1818" y="676"/>
                                    </a:lnTo>
                                    <a:lnTo>
                                      <a:pt x="1765" y="698"/>
                                    </a:lnTo>
                                    <a:lnTo>
                                      <a:pt x="1711" y="729"/>
                                    </a:lnTo>
                                    <a:lnTo>
                                      <a:pt x="1667" y="765"/>
                                    </a:lnTo>
                                    <a:lnTo>
                                      <a:pt x="1623" y="805"/>
                                    </a:lnTo>
                                    <a:lnTo>
                                      <a:pt x="1582" y="849"/>
                                    </a:lnTo>
                                    <a:lnTo>
                                      <a:pt x="1547" y="903"/>
                                    </a:lnTo>
                                    <a:lnTo>
                                      <a:pt x="1516" y="956"/>
                                    </a:lnTo>
                                    <a:lnTo>
                                      <a:pt x="1489" y="1014"/>
                                    </a:lnTo>
                                    <a:lnTo>
                                      <a:pt x="1467" y="1081"/>
                                    </a:lnTo>
                                    <a:lnTo>
                                      <a:pt x="1453" y="1147"/>
                                    </a:lnTo>
                                    <a:lnTo>
                                      <a:pt x="1445" y="1218"/>
                                    </a:lnTo>
                                    <a:lnTo>
                                      <a:pt x="1440" y="1294"/>
                                    </a:lnTo>
                                    <a:close/>
                                    <a:moveTo>
                                      <a:pt x="2547" y="1294"/>
                                    </a:moveTo>
                                    <a:lnTo>
                                      <a:pt x="2547" y="1294"/>
                                    </a:lnTo>
                                    <a:lnTo>
                                      <a:pt x="2547" y="1343"/>
                                    </a:lnTo>
                                    <a:lnTo>
                                      <a:pt x="2538" y="1391"/>
                                    </a:lnTo>
                                    <a:lnTo>
                                      <a:pt x="2529" y="1440"/>
                                    </a:lnTo>
                                    <a:lnTo>
                                      <a:pt x="2516" y="1485"/>
                                    </a:lnTo>
                                    <a:lnTo>
                                      <a:pt x="2498" y="1525"/>
                                    </a:lnTo>
                                    <a:lnTo>
                                      <a:pt x="2476" y="1565"/>
                                    </a:lnTo>
                                    <a:lnTo>
                                      <a:pt x="2454" y="1601"/>
                                    </a:lnTo>
                                    <a:lnTo>
                                      <a:pt x="2427" y="1632"/>
                                    </a:lnTo>
                                    <a:lnTo>
                                      <a:pt x="2396" y="1663"/>
                                    </a:lnTo>
                                    <a:lnTo>
                                      <a:pt x="2361" y="1690"/>
                                    </a:lnTo>
                                    <a:lnTo>
                                      <a:pt x="2325" y="1712"/>
                                    </a:lnTo>
                                    <a:lnTo>
                                      <a:pt x="2285" y="1730"/>
                                    </a:lnTo>
                                    <a:lnTo>
                                      <a:pt x="2241" y="1747"/>
                                    </a:lnTo>
                                    <a:lnTo>
                                      <a:pt x="2196" y="1756"/>
                                    </a:lnTo>
                                    <a:lnTo>
                                      <a:pt x="2147" y="1765"/>
                                    </a:lnTo>
                                    <a:lnTo>
                                      <a:pt x="2098" y="1765"/>
                                    </a:lnTo>
                                    <a:lnTo>
                                      <a:pt x="2049" y="1765"/>
                                    </a:lnTo>
                                    <a:lnTo>
                                      <a:pt x="2000" y="1756"/>
                                    </a:lnTo>
                                    <a:lnTo>
                                      <a:pt x="1956" y="1747"/>
                                    </a:lnTo>
                                    <a:lnTo>
                                      <a:pt x="1912" y="1730"/>
                                    </a:lnTo>
                                    <a:lnTo>
                                      <a:pt x="1872" y="1712"/>
                                    </a:lnTo>
                                    <a:lnTo>
                                      <a:pt x="1836" y="1690"/>
                                    </a:lnTo>
                                    <a:lnTo>
                                      <a:pt x="1800" y="1663"/>
                                    </a:lnTo>
                                    <a:lnTo>
                                      <a:pt x="1769" y="1632"/>
                                    </a:lnTo>
                                    <a:lnTo>
                                      <a:pt x="1743" y="1601"/>
                                    </a:lnTo>
                                    <a:lnTo>
                                      <a:pt x="1716" y="1565"/>
                                    </a:lnTo>
                                    <a:lnTo>
                                      <a:pt x="1698" y="1525"/>
                                    </a:lnTo>
                                    <a:lnTo>
                                      <a:pt x="1680" y="1485"/>
                                    </a:lnTo>
                                    <a:lnTo>
                                      <a:pt x="1663" y="1440"/>
                                    </a:lnTo>
                                    <a:lnTo>
                                      <a:pt x="1653" y="1391"/>
                                    </a:lnTo>
                                    <a:lnTo>
                                      <a:pt x="1649" y="1343"/>
                                    </a:lnTo>
                                    <a:lnTo>
                                      <a:pt x="1645" y="1294"/>
                                    </a:lnTo>
                                    <a:lnTo>
                                      <a:pt x="1649" y="1240"/>
                                    </a:lnTo>
                                    <a:lnTo>
                                      <a:pt x="1653" y="1191"/>
                                    </a:lnTo>
                                    <a:lnTo>
                                      <a:pt x="1663" y="1147"/>
                                    </a:lnTo>
                                    <a:lnTo>
                                      <a:pt x="1680" y="1103"/>
                                    </a:lnTo>
                                    <a:lnTo>
                                      <a:pt x="1698" y="1063"/>
                                    </a:lnTo>
                                    <a:lnTo>
                                      <a:pt x="1716" y="1023"/>
                                    </a:lnTo>
                                    <a:lnTo>
                                      <a:pt x="1743" y="987"/>
                                    </a:lnTo>
                                    <a:lnTo>
                                      <a:pt x="1769" y="952"/>
                                    </a:lnTo>
                                    <a:lnTo>
                                      <a:pt x="1800" y="925"/>
                                    </a:lnTo>
                                    <a:lnTo>
                                      <a:pt x="1836" y="898"/>
                                    </a:lnTo>
                                    <a:lnTo>
                                      <a:pt x="1872" y="876"/>
                                    </a:lnTo>
                                    <a:lnTo>
                                      <a:pt x="1912" y="854"/>
                                    </a:lnTo>
                                    <a:lnTo>
                                      <a:pt x="1956" y="840"/>
                                    </a:lnTo>
                                    <a:lnTo>
                                      <a:pt x="2000" y="832"/>
                                    </a:lnTo>
                                    <a:lnTo>
                                      <a:pt x="2049" y="823"/>
                                    </a:lnTo>
                                    <a:lnTo>
                                      <a:pt x="2098" y="823"/>
                                    </a:lnTo>
                                    <a:lnTo>
                                      <a:pt x="2147" y="823"/>
                                    </a:lnTo>
                                    <a:lnTo>
                                      <a:pt x="2196" y="832"/>
                                    </a:lnTo>
                                    <a:lnTo>
                                      <a:pt x="2241" y="840"/>
                                    </a:lnTo>
                                    <a:lnTo>
                                      <a:pt x="2285" y="854"/>
                                    </a:lnTo>
                                    <a:lnTo>
                                      <a:pt x="2325" y="876"/>
                                    </a:lnTo>
                                    <a:lnTo>
                                      <a:pt x="2361" y="898"/>
                                    </a:lnTo>
                                    <a:lnTo>
                                      <a:pt x="2396" y="925"/>
                                    </a:lnTo>
                                    <a:lnTo>
                                      <a:pt x="2427" y="952"/>
                                    </a:lnTo>
                                    <a:lnTo>
                                      <a:pt x="2454" y="987"/>
                                    </a:lnTo>
                                    <a:lnTo>
                                      <a:pt x="2476" y="1023"/>
                                    </a:lnTo>
                                    <a:lnTo>
                                      <a:pt x="2498" y="1063"/>
                                    </a:lnTo>
                                    <a:lnTo>
                                      <a:pt x="2516" y="1103"/>
                                    </a:lnTo>
                                    <a:lnTo>
                                      <a:pt x="2529" y="1147"/>
                                    </a:lnTo>
                                    <a:lnTo>
                                      <a:pt x="2538" y="1191"/>
                                    </a:lnTo>
                                    <a:lnTo>
                                      <a:pt x="2547" y="1240"/>
                                    </a:lnTo>
                                    <a:lnTo>
                                      <a:pt x="2547" y="1294"/>
                                    </a:lnTo>
                                    <a:close/>
                                    <a:moveTo>
                                      <a:pt x="4677" y="671"/>
                                    </a:moveTo>
                                    <a:lnTo>
                                      <a:pt x="4379" y="1667"/>
                                    </a:lnTo>
                                    <a:lnTo>
                                      <a:pt x="4041" y="671"/>
                                    </a:lnTo>
                                    <a:lnTo>
                                      <a:pt x="3841" y="671"/>
                                    </a:lnTo>
                                    <a:lnTo>
                                      <a:pt x="3508" y="1667"/>
                                    </a:lnTo>
                                    <a:lnTo>
                                      <a:pt x="3205" y="671"/>
                                    </a:lnTo>
                                    <a:lnTo>
                                      <a:pt x="2992" y="671"/>
                                    </a:lnTo>
                                    <a:lnTo>
                                      <a:pt x="3410" y="1917"/>
                                    </a:lnTo>
                                    <a:lnTo>
                                      <a:pt x="3596" y="1917"/>
                                    </a:lnTo>
                                    <a:lnTo>
                                      <a:pt x="3938" y="925"/>
                                    </a:lnTo>
                                    <a:lnTo>
                                      <a:pt x="4285" y="1917"/>
                                    </a:lnTo>
                                    <a:lnTo>
                                      <a:pt x="4472" y="1917"/>
                                    </a:lnTo>
                                    <a:lnTo>
                                      <a:pt x="4894" y="671"/>
                                    </a:lnTo>
                                    <a:lnTo>
                                      <a:pt x="4677" y="671"/>
                                    </a:lnTo>
                                    <a:close/>
                                    <a:moveTo>
                                      <a:pt x="6050" y="1721"/>
                                    </a:moveTo>
                                    <a:lnTo>
                                      <a:pt x="6050" y="961"/>
                                    </a:lnTo>
                                    <a:lnTo>
                                      <a:pt x="6833" y="961"/>
                                    </a:lnTo>
                                    <a:lnTo>
                                      <a:pt x="6833" y="765"/>
                                    </a:lnTo>
                                    <a:lnTo>
                                      <a:pt x="6050" y="765"/>
                                    </a:lnTo>
                                    <a:lnTo>
                                      <a:pt x="6050" y="222"/>
                                    </a:lnTo>
                                    <a:lnTo>
                                      <a:pt x="6904" y="222"/>
                                    </a:lnTo>
                                    <a:lnTo>
                                      <a:pt x="6904" y="27"/>
                                    </a:lnTo>
                                    <a:lnTo>
                                      <a:pt x="5841" y="27"/>
                                    </a:lnTo>
                                    <a:lnTo>
                                      <a:pt x="5841" y="1917"/>
                                    </a:lnTo>
                                    <a:lnTo>
                                      <a:pt x="6917" y="1917"/>
                                    </a:lnTo>
                                    <a:lnTo>
                                      <a:pt x="6917" y="1721"/>
                                    </a:lnTo>
                                    <a:lnTo>
                                      <a:pt x="6050" y="1721"/>
                                    </a:lnTo>
                                    <a:close/>
                                    <a:moveTo>
                                      <a:pt x="8411" y="1156"/>
                                    </a:moveTo>
                                    <a:lnTo>
                                      <a:pt x="8411" y="1156"/>
                                    </a:lnTo>
                                    <a:lnTo>
                                      <a:pt x="8406" y="1089"/>
                                    </a:lnTo>
                                    <a:lnTo>
                                      <a:pt x="8402" y="1027"/>
                                    </a:lnTo>
                                    <a:lnTo>
                                      <a:pt x="8388" y="969"/>
                                    </a:lnTo>
                                    <a:lnTo>
                                      <a:pt x="8375" y="916"/>
                                    </a:lnTo>
                                    <a:lnTo>
                                      <a:pt x="8353" y="867"/>
                                    </a:lnTo>
                                    <a:lnTo>
                                      <a:pt x="8330" y="827"/>
                                    </a:lnTo>
                                    <a:lnTo>
                                      <a:pt x="8304" y="787"/>
                                    </a:lnTo>
                                    <a:lnTo>
                                      <a:pt x="8273" y="751"/>
                                    </a:lnTo>
                                    <a:lnTo>
                                      <a:pt x="8242" y="725"/>
                                    </a:lnTo>
                                    <a:lnTo>
                                      <a:pt x="8206" y="698"/>
                                    </a:lnTo>
                                    <a:lnTo>
                                      <a:pt x="8166" y="676"/>
                                    </a:lnTo>
                                    <a:lnTo>
                                      <a:pt x="8122" y="658"/>
                                    </a:lnTo>
                                    <a:lnTo>
                                      <a:pt x="8077" y="645"/>
                                    </a:lnTo>
                                    <a:lnTo>
                                      <a:pt x="8033" y="636"/>
                                    </a:lnTo>
                                    <a:lnTo>
                                      <a:pt x="7984" y="632"/>
                                    </a:lnTo>
                                    <a:lnTo>
                                      <a:pt x="7931" y="627"/>
                                    </a:lnTo>
                                    <a:lnTo>
                                      <a:pt x="7855" y="632"/>
                                    </a:lnTo>
                                    <a:lnTo>
                                      <a:pt x="7784" y="649"/>
                                    </a:lnTo>
                                    <a:lnTo>
                                      <a:pt x="7717" y="671"/>
                                    </a:lnTo>
                                    <a:lnTo>
                                      <a:pt x="7660" y="703"/>
                                    </a:lnTo>
                                    <a:lnTo>
                                      <a:pt x="7606" y="742"/>
                                    </a:lnTo>
                                    <a:lnTo>
                                      <a:pt x="7561" y="791"/>
                                    </a:lnTo>
                                    <a:lnTo>
                                      <a:pt x="7522" y="845"/>
                                    </a:lnTo>
                                    <a:lnTo>
                                      <a:pt x="7486" y="912"/>
                                    </a:lnTo>
                                    <a:lnTo>
                                      <a:pt x="7482" y="912"/>
                                    </a:lnTo>
                                    <a:lnTo>
                                      <a:pt x="7482" y="671"/>
                                    </a:lnTo>
                                    <a:lnTo>
                                      <a:pt x="7286" y="671"/>
                                    </a:lnTo>
                                    <a:lnTo>
                                      <a:pt x="7286" y="1917"/>
                                    </a:lnTo>
                                    <a:lnTo>
                                      <a:pt x="7482" y="1917"/>
                                    </a:lnTo>
                                    <a:lnTo>
                                      <a:pt x="7482" y="1343"/>
                                    </a:lnTo>
                                    <a:lnTo>
                                      <a:pt x="7482" y="1272"/>
                                    </a:lnTo>
                                    <a:lnTo>
                                      <a:pt x="7490" y="1210"/>
                                    </a:lnTo>
                                    <a:lnTo>
                                      <a:pt x="7499" y="1152"/>
                                    </a:lnTo>
                                    <a:lnTo>
                                      <a:pt x="7513" y="1098"/>
                                    </a:lnTo>
                                    <a:lnTo>
                                      <a:pt x="7531" y="1049"/>
                                    </a:lnTo>
                                    <a:lnTo>
                                      <a:pt x="7553" y="1005"/>
                                    </a:lnTo>
                                    <a:lnTo>
                                      <a:pt x="7575" y="969"/>
                                    </a:lnTo>
                                    <a:lnTo>
                                      <a:pt x="7602" y="938"/>
                                    </a:lnTo>
                                    <a:lnTo>
                                      <a:pt x="7628" y="907"/>
                                    </a:lnTo>
                                    <a:lnTo>
                                      <a:pt x="7660" y="885"/>
                                    </a:lnTo>
                                    <a:lnTo>
                                      <a:pt x="7695" y="867"/>
                                    </a:lnTo>
                                    <a:lnTo>
                                      <a:pt x="7726" y="849"/>
                                    </a:lnTo>
                                    <a:lnTo>
                                      <a:pt x="7766" y="836"/>
                                    </a:lnTo>
                                    <a:lnTo>
                                      <a:pt x="7802" y="832"/>
                                    </a:lnTo>
                                    <a:lnTo>
                                      <a:pt x="7842" y="827"/>
                                    </a:lnTo>
                                    <a:lnTo>
                                      <a:pt x="7882" y="823"/>
                                    </a:lnTo>
                                    <a:lnTo>
                                      <a:pt x="7917" y="823"/>
                                    </a:lnTo>
                                    <a:lnTo>
                                      <a:pt x="7953" y="827"/>
                                    </a:lnTo>
                                    <a:lnTo>
                                      <a:pt x="7984" y="836"/>
                                    </a:lnTo>
                                    <a:lnTo>
                                      <a:pt x="8015" y="845"/>
                                    </a:lnTo>
                                    <a:lnTo>
                                      <a:pt x="8046" y="858"/>
                                    </a:lnTo>
                                    <a:lnTo>
                                      <a:pt x="8073" y="871"/>
                                    </a:lnTo>
                                    <a:lnTo>
                                      <a:pt x="8100" y="889"/>
                                    </a:lnTo>
                                    <a:lnTo>
                                      <a:pt x="8122" y="907"/>
                                    </a:lnTo>
                                    <a:lnTo>
                                      <a:pt x="8144" y="934"/>
                                    </a:lnTo>
                                    <a:lnTo>
                                      <a:pt x="8162" y="961"/>
                                    </a:lnTo>
                                    <a:lnTo>
                                      <a:pt x="8180" y="987"/>
                                    </a:lnTo>
                                    <a:lnTo>
                                      <a:pt x="8193" y="1023"/>
                                    </a:lnTo>
                                    <a:lnTo>
                                      <a:pt x="8202" y="1058"/>
                                    </a:lnTo>
                                    <a:lnTo>
                                      <a:pt x="8210" y="1098"/>
                                    </a:lnTo>
                                    <a:lnTo>
                                      <a:pt x="8215" y="1139"/>
                                    </a:lnTo>
                                    <a:lnTo>
                                      <a:pt x="8215" y="1187"/>
                                    </a:lnTo>
                                    <a:lnTo>
                                      <a:pt x="8215" y="1917"/>
                                    </a:lnTo>
                                    <a:lnTo>
                                      <a:pt x="8411" y="1917"/>
                                    </a:lnTo>
                                    <a:lnTo>
                                      <a:pt x="8411" y="1156"/>
                                    </a:lnTo>
                                    <a:close/>
                                    <a:moveTo>
                                      <a:pt x="9126" y="458"/>
                                    </a:moveTo>
                                    <a:lnTo>
                                      <a:pt x="9126" y="458"/>
                                    </a:lnTo>
                                    <a:lnTo>
                                      <a:pt x="9126" y="422"/>
                                    </a:lnTo>
                                    <a:lnTo>
                                      <a:pt x="9131" y="387"/>
                                    </a:lnTo>
                                    <a:lnTo>
                                      <a:pt x="9140" y="356"/>
                                    </a:lnTo>
                                    <a:lnTo>
                                      <a:pt x="9144" y="329"/>
                                    </a:lnTo>
                                    <a:lnTo>
                                      <a:pt x="9157" y="302"/>
                                    </a:lnTo>
                                    <a:lnTo>
                                      <a:pt x="9171" y="280"/>
                                    </a:lnTo>
                                    <a:lnTo>
                                      <a:pt x="9184" y="262"/>
                                    </a:lnTo>
                                    <a:lnTo>
                                      <a:pt x="9202" y="245"/>
                                    </a:lnTo>
                                    <a:lnTo>
                                      <a:pt x="9220" y="227"/>
                                    </a:lnTo>
                                    <a:lnTo>
                                      <a:pt x="9238" y="213"/>
                                    </a:lnTo>
                                    <a:lnTo>
                                      <a:pt x="9282" y="196"/>
                                    </a:lnTo>
                                    <a:lnTo>
                                      <a:pt x="9331" y="187"/>
                                    </a:lnTo>
                                    <a:lnTo>
                                      <a:pt x="9384" y="183"/>
                                    </a:lnTo>
                                    <a:lnTo>
                                      <a:pt x="9420" y="183"/>
                                    </a:lnTo>
                                    <a:lnTo>
                                      <a:pt x="9420" y="0"/>
                                    </a:lnTo>
                                    <a:lnTo>
                                      <a:pt x="9380" y="0"/>
                                    </a:lnTo>
                                    <a:lnTo>
                                      <a:pt x="9326" y="0"/>
                                    </a:lnTo>
                                    <a:lnTo>
                                      <a:pt x="9282" y="9"/>
                                    </a:lnTo>
                                    <a:lnTo>
                                      <a:pt x="9238" y="18"/>
                                    </a:lnTo>
                                    <a:lnTo>
                                      <a:pt x="9193" y="27"/>
                                    </a:lnTo>
                                    <a:lnTo>
                                      <a:pt x="9153" y="44"/>
                                    </a:lnTo>
                                    <a:lnTo>
                                      <a:pt x="9118" y="62"/>
                                    </a:lnTo>
                                    <a:lnTo>
                                      <a:pt x="9086" y="89"/>
                                    </a:lnTo>
                                    <a:lnTo>
                                      <a:pt x="9055" y="116"/>
                                    </a:lnTo>
                                    <a:lnTo>
                                      <a:pt x="9028" y="147"/>
                                    </a:lnTo>
                                    <a:lnTo>
                                      <a:pt x="9002" y="178"/>
                                    </a:lnTo>
                                    <a:lnTo>
                                      <a:pt x="8984" y="218"/>
                                    </a:lnTo>
                                    <a:lnTo>
                                      <a:pt x="8966" y="258"/>
                                    </a:lnTo>
                                    <a:lnTo>
                                      <a:pt x="8953" y="302"/>
                                    </a:lnTo>
                                    <a:lnTo>
                                      <a:pt x="8944" y="351"/>
                                    </a:lnTo>
                                    <a:lnTo>
                                      <a:pt x="8935" y="405"/>
                                    </a:lnTo>
                                    <a:lnTo>
                                      <a:pt x="8935" y="462"/>
                                    </a:lnTo>
                                    <a:lnTo>
                                      <a:pt x="8935" y="671"/>
                                    </a:lnTo>
                                    <a:lnTo>
                                      <a:pt x="8704" y="671"/>
                                    </a:lnTo>
                                    <a:lnTo>
                                      <a:pt x="8704" y="836"/>
                                    </a:lnTo>
                                    <a:lnTo>
                                      <a:pt x="8935" y="836"/>
                                    </a:lnTo>
                                    <a:lnTo>
                                      <a:pt x="8935" y="1917"/>
                                    </a:lnTo>
                                    <a:lnTo>
                                      <a:pt x="9126" y="1917"/>
                                    </a:lnTo>
                                    <a:lnTo>
                                      <a:pt x="9126" y="836"/>
                                    </a:lnTo>
                                    <a:lnTo>
                                      <a:pt x="9411" y="836"/>
                                    </a:lnTo>
                                    <a:lnTo>
                                      <a:pt x="9411" y="671"/>
                                    </a:lnTo>
                                    <a:lnTo>
                                      <a:pt x="9126" y="671"/>
                                    </a:lnTo>
                                    <a:lnTo>
                                      <a:pt x="9126" y="458"/>
                                    </a:lnTo>
                                    <a:close/>
                                    <a:moveTo>
                                      <a:pt x="10909" y="1294"/>
                                    </a:moveTo>
                                    <a:lnTo>
                                      <a:pt x="10909" y="1294"/>
                                    </a:lnTo>
                                    <a:lnTo>
                                      <a:pt x="10905" y="1223"/>
                                    </a:lnTo>
                                    <a:lnTo>
                                      <a:pt x="10896" y="1152"/>
                                    </a:lnTo>
                                    <a:lnTo>
                                      <a:pt x="10878" y="1089"/>
                                    </a:lnTo>
                                    <a:lnTo>
                                      <a:pt x="10860" y="1027"/>
                                    </a:lnTo>
                                    <a:lnTo>
                                      <a:pt x="10829" y="969"/>
                                    </a:lnTo>
                                    <a:lnTo>
                                      <a:pt x="10798" y="912"/>
                                    </a:lnTo>
                                    <a:lnTo>
                                      <a:pt x="10763" y="863"/>
                                    </a:lnTo>
                                    <a:lnTo>
                                      <a:pt x="10718" y="818"/>
                                    </a:lnTo>
                                    <a:lnTo>
                                      <a:pt x="10669" y="774"/>
                                    </a:lnTo>
                                    <a:lnTo>
                                      <a:pt x="10620" y="738"/>
                                    </a:lnTo>
                                    <a:lnTo>
                                      <a:pt x="10562" y="707"/>
                                    </a:lnTo>
                                    <a:lnTo>
                                      <a:pt x="10505" y="680"/>
                                    </a:lnTo>
                                    <a:lnTo>
                                      <a:pt x="10442" y="658"/>
                                    </a:lnTo>
                                    <a:lnTo>
                                      <a:pt x="10375" y="640"/>
                                    </a:lnTo>
                                    <a:lnTo>
                                      <a:pt x="10304" y="632"/>
                                    </a:lnTo>
                                    <a:lnTo>
                                      <a:pt x="10233" y="627"/>
                                    </a:lnTo>
                                    <a:lnTo>
                                      <a:pt x="10162" y="632"/>
                                    </a:lnTo>
                                    <a:lnTo>
                                      <a:pt x="10091" y="640"/>
                                    </a:lnTo>
                                    <a:lnTo>
                                      <a:pt x="10029" y="658"/>
                                    </a:lnTo>
                                    <a:lnTo>
                                      <a:pt x="9962" y="680"/>
                                    </a:lnTo>
                                    <a:lnTo>
                                      <a:pt x="9904" y="707"/>
                                    </a:lnTo>
                                    <a:lnTo>
                                      <a:pt x="9851" y="738"/>
                                    </a:lnTo>
                                    <a:lnTo>
                                      <a:pt x="9797" y="774"/>
                                    </a:lnTo>
                                    <a:lnTo>
                                      <a:pt x="9749" y="818"/>
                                    </a:lnTo>
                                    <a:lnTo>
                                      <a:pt x="9709" y="863"/>
                                    </a:lnTo>
                                    <a:lnTo>
                                      <a:pt x="9669" y="912"/>
                                    </a:lnTo>
                                    <a:lnTo>
                                      <a:pt x="9638" y="969"/>
                                    </a:lnTo>
                                    <a:lnTo>
                                      <a:pt x="9611" y="1027"/>
                                    </a:lnTo>
                                    <a:lnTo>
                                      <a:pt x="9589" y="1089"/>
                                    </a:lnTo>
                                    <a:lnTo>
                                      <a:pt x="9571" y="1152"/>
                                    </a:lnTo>
                                    <a:lnTo>
                                      <a:pt x="9562" y="1223"/>
                                    </a:lnTo>
                                    <a:lnTo>
                                      <a:pt x="9558" y="1294"/>
                                    </a:lnTo>
                                    <a:lnTo>
                                      <a:pt x="9562" y="1365"/>
                                    </a:lnTo>
                                    <a:lnTo>
                                      <a:pt x="9571" y="1432"/>
                                    </a:lnTo>
                                    <a:lnTo>
                                      <a:pt x="9589" y="1498"/>
                                    </a:lnTo>
                                    <a:lnTo>
                                      <a:pt x="9611" y="1561"/>
                                    </a:lnTo>
                                    <a:lnTo>
                                      <a:pt x="9638" y="1618"/>
                                    </a:lnTo>
                                    <a:lnTo>
                                      <a:pt x="9669" y="1672"/>
                                    </a:lnTo>
                                    <a:lnTo>
                                      <a:pt x="9709" y="1725"/>
                                    </a:lnTo>
                                    <a:lnTo>
                                      <a:pt x="9749" y="1769"/>
                                    </a:lnTo>
                                    <a:lnTo>
                                      <a:pt x="9797" y="1810"/>
                                    </a:lnTo>
                                    <a:lnTo>
                                      <a:pt x="9851" y="1850"/>
                                    </a:lnTo>
                                    <a:lnTo>
                                      <a:pt x="9904" y="1881"/>
                                    </a:lnTo>
                                    <a:lnTo>
                                      <a:pt x="9962" y="1908"/>
                                    </a:lnTo>
                                    <a:lnTo>
                                      <a:pt x="10029" y="1930"/>
                                    </a:lnTo>
                                    <a:lnTo>
                                      <a:pt x="10091" y="1943"/>
                                    </a:lnTo>
                                    <a:lnTo>
                                      <a:pt x="10162" y="1952"/>
                                    </a:lnTo>
                                    <a:lnTo>
                                      <a:pt x="10233" y="1956"/>
                                    </a:lnTo>
                                    <a:lnTo>
                                      <a:pt x="10304" y="1952"/>
                                    </a:lnTo>
                                    <a:lnTo>
                                      <a:pt x="10375" y="1943"/>
                                    </a:lnTo>
                                    <a:lnTo>
                                      <a:pt x="10442" y="1930"/>
                                    </a:lnTo>
                                    <a:lnTo>
                                      <a:pt x="10505" y="1908"/>
                                    </a:lnTo>
                                    <a:lnTo>
                                      <a:pt x="10562" y="1881"/>
                                    </a:lnTo>
                                    <a:lnTo>
                                      <a:pt x="10620" y="1850"/>
                                    </a:lnTo>
                                    <a:lnTo>
                                      <a:pt x="10669" y="1810"/>
                                    </a:lnTo>
                                    <a:lnTo>
                                      <a:pt x="10718" y="1769"/>
                                    </a:lnTo>
                                    <a:lnTo>
                                      <a:pt x="10763" y="1725"/>
                                    </a:lnTo>
                                    <a:lnTo>
                                      <a:pt x="10798" y="1672"/>
                                    </a:lnTo>
                                    <a:lnTo>
                                      <a:pt x="10829" y="1618"/>
                                    </a:lnTo>
                                    <a:lnTo>
                                      <a:pt x="10860" y="1561"/>
                                    </a:lnTo>
                                    <a:lnTo>
                                      <a:pt x="10878" y="1498"/>
                                    </a:lnTo>
                                    <a:lnTo>
                                      <a:pt x="10896" y="1432"/>
                                    </a:lnTo>
                                    <a:lnTo>
                                      <a:pt x="10905" y="1365"/>
                                    </a:lnTo>
                                    <a:lnTo>
                                      <a:pt x="10909" y="1294"/>
                                    </a:lnTo>
                                    <a:close/>
                                    <a:moveTo>
                                      <a:pt x="9762" y="1294"/>
                                    </a:moveTo>
                                    <a:lnTo>
                                      <a:pt x="9762" y="1294"/>
                                    </a:lnTo>
                                    <a:lnTo>
                                      <a:pt x="9767" y="1240"/>
                                    </a:lnTo>
                                    <a:lnTo>
                                      <a:pt x="9771" y="1191"/>
                                    </a:lnTo>
                                    <a:lnTo>
                                      <a:pt x="9784" y="1143"/>
                                    </a:lnTo>
                                    <a:lnTo>
                                      <a:pt x="9797" y="1098"/>
                                    </a:lnTo>
                                    <a:lnTo>
                                      <a:pt x="9820" y="1058"/>
                                    </a:lnTo>
                                    <a:lnTo>
                                      <a:pt x="9842" y="1018"/>
                                    </a:lnTo>
                                    <a:lnTo>
                                      <a:pt x="9869" y="983"/>
                                    </a:lnTo>
                                    <a:lnTo>
                                      <a:pt x="9895" y="952"/>
                                    </a:lnTo>
                                    <a:lnTo>
                                      <a:pt x="9931" y="920"/>
                                    </a:lnTo>
                                    <a:lnTo>
                                      <a:pt x="9967" y="894"/>
                                    </a:lnTo>
                                    <a:lnTo>
                                      <a:pt x="10007" y="871"/>
                                    </a:lnTo>
                                    <a:lnTo>
                                      <a:pt x="10046" y="854"/>
                                    </a:lnTo>
                                    <a:lnTo>
                                      <a:pt x="10091" y="840"/>
                                    </a:lnTo>
                                    <a:lnTo>
                                      <a:pt x="10136" y="827"/>
                                    </a:lnTo>
                                    <a:lnTo>
                                      <a:pt x="10184" y="823"/>
                                    </a:lnTo>
                                    <a:lnTo>
                                      <a:pt x="10233" y="823"/>
                                    </a:lnTo>
                                    <a:lnTo>
                                      <a:pt x="10282" y="823"/>
                                    </a:lnTo>
                                    <a:lnTo>
                                      <a:pt x="10331" y="827"/>
                                    </a:lnTo>
                                    <a:lnTo>
                                      <a:pt x="10375" y="840"/>
                                    </a:lnTo>
                                    <a:lnTo>
                                      <a:pt x="10420" y="854"/>
                                    </a:lnTo>
                                    <a:lnTo>
                                      <a:pt x="10460" y="871"/>
                                    </a:lnTo>
                                    <a:lnTo>
                                      <a:pt x="10500" y="894"/>
                                    </a:lnTo>
                                    <a:lnTo>
                                      <a:pt x="10536" y="920"/>
                                    </a:lnTo>
                                    <a:lnTo>
                                      <a:pt x="10571" y="952"/>
                                    </a:lnTo>
                                    <a:lnTo>
                                      <a:pt x="10598" y="983"/>
                                    </a:lnTo>
                                    <a:lnTo>
                                      <a:pt x="10624" y="1018"/>
                                    </a:lnTo>
                                    <a:lnTo>
                                      <a:pt x="10647" y="1058"/>
                                    </a:lnTo>
                                    <a:lnTo>
                                      <a:pt x="10669" y="1098"/>
                                    </a:lnTo>
                                    <a:lnTo>
                                      <a:pt x="10682" y="1143"/>
                                    </a:lnTo>
                                    <a:lnTo>
                                      <a:pt x="10696" y="1191"/>
                                    </a:lnTo>
                                    <a:lnTo>
                                      <a:pt x="10700" y="1240"/>
                                    </a:lnTo>
                                    <a:lnTo>
                                      <a:pt x="10705" y="1294"/>
                                    </a:lnTo>
                                    <a:lnTo>
                                      <a:pt x="10700" y="1347"/>
                                    </a:lnTo>
                                    <a:lnTo>
                                      <a:pt x="10696" y="1396"/>
                                    </a:lnTo>
                                    <a:lnTo>
                                      <a:pt x="10682" y="1445"/>
                                    </a:lnTo>
                                    <a:lnTo>
                                      <a:pt x="10669" y="1490"/>
                                    </a:lnTo>
                                    <a:lnTo>
                                      <a:pt x="10647" y="1530"/>
                                    </a:lnTo>
                                    <a:lnTo>
                                      <a:pt x="10624" y="1569"/>
                                    </a:lnTo>
                                    <a:lnTo>
                                      <a:pt x="10598" y="1605"/>
                                    </a:lnTo>
                                    <a:lnTo>
                                      <a:pt x="10571" y="1636"/>
                                    </a:lnTo>
                                    <a:lnTo>
                                      <a:pt x="10536" y="1667"/>
                                    </a:lnTo>
                                    <a:lnTo>
                                      <a:pt x="10500" y="1690"/>
                                    </a:lnTo>
                                    <a:lnTo>
                                      <a:pt x="10460" y="1712"/>
                                    </a:lnTo>
                                    <a:lnTo>
                                      <a:pt x="10420" y="1734"/>
                                    </a:lnTo>
                                    <a:lnTo>
                                      <a:pt x="10375" y="1747"/>
                                    </a:lnTo>
                                    <a:lnTo>
                                      <a:pt x="10331" y="1756"/>
                                    </a:lnTo>
                                    <a:lnTo>
                                      <a:pt x="10282" y="1765"/>
                                    </a:lnTo>
                                    <a:lnTo>
                                      <a:pt x="10233" y="1765"/>
                                    </a:lnTo>
                                    <a:lnTo>
                                      <a:pt x="10184" y="1765"/>
                                    </a:lnTo>
                                    <a:lnTo>
                                      <a:pt x="10136" y="1756"/>
                                    </a:lnTo>
                                    <a:lnTo>
                                      <a:pt x="10091" y="1747"/>
                                    </a:lnTo>
                                    <a:lnTo>
                                      <a:pt x="10046" y="1734"/>
                                    </a:lnTo>
                                    <a:lnTo>
                                      <a:pt x="10007" y="1712"/>
                                    </a:lnTo>
                                    <a:lnTo>
                                      <a:pt x="9967" y="1690"/>
                                    </a:lnTo>
                                    <a:lnTo>
                                      <a:pt x="9931" y="1667"/>
                                    </a:lnTo>
                                    <a:lnTo>
                                      <a:pt x="9895" y="1636"/>
                                    </a:lnTo>
                                    <a:lnTo>
                                      <a:pt x="9869" y="1605"/>
                                    </a:lnTo>
                                    <a:lnTo>
                                      <a:pt x="9842" y="1569"/>
                                    </a:lnTo>
                                    <a:lnTo>
                                      <a:pt x="9820" y="1530"/>
                                    </a:lnTo>
                                    <a:lnTo>
                                      <a:pt x="9797" y="1490"/>
                                    </a:lnTo>
                                    <a:lnTo>
                                      <a:pt x="9784" y="1445"/>
                                    </a:lnTo>
                                    <a:lnTo>
                                      <a:pt x="9771" y="1396"/>
                                    </a:lnTo>
                                    <a:lnTo>
                                      <a:pt x="9767" y="1347"/>
                                    </a:lnTo>
                                    <a:lnTo>
                                      <a:pt x="9762" y="1294"/>
                                    </a:lnTo>
                                    <a:close/>
                                    <a:moveTo>
                                      <a:pt x="11882" y="632"/>
                                    </a:moveTo>
                                    <a:lnTo>
                                      <a:pt x="11852" y="632"/>
                                    </a:lnTo>
                                    <a:lnTo>
                                      <a:pt x="11811" y="632"/>
                                    </a:lnTo>
                                    <a:lnTo>
                                      <a:pt x="11776" y="636"/>
                                    </a:lnTo>
                                    <a:lnTo>
                                      <a:pt x="11740" y="645"/>
                                    </a:lnTo>
                                    <a:lnTo>
                                      <a:pt x="11705" y="654"/>
                                    </a:lnTo>
                                    <a:lnTo>
                                      <a:pt x="11674" y="667"/>
                                    </a:lnTo>
                                    <a:lnTo>
                                      <a:pt x="11642" y="685"/>
                                    </a:lnTo>
                                    <a:lnTo>
                                      <a:pt x="11611" y="703"/>
                                    </a:lnTo>
                                    <a:lnTo>
                                      <a:pt x="11584" y="720"/>
                                    </a:lnTo>
                                    <a:lnTo>
                                      <a:pt x="11562" y="742"/>
                                    </a:lnTo>
                                    <a:lnTo>
                                      <a:pt x="11536" y="769"/>
                                    </a:lnTo>
                                    <a:lnTo>
                                      <a:pt x="11513" y="791"/>
                                    </a:lnTo>
                                    <a:lnTo>
                                      <a:pt x="11496" y="823"/>
                                    </a:lnTo>
                                    <a:lnTo>
                                      <a:pt x="11465" y="885"/>
                                    </a:lnTo>
                                    <a:lnTo>
                                      <a:pt x="11438" y="952"/>
                                    </a:lnTo>
                                    <a:lnTo>
                                      <a:pt x="11434" y="952"/>
                                    </a:lnTo>
                                    <a:lnTo>
                                      <a:pt x="11434" y="671"/>
                                    </a:lnTo>
                                    <a:lnTo>
                                      <a:pt x="11238" y="671"/>
                                    </a:lnTo>
                                    <a:lnTo>
                                      <a:pt x="11238" y="1917"/>
                                    </a:lnTo>
                                    <a:lnTo>
                                      <a:pt x="11434" y="1917"/>
                                    </a:lnTo>
                                    <a:lnTo>
                                      <a:pt x="11434" y="1330"/>
                                    </a:lnTo>
                                    <a:lnTo>
                                      <a:pt x="11434" y="1276"/>
                                    </a:lnTo>
                                    <a:lnTo>
                                      <a:pt x="11442" y="1223"/>
                                    </a:lnTo>
                                    <a:lnTo>
                                      <a:pt x="11451" y="1174"/>
                                    </a:lnTo>
                                    <a:lnTo>
                                      <a:pt x="11460" y="1125"/>
                                    </a:lnTo>
                                    <a:lnTo>
                                      <a:pt x="11478" y="1085"/>
                                    </a:lnTo>
                                    <a:lnTo>
                                      <a:pt x="11496" y="1045"/>
                                    </a:lnTo>
                                    <a:lnTo>
                                      <a:pt x="11518" y="1010"/>
                                    </a:lnTo>
                                    <a:lnTo>
                                      <a:pt x="11540" y="978"/>
                                    </a:lnTo>
                                    <a:lnTo>
                                      <a:pt x="11567" y="952"/>
                                    </a:lnTo>
                                    <a:lnTo>
                                      <a:pt x="11598" y="925"/>
                                    </a:lnTo>
                                    <a:lnTo>
                                      <a:pt x="11633" y="903"/>
                                    </a:lnTo>
                                    <a:lnTo>
                                      <a:pt x="11669" y="885"/>
                                    </a:lnTo>
                                    <a:lnTo>
                                      <a:pt x="11709" y="871"/>
                                    </a:lnTo>
                                    <a:lnTo>
                                      <a:pt x="11754" y="863"/>
                                    </a:lnTo>
                                    <a:lnTo>
                                      <a:pt x="11798" y="858"/>
                                    </a:lnTo>
                                    <a:lnTo>
                                      <a:pt x="11847" y="854"/>
                                    </a:lnTo>
                                    <a:lnTo>
                                      <a:pt x="11882" y="854"/>
                                    </a:lnTo>
                                    <a:lnTo>
                                      <a:pt x="11882" y="632"/>
                                    </a:lnTo>
                                    <a:close/>
                                    <a:moveTo>
                                      <a:pt x="12082" y="1294"/>
                                    </a:moveTo>
                                    <a:lnTo>
                                      <a:pt x="12082" y="1294"/>
                                    </a:lnTo>
                                    <a:lnTo>
                                      <a:pt x="12082" y="1365"/>
                                    </a:lnTo>
                                    <a:lnTo>
                                      <a:pt x="12091" y="1436"/>
                                    </a:lnTo>
                                    <a:lnTo>
                                      <a:pt x="12109" y="1503"/>
                                    </a:lnTo>
                                    <a:lnTo>
                                      <a:pt x="12131" y="1565"/>
                                    </a:lnTo>
                                    <a:lnTo>
                                      <a:pt x="12158" y="1623"/>
                                    </a:lnTo>
                                    <a:lnTo>
                                      <a:pt x="12189" y="1676"/>
                                    </a:lnTo>
                                    <a:lnTo>
                                      <a:pt x="12229" y="1730"/>
                                    </a:lnTo>
                                    <a:lnTo>
                                      <a:pt x="12269" y="1774"/>
                                    </a:lnTo>
                                    <a:lnTo>
                                      <a:pt x="12318" y="1814"/>
                                    </a:lnTo>
                                    <a:lnTo>
                                      <a:pt x="12367" y="1850"/>
                                    </a:lnTo>
                                    <a:lnTo>
                                      <a:pt x="12425" y="1885"/>
                                    </a:lnTo>
                                    <a:lnTo>
                                      <a:pt x="12483" y="1908"/>
                                    </a:lnTo>
                                    <a:lnTo>
                                      <a:pt x="12550" y="1930"/>
                                    </a:lnTo>
                                    <a:lnTo>
                                      <a:pt x="12616" y="1943"/>
                                    </a:lnTo>
                                    <a:lnTo>
                                      <a:pt x="12683" y="1956"/>
                                    </a:lnTo>
                                    <a:lnTo>
                                      <a:pt x="12757" y="1956"/>
                                    </a:lnTo>
                                    <a:lnTo>
                                      <a:pt x="12815" y="1956"/>
                                    </a:lnTo>
                                    <a:lnTo>
                                      <a:pt x="12873" y="1947"/>
                                    </a:lnTo>
                                    <a:lnTo>
                                      <a:pt x="12926" y="1939"/>
                                    </a:lnTo>
                                    <a:lnTo>
                                      <a:pt x="12979" y="1925"/>
                                    </a:lnTo>
                                    <a:lnTo>
                                      <a:pt x="13033" y="1908"/>
                                    </a:lnTo>
                                    <a:lnTo>
                                      <a:pt x="13082" y="1885"/>
                                    </a:lnTo>
                                    <a:lnTo>
                                      <a:pt x="13135" y="1863"/>
                                    </a:lnTo>
                                    <a:lnTo>
                                      <a:pt x="13184" y="1832"/>
                                    </a:lnTo>
                                    <a:lnTo>
                                      <a:pt x="13091" y="1667"/>
                                    </a:lnTo>
                                    <a:lnTo>
                                      <a:pt x="13011" y="1707"/>
                                    </a:lnTo>
                                    <a:lnTo>
                                      <a:pt x="12971" y="1725"/>
                                    </a:lnTo>
                                    <a:lnTo>
                                      <a:pt x="12926" y="1739"/>
                                    </a:lnTo>
                                    <a:lnTo>
                                      <a:pt x="12886" y="1752"/>
                                    </a:lnTo>
                                    <a:lnTo>
                                      <a:pt x="12842" y="1761"/>
                                    </a:lnTo>
                                    <a:lnTo>
                                      <a:pt x="12798" y="1765"/>
                                    </a:lnTo>
                                    <a:lnTo>
                                      <a:pt x="12753" y="1769"/>
                                    </a:lnTo>
                                    <a:lnTo>
                                      <a:pt x="12700" y="1765"/>
                                    </a:lnTo>
                                    <a:lnTo>
                                      <a:pt x="12651" y="1761"/>
                                    </a:lnTo>
                                    <a:lnTo>
                                      <a:pt x="12602" y="1747"/>
                                    </a:lnTo>
                                    <a:lnTo>
                                      <a:pt x="12558" y="1730"/>
                                    </a:lnTo>
                                    <a:lnTo>
                                      <a:pt x="12518" y="1712"/>
                                    </a:lnTo>
                                    <a:lnTo>
                                      <a:pt x="12483" y="1690"/>
                                    </a:lnTo>
                                    <a:lnTo>
                                      <a:pt x="12447" y="1659"/>
                                    </a:lnTo>
                                    <a:lnTo>
                                      <a:pt x="12411" y="1632"/>
                                    </a:lnTo>
                                    <a:lnTo>
                                      <a:pt x="12385" y="1596"/>
                                    </a:lnTo>
                                    <a:lnTo>
                                      <a:pt x="12358" y="1561"/>
                                    </a:lnTo>
                                    <a:lnTo>
                                      <a:pt x="12336" y="1521"/>
                                    </a:lnTo>
                                    <a:lnTo>
                                      <a:pt x="12318" y="1481"/>
                                    </a:lnTo>
                                    <a:lnTo>
                                      <a:pt x="12305" y="1436"/>
                                    </a:lnTo>
                                    <a:lnTo>
                                      <a:pt x="12296" y="1387"/>
                                    </a:lnTo>
                                    <a:lnTo>
                                      <a:pt x="12287" y="1343"/>
                                    </a:lnTo>
                                    <a:lnTo>
                                      <a:pt x="12287" y="1294"/>
                                    </a:lnTo>
                                    <a:lnTo>
                                      <a:pt x="12287" y="1245"/>
                                    </a:lnTo>
                                    <a:lnTo>
                                      <a:pt x="12296" y="1196"/>
                                    </a:lnTo>
                                    <a:lnTo>
                                      <a:pt x="12305" y="1152"/>
                                    </a:lnTo>
                                    <a:lnTo>
                                      <a:pt x="12318" y="1107"/>
                                    </a:lnTo>
                                    <a:lnTo>
                                      <a:pt x="12336" y="1067"/>
                                    </a:lnTo>
                                    <a:lnTo>
                                      <a:pt x="12358" y="1027"/>
                                    </a:lnTo>
                                    <a:lnTo>
                                      <a:pt x="12385" y="991"/>
                                    </a:lnTo>
                                    <a:lnTo>
                                      <a:pt x="12411" y="956"/>
                                    </a:lnTo>
                                    <a:lnTo>
                                      <a:pt x="12447" y="925"/>
                                    </a:lnTo>
                                    <a:lnTo>
                                      <a:pt x="12483" y="898"/>
                                    </a:lnTo>
                                    <a:lnTo>
                                      <a:pt x="12518" y="876"/>
                                    </a:lnTo>
                                    <a:lnTo>
                                      <a:pt x="12558" y="854"/>
                                    </a:lnTo>
                                    <a:lnTo>
                                      <a:pt x="12602" y="840"/>
                                    </a:lnTo>
                                    <a:lnTo>
                                      <a:pt x="12651" y="827"/>
                                    </a:lnTo>
                                    <a:lnTo>
                                      <a:pt x="12700" y="818"/>
                                    </a:lnTo>
                                    <a:lnTo>
                                      <a:pt x="12753" y="818"/>
                                    </a:lnTo>
                                    <a:lnTo>
                                      <a:pt x="12798" y="818"/>
                                    </a:lnTo>
                                    <a:lnTo>
                                      <a:pt x="12842" y="827"/>
                                    </a:lnTo>
                                    <a:lnTo>
                                      <a:pt x="12886" y="836"/>
                                    </a:lnTo>
                                    <a:lnTo>
                                      <a:pt x="12926" y="845"/>
                                    </a:lnTo>
                                    <a:lnTo>
                                      <a:pt x="12971" y="863"/>
                                    </a:lnTo>
                                    <a:lnTo>
                                      <a:pt x="13011" y="881"/>
                                    </a:lnTo>
                                    <a:lnTo>
                                      <a:pt x="13091" y="920"/>
                                    </a:lnTo>
                                    <a:lnTo>
                                      <a:pt x="13184" y="751"/>
                                    </a:lnTo>
                                    <a:lnTo>
                                      <a:pt x="13135" y="725"/>
                                    </a:lnTo>
                                    <a:lnTo>
                                      <a:pt x="13082" y="698"/>
                                    </a:lnTo>
                                    <a:lnTo>
                                      <a:pt x="13033" y="680"/>
                                    </a:lnTo>
                                    <a:lnTo>
                                      <a:pt x="12979" y="663"/>
                                    </a:lnTo>
                                    <a:lnTo>
                                      <a:pt x="12926" y="645"/>
                                    </a:lnTo>
                                    <a:lnTo>
                                      <a:pt x="12873" y="636"/>
                                    </a:lnTo>
                                    <a:lnTo>
                                      <a:pt x="12815" y="632"/>
                                    </a:lnTo>
                                    <a:lnTo>
                                      <a:pt x="12757" y="627"/>
                                    </a:lnTo>
                                    <a:lnTo>
                                      <a:pt x="12683" y="632"/>
                                    </a:lnTo>
                                    <a:lnTo>
                                      <a:pt x="12616" y="640"/>
                                    </a:lnTo>
                                    <a:lnTo>
                                      <a:pt x="12550" y="658"/>
                                    </a:lnTo>
                                    <a:lnTo>
                                      <a:pt x="12483" y="676"/>
                                    </a:lnTo>
                                    <a:lnTo>
                                      <a:pt x="12425" y="703"/>
                                    </a:lnTo>
                                    <a:lnTo>
                                      <a:pt x="12367" y="734"/>
                                    </a:lnTo>
                                    <a:lnTo>
                                      <a:pt x="12318" y="769"/>
                                    </a:lnTo>
                                    <a:lnTo>
                                      <a:pt x="12269" y="813"/>
                                    </a:lnTo>
                                    <a:lnTo>
                                      <a:pt x="12229" y="858"/>
                                    </a:lnTo>
                                    <a:lnTo>
                                      <a:pt x="12189" y="907"/>
                                    </a:lnTo>
                                    <a:lnTo>
                                      <a:pt x="12158" y="965"/>
                                    </a:lnTo>
                                    <a:lnTo>
                                      <a:pt x="12131" y="1023"/>
                                    </a:lnTo>
                                    <a:lnTo>
                                      <a:pt x="12109" y="1085"/>
                                    </a:lnTo>
                                    <a:lnTo>
                                      <a:pt x="12091" y="1152"/>
                                    </a:lnTo>
                                    <a:lnTo>
                                      <a:pt x="12082" y="1218"/>
                                    </a:lnTo>
                                    <a:lnTo>
                                      <a:pt x="12082" y="1294"/>
                                    </a:lnTo>
                                    <a:close/>
                                    <a:moveTo>
                                      <a:pt x="14642" y="1285"/>
                                    </a:moveTo>
                                    <a:lnTo>
                                      <a:pt x="14642" y="1285"/>
                                    </a:lnTo>
                                    <a:lnTo>
                                      <a:pt x="14637" y="1218"/>
                                    </a:lnTo>
                                    <a:lnTo>
                                      <a:pt x="14633" y="1152"/>
                                    </a:lnTo>
                                    <a:lnTo>
                                      <a:pt x="14620" y="1085"/>
                                    </a:lnTo>
                                    <a:lnTo>
                                      <a:pt x="14607" y="1027"/>
                                    </a:lnTo>
                                    <a:lnTo>
                                      <a:pt x="14585" y="969"/>
                                    </a:lnTo>
                                    <a:lnTo>
                                      <a:pt x="14558" y="916"/>
                                    </a:lnTo>
                                    <a:lnTo>
                                      <a:pt x="14527" y="863"/>
                                    </a:lnTo>
                                    <a:lnTo>
                                      <a:pt x="14495" y="818"/>
                                    </a:lnTo>
                                    <a:lnTo>
                                      <a:pt x="14456" y="778"/>
                                    </a:lnTo>
                                    <a:lnTo>
                                      <a:pt x="14411" y="738"/>
                                    </a:lnTo>
                                    <a:lnTo>
                                      <a:pt x="14362" y="707"/>
                                    </a:lnTo>
                                    <a:lnTo>
                                      <a:pt x="14309" y="680"/>
                                    </a:lnTo>
                                    <a:lnTo>
                                      <a:pt x="14246" y="658"/>
                                    </a:lnTo>
                                    <a:lnTo>
                                      <a:pt x="14184" y="640"/>
                                    </a:lnTo>
                                    <a:lnTo>
                                      <a:pt x="14117" y="632"/>
                                    </a:lnTo>
                                    <a:lnTo>
                                      <a:pt x="14042" y="627"/>
                                    </a:lnTo>
                                    <a:lnTo>
                                      <a:pt x="13971" y="632"/>
                                    </a:lnTo>
                                    <a:lnTo>
                                      <a:pt x="13904" y="640"/>
                                    </a:lnTo>
                                    <a:lnTo>
                                      <a:pt x="13842" y="658"/>
                                    </a:lnTo>
                                    <a:lnTo>
                                      <a:pt x="13780" y="676"/>
                                    </a:lnTo>
                                    <a:lnTo>
                                      <a:pt x="13726" y="703"/>
                                    </a:lnTo>
                                    <a:lnTo>
                                      <a:pt x="13673" y="734"/>
                                    </a:lnTo>
                                    <a:lnTo>
                                      <a:pt x="13624" y="769"/>
                                    </a:lnTo>
                                    <a:lnTo>
                                      <a:pt x="13580" y="813"/>
                                    </a:lnTo>
                                    <a:lnTo>
                                      <a:pt x="13544" y="858"/>
                                    </a:lnTo>
                                    <a:lnTo>
                                      <a:pt x="13509" y="907"/>
                                    </a:lnTo>
                                    <a:lnTo>
                                      <a:pt x="13477" y="965"/>
                                    </a:lnTo>
                                    <a:lnTo>
                                      <a:pt x="13451" y="1023"/>
                                    </a:lnTo>
                                    <a:lnTo>
                                      <a:pt x="13433" y="1085"/>
                                    </a:lnTo>
                                    <a:lnTo>
                                      <a:pt x="13419" y="1152"/>
                                    </a:lnTo>
                                    <a:lnTo>
                                      <a:pt x="13411" y="1223"/>
                                    </a:lnTo>
                                    <a:lnTo>
                                      <a:pt x="13406" y="1294"/>
                                    </a:lnTo>
                                    <a:lnTo>
                                      <a:pt x="13411" y="1369"/>
                                    </a:lnTo>
                                    <a:lnTo>
                                      <a:pt x="13419" y="1436"/>
                                    </a:lnTo>
                                    <a:lnTo>
                                      <a:pt x="13433" y="1503"/>
                                    </a:lnTo>
                                    <a:lnTo>
                                      <a:pt x="13451" y="1565"/>
                                    </a:lnTo>
                                    <a:lnTo>
                                      <a:pt x="13477" y="1623"/>
                                    </a:lnTo>
                                    <a:lnTo>
                                      <a:pt x="13509" y="1676"/>
                                    </a:lnTo>
                                    <a:lnTo>
                                      <a:pt x="13544" y="1730"/>
                                    </a:lnTo>
                                    <a:lnTo>
                                      <a:pt x="13584" y="1774"/>
                                    </a:lnTo>
                                    <a:lnTo>
                                      <a:pt x="13629" y="1814"/>
                                    </a:lnTo>
                                    <a:lnTo>
                                      <a:pt x="13677" y="1850"/>
                                    </a:lnTo>
                                    <a:lnTo>
                                      <a:pt x="13731" y="1885"/>
                                    </a:lnTo>
                                    <a:lnTo>
                                      <a:pt x="13789" y="1908"/>
                                    </a:lnTo>
                                    <a:lnTo>
                                      <a:pt x="13851" y="1930"/>
                                    </a:lnTo>
                                    <a:lnTo>
                                      <a:pt x="13913" y="1943"/>
                                    </a:lnTo>
                                    <a:lnTo>
                                      <a:pt x="13984" y="1956"/>
                                    </a:lnTo>
                                    <a:lnTo>
                                      <a:pt x="14055" y="1956"/>
                                    </a:lnTo>
                                    <a:lnTo>
                                      <a:pt x="14113" y="1956"/>
                                    </a:lnTo>
                                    <a:lnTo>
                                      <a:pt x="14166" y="1947"/>
                                    </a:lnTo>
                                    <a:lnTo>
                                      <a:pt x="14215" y="1939"/>
                                    </a:lnTo>
                                    <a:lnTo>
                                      <a:pt x="14264" y="1930"/>
                                    </a:lnTo>
                                    <a:lnTo>
                                      <a:pt x="14304" y="1912"/>
                                    </a:lnTo>
                                    <a:lnTo>
                                      <a:pt x="14349" y="1898"/>
                                    </a:lnTo>
                                    <a:lnTo>
                                      <a:pt x="14384" y="1876"/>
                                    </a:lnTo>
                                    <a:lnTo>
                                      <a:pt x="14420" y="1854"/>
                                    </a:lnTo>
                                    <a:lnTo>
                                      <a:pt x="14482" y="1810"/>
                                    </a:lnTo>
                                    <a:lnTo>
                                      <a:pt x="14536" y="1761"/>
                                    </a:lnTo>
                                    <a:lnTo>
                                      <a:pt x="14580" y="1707"/>
                                    </a:lnTo>
                                    <a:lnTo>
                                      <a:pt x="14620" y="1659"/>
                                    </a:lnTo>
                                    <a:lnTo>
                                      <a:pt x="14478" y="1530"/>
                                    </a:lnTo>
                                    <a:lnTo>
                                      <a:pt x="14446" y="1569"/>
                                    </a:lnTo>
                                    <a:lnTo>
                                      <a:pt x="14411" y="1610"/>
                                    </a:lnTo>
                                    <a:lnTo>
                                      <a:pt x="14371" y="1650"/>
                                    </a:lnTo>
                                    <a:lnTo>
                                      <a:pt x="14322" y="1685"/>
                                    </a:lnTo>
                                    <a:lnTo>
                                      <a:pt x="14269" y="1721"/>
                                    </a:lnTo>
                                    <a:lnTo>
                                      <a:pt x="14238" y="1734"/>
                                    </a:lnTo>
                                    <a:lnTo>
                                      <a:pt x="14207" y="1743"/>
                                    </a:lnTo>
                                    <a:lnTo>
                                      <a:pt x="14171" y="1756"/>
                                    </a:lnTo>
                                    <a:lnTo>
                                      <a:pt x="14136" y="1761"/>
                                    </a:lnTo>
                                    <a:lnTo>
                                      <a:pt x="14095" y="1765"/>
                                    </a:lnTo>
                                    <a:lnTo>
                                      <a:pt x="14051" y="1769"/>
                                    </a:lnTo>
                                    <a:lnTo>
                                      <a:pt x="14002" y="1765"/>
                                    </a:lnTo>
                                    <a:lnTo>
                                      <a:pt x="13958" y="1761"/>
                                    </a:lnTo>
                                    <a:lnTo>
                                      <a:pt x="13913" y="1752"/>
                                    </a:lnTo>
                                    <a:lnTo>
                                      <a:pt x="13873" y="1739"/>
                                    </a:lnTo>
                                    <a:lnTo>
                                      <a:pt x="13833" y="1721"/>
                                    </a:lnTo>
                                    <a:lnTo>
                                      <a:pt x="13797" y="1698"/>
                                    </a:lnTo>
                                    <a:lnTo>
                                      <a:pt x="13762" y="1676"/>
                                    </a:lnTo>
                                    <a:lnTo>
                                      <a:pt x="13731" y="1645"/>
                                    </a:lnTo>
                                    <a:lnTo>
                                      <a:pt x="13704" y="1618"/>
                                    </a:lnTo>
                                    <a:lnTo>
                                      <a:pt x="13677" y="1583"/>
                                    </a:lnTo>
                                    <a:lnTo>
                                      <a:pt x="13660" y="1547"/>
                                    </a:lnTo>
                                    <a:lnTo>
                                      <a:pt x="13638" y="1507"/>
                                    </a:lnTo>
                                    <a:lnTo>
                                      <a:pt x="13624" y="1463"/>
                                    </a:lnTo>
                                    <a:lnTo>
                                      <a:pt x="13615" y="1418"/>
                                    </a:lnTo>
                                    <a:lnTo>
                                      <a:pt x="13606" y="1369"/>
                                    </a:lnTo>
                                    <a:lnTo>
                                      <a:pt x="13606" y="1320"/>
                                    </a:lnTo>
                                    <a:lnTo>
                                      <a:pt x="14642" y="1320"/>
                                    </a:lnTo>
                                    <a:lnTo>
                                      <a:pt x="14642" y="1285"/>
                                    </a:lnTo>
                                    <a:close/>
                                    <a:moveTo>
                                      <a:pt x="13611" y="1169"/>
                                    </a:moveTo>
                                    <a:lnTo>
                                      <a:pt x="13611" y="1169"/>
                                    </a:lnTo>
                                    <a:lnTo>
                                      <a:pt x="13619" y="1129"/>
                                    </a:lnTo>
                                    <a:lnTo>
                                      <a:pt x="13629" y="1089"/>
                                    </a:lnTo>
                                    <a:lnTo>
                                      <a:pt x="13642" y="1049"/>
                                    </a:lnTo>
                                    <a:lnTo>
                                      <a:pt x="13660" y="1014"/>
                                    </a:lnTo>
                                    <a:lnTo>
                                      <a:pt x="13677" y="983"/>
                                    </a:lnTo>
                                    <a:lnTo>
                                      <a:pt x="13700" y="952"/>
                                    </a:lnTo>
                                    <a:lnTo>
                                      <a:pt x="13726" y="925"/>
                                    </a:lnTo>
                                    <a:lnTo>
                                      <a:pt x="13753" y="903"/>
                                    </a:lnTo>
                                    <a:lnTo>
                                      <a:pt x="13780" y="881"/>
                                    </a:lnTo>
                                    <a:lnTo>
                                      <a:pt x="13811" y="863"/>
                                    </a:lnTo>
                                    <a:lnTo>
                                      <a:pt x="13842" y="845"/>
                                    </a:lnTo>
                                    <a:lnTo>
                                      <a:pt x="13878" y="832"/>
                                    </a:lnTo>
                                    <a:lnTo>
                                      <a:pt x="13913" y="823"/>
                                    </a:lnTo>
                                    <a:lnTo>
                                      <a:pt x="13953" y="813"/>
                                    </a:lnTo>
                                    <a:lnTo>
                                      <a:pt x="13989" y="809"/>
                                    </a:lnTo>
                                    <a:lnTo>
                                      <a:pt x="14029" y="809"/>
                                    </a:lnTo>
                                    <a:lnTo>
                                      <a:pt x="14073" y="809"/>
                                    </a:lnTo>
                                    <a:lnTo>
                                      <a:pt x="14117" y="818"/>
                                    </a:lnTo>
                                    <a:lnTo>
                                      <a:pt x="14153" y="823"/>
                                    </a:lnTo>
                                    <a:lnTo>
                                      <a:pt x="14193" y="836"/>
                                    </a:lnTo>
                                    <a:lnTo>
                                      <a:pt x="14224" y="849"/>
                                    </a:lnTo>
                                    <a:lnTo>
                                      <a:pt x="14260" y="863"/>
                                    </a:lnTo>
                                    <a:lnTo>
                                      <a:pt x="14287" y="885"/>
                                    </a:lnTo>
                                    <a:lnTo>
                                      <a:pt x="14313" y="907"/>
                                    </a:lnTo>
                                    <a:lnTo>
                                      <a:pt x="14336" y="929"/>
                                    </a:lnTo>
                                    <a:lnTo>
                                      <a:pt x="14358" y="956"/>
                                    </a:lnTo>
                                    <a:lnTo>
                                      <a:pt x="14375" y="987"/>
                                    </a:lnTo>
                                    <a:lnTo>
                                      <a:pt x="14393" y="1018"/>
                                    </a:lnTo>
                                    <a:lnTo>
                                      <a:pt x="14407" y="1054"/>
                                    </a:lnTo>
                                    <a:lnTo>
                                      <a:pt x="14415" y="1089"/>
                                    </a:lnTo>
                                    <a:lnTo>
                                      <a:pt x="14424" y="1129"/>
                                    </a:lnTo>
                                    <a:lnTo>
                                      <a:pt x="14429" y="1169"/>
                                    </a:lnTo>
                                    <a:lnTo>
                                      <a:pt x="13611" y="1169"/>
                                    </a:lnTo>
                                    <a:close/>
                                    <a:moveTo>
                                      <a:pt x="14971" y="1917"/>
                                    </a:moveTo>
                                    <a:lnTo>
                                      <a:pt x="15167" y="1917"/>
                                    </a:lnTo>
                                    <a:lnTo>
                                      <a:pt x="15167" y="1294"/>
                                    </a:lnTo>
                                    <a:lnTo>
                                      <a:pt x="15167" y="1232"/>
                                    </a:lnTo>
                                    <a:lnTo>
                                      <a:pt x="15171" y="1178"/>
                                    </a:lnTo>
                                    <a:lnTo>
                                      <a:pt x="15180" y="1125"/>
                                    </a:lnTo>
                                    <a:lnTo>
                                      <a:pt x="15189" y="1081"/>
                                    </a:lnTo>
                                    <a:lnTo>
                                      <a:pt x="15202" y="1036"/>
                                    </a:lnTo>
                                    <a:lnTo>
                                      <a:pt x="15220" y="1000"/>
                                    </a:lnTo>
                                    <a:lnTo>
                                      <a:pt x="15238" y="965"/>
                                    </a:lnTo>
                                    <a:lnTo>
                                      <a:pt x="15260" y="934"/>
                                    </a:lnTo>
                                    <a:lnTo>
                                      <a:pt x="15282" y="907"/>
                                    </a:lnTo>
                                    <a:lnTo>
                                      <a:pt x="15309" y="885"/>
                                    </a:lnTo>
                                    <a:lnTo>
                                      <a:pt x="15335" y="867"/>
                                    </a:lnTo>
                                    <a:lnTo>
                                      <a:pt x="15362" y="849"/>
                                    </a:lnTo>
                                    <a:lnTo>
                                      <a:pt x="15398" y="836"/>
                                    </a:lnTo>
                                    <a:lnTo>
                                      <a:pt x="15429" y="832"/>
                                    </a:lnTo>
                                    <a:lnTo>
                                      <a:pt x="15464" y="827"/>
                                    </a:lnTo>
                                    <a:lnTo>
                                      <a:pt x="15500" y="823"/>
                                    </a:lnTo>
                                    <a:lnTo>
                                      <a:pt x="15536" y="823"/>
                                    </a:lnTo>
                                    <a:lnTo>
                                      <a:pt x="15567" y="827"/>
                                    </a:lnTo>
                                    <a:lnTo>
                                      <a:pt x="15598" y="836"/>
                                    </a:lnTo>
                                    <a:lnTo>
                                      <a:pt x="15629" y="845"/>
                                    </a:lnTo>
                                    <a:lnTo>
                                      <a:pt x="15655" y="858"/>
                                    </a:lnTo>
                                    <a:lnTo>
                                      <a:pt x="15678" y="871"/>
                                    </a:lnTo>
                                    <a:lnTo>
                                      <a:pt x="15700" y="889"/>
                                    </a:lnTo>
                                    <a:lnTo>
                                      <a:pt x="15718" y="912"/>
                                    </a:lnTo>
                                    <a:lnTo>
                                      <a:pt x="15736" y="938"/>
                                    </a:lnTo>
                                    <a:lnTo>
                                      <a:pt x="15749" y="961"/>
                                    </a:lnTo>
                                    <a:lnTo>
                                      <a:pt x="15762" y="991"/>
                                    </a:lnTo>
                                    <a:lnTo>
                                      <a:pt x="15776" y="1023"/>
                                    </a:lnTo>
                                    <a:lnTo>
                                      <a:pt x="15780" y="1058"/>
                                    </a:lnTo>
                                    <a:lnTo>
                                      <a:pt x="15789" y="1098"/>
                                    </a:lnTo>
                                    <a:lnTo>
                                      <a:pt x="15794" y="1178"/>
                                    </a:lnTo>
                                    <a:lnTo>
                                      <a:pt x="15794" y="1917"/>
                                    </a:lnTo>
                                    <a:lnTo>
                                      <a:pt x="15985" y="1917"/>
                                    </a:lnTo>
                                    <a:lnTo>
                                      <a:pt x="15985" y="1267"/>
                                    </a:lnTo>
                                    <a:lnTo>
                                      <a:pt x="15989" y="1210"/>
                                    </a:lnTo>
                                    <a:lnTo>
                                      <a:pt x="15994" y="1156"/>
                                    </a:lnTo>
                                    <a:lnTo>
                                      <a:pt x="16002" y="1107"/>
                                    </a:lnTo>
                                    <a:lnTo>
                                      <a:pt x="16011" y="1063"/>
                                    </a:lnTo>
                                    <a:lnTo>
                                      <a:pt x="16025" y="1023"/>
                                    </a:lnTo>
                                    <a:lnTo>
                                      <a:pt x="16043" y="987"/>
                                    </a:lnTo>
                                    <a:lnTo>
                                      <a:pt x="16060" y="952"/>
                                    </a:lnTo>
                                    <a:lnTo>
                                      <a:pt x="16082" y="925"/>
                                    </a:lnTo>
                                    <a:lnTo>
                                      <a:pt x="16104" y="903"/>
                                    </a:lnTo>
                                    <a:lnTo>
                                      <a:pt x="16131" y="881"/>
                                    </a:lnTo>
                                    <a:lnTo>
                                      <a:pt x="16158" y="863"/>
                                    </a:lnTo>
                                    <a:lnTo>
                                      <a:pt x="16189" y="849"/>
                                    </a:lnTo>
                                    <a:lnTo>
                                      <a:pt x="16220" y="836"/>
                                    </a:lnTo>
                                    <a:lnTo>
                                      <a:pt x="16251" y="827"/>
                                    </a:lnTo>
                                    <a:lnTo>
                                      <a:pt x="16287" y="823"/>
                                    </a:lnTo>
                                    <a:lnTo>
                                      <a:pt x="16323" y="823"/>
                                    </a:lnTo>
                                    <a:lnTo>
                                      <a:pt x="16358" y="823"/>
                                    </a:lnTo>
                                    <a:lnTo>
                                      <a:pt x="16389" y="827"/>
                                    </a:lnTo>
                                    <a:lnTo>
                                      <a:pt x="16420" y="836"/>
                                    </a:lnTo>
                                    <a:lnTo>
                                      <a:pt x="16447" y="845"/>
                                    </a:lnTo>
                                    <a:lnTo>
                                      <a:pt x="16474" y="854"/>
                                    </a:lnTo>
                                    <a:lnTo>
                                      <a:pt x="16496" y="867"/>
                                    </a:lnTo>
                                    <a:lnTo>
                                      <a:pt x="16518" y="885"/>
                                    </a:lnTo>
                                    <a:lnTo>
                                      <a:pt x="16536" y="903"/>
                                    </a:lnTo>
                                    <a:lnTo>
                                      <a:pt x="16554" y="925"/>
                                    </a:lnTo>
                                    <a:lnTo>
                                      <a:pt x="16567" y="947"/>
                                    </a:lnTo>
                                    <a:lnTo>
                                      <a:pt x="16580" y="974"/>
                                    </a:lnTo>
                                    <a:lnTo>
                                      <a:pt x="16594" y="1005"/>
                                    </a:lnTo>
                                    <a:lnTo>
                                      <a:pt x="16598" y="1036"/>
                                    </a:lnTo>
                                    <a:lnTo>
                                      <a:pt x="16607" y="1067"/>
                                    </a:lnTo>
                                    <a:lnTo>
                                      <a:pt x="16611" y="1143"/>
                                    </a:lnTo>
                                    <a:lnTo>
                                      <a:pt x="16611" y="1917"/>
                                    </a:lnTo>
                                    <a:lnTo>
                                      <a:pt x="16802" y="1917"/>
                                    </a:lnTo>
                                    <a:lnTo>
                                      <a:pt x="16802" y="1139"/>
                                    </a:lnTo>
                                    <a:lnTo>
                                      <a:pt x="16802" y="1071"/>
                                    </a:lnTo>
                                    <a:lnTo>
                                      <a:pt x="16798" y="1010"/>
                                    </a:lnTo>
                                    <a:lnTo>
                                      <a:pt x="16785" y="952"/>
                                    </a:lnTo>
                                    <a:lnTo>
                                      <a:pt x="16772" y="903"/>
                                    </a:lnTo>
                                    <a:lnTo>
                                      <a:pt x="16754" y="854"/>
                                    </a:lnTo>
                                    <a:lnTo>
                                      <a:pt x="16731" y="813"/>
                                    </a:lnTo>
                                    <a:lnTo>
                                      <a:pt x="16709" y="778"/>
                                    </a:lnTo>
                                    <a:lnTo>
                                      <a:pt x="16678" y="742"/>
                                    </a:lnTo>
                                    <a:lnTo>
                                      <a:pt x="16651" y="716"/>
                                    </a:lnTo>
                                    <a:lnTo>
                                      <a:pt x="16616" y="694"/>
                                    </a:lnTo>
                                    <a:lnTo>
                                      <a:pt x="16580" y="671"/>
                                    </a:lnTo>
                                    <a:lnTo>
                                      <a:pt x="16545" y="658"/>
                                    </a:lnTo>
                                    <a:lnTo>
                                      <a:pt x="16505" y="645"/>
                                    </a:lnTo>
                                    <a:lnTo>
                                      <a:pt x="16465" y="636"/>
                                    </a:lnTo>
                                    <a:lnTo>
                                      <a:pt x="16420" y="632"/>
                                    </a:lnTo>
                                    <a:lnTo>
                                      <a:pt x="16380" y="627"/>
                                    </a:lnTo>
                                    <a:lnTo>
                                      <a:pt x="16314" y="632"/>
                                    </a:lnTo>
                                    <a:lnTo>
                                      <a:pt x="16247" y="645"/>
                                    </a:lnTo>
                                    <a:lnTo>
                                      <a:pt x="16189" y="667"/>
                                    </a:lnTo>
                                    <a:lnTo>
                                      <a:pt x="16131" y="694"/>
                                    </a:lnTo>
                                    <a:lnTo>
                                      <a:pt x="16104" y="712"/>
                                    </a:lnTo>
                                    <a:lnTo>
                                      <a:pt x="16078" y="734"/>
                                    </a:lnTo>
                                    <a:lnTo>
                                      <a:pt x="16056" y="756"/>
                                    </a:lnTo>
                                    <a:lnTo>
                                      <a:pt x="16033" y="783"/>
                                    </a:lnTo>
                                    <a:lnTo>
                                      <a:pt x="16016" y="809"/>
                                    </a:lnTo>
                                    <a:lnTo>
                                      <a:pt x="15998" y="840"/>
                                    </a:lnTo>
                                    <a:lnTo>
                                      <a:pt x="15980" y="871"/>
                                    </a:lnTo>
                                    <a:lnTo>
                                      <a:pt x="15967" y="907"/>
                                    </a:lnTo>
                                    <a:lnTo>
                                      <a:pt x="15958" y="907"/>
                                    </a:lnTo>
                                    <a:lnTo>
                                      <a:pt x="15931" y="840"/>
                                    </a:lnTo>
                                    <a:lnTo>
                                      <a:pt x="15896" y="783"/>
                                    </a:lnTo>
                                    <a:lnTo>
                                      <a:pt x="15856" y="734"/>
                                    </a:lnTo>
                                    <a:lnTo>
                                      <a:pt x="15807" y="698"/>
                                    </a:lnTo>
                                    <a:lnTo>
                                      <a:pt x="15754" y="667"/>
                                    </a:lnTo>
                                    <a:lnTo>
                                      <a:pt x="15696" y="645"/>
                                    </a:lnTo>
                                    <a:lnTo>
                                      <a:pt x="15633" y="632"/>
                                    </a:lnTo>
                                    <a:lnTo>
                                      <a:pt x="15562" y="627"/>
                                    </a:lnTo>
                                    <a:lnTo>
                                      <a:pt x="15496" y="632"/>
                                    </a:lnTo>
                                    <a:lnTo>
                                      <a:pt x="15433" y="645"/>
                                    </a:lnTo>
                                    <a:lnTo>
                                      <a:pt x="15376" y="667"/>
                                    </a:lnTo>
                                    <a:lnTo>
                                      <a:pt x="15322" y="694"/>
                                    </a:lnTo>
                                    <a:lnTo>
                                      <a:pt x="15273" y="729"/>
                                    </a:lnTo>
                                    <a:lnTo>
                                      <a:pt x="15233" y="778"/>
                                    </a:lnTo>
                                    <a:lnTo>
                                      <a:pt x="15202" y="832"/>
                                    </a:lnTo>
                                    <a:lnTo>
                                      <a:pt x="15171" y="894"/>
                                    </a:lnTo>
                                    <a:lnTo>
                                      <a:pt x="15167" y="894"/>
                                    </a:lnTo>
                                    <a:lnTo>
                                      <a:pt x="15167" y="671"/>
                                    </a:lnTo>
                                    <a:lnTo>
                                      <a:pt x="14971" y="671"/>
                                    </a:lnTo>
                                    <a:lnTo>
                                      <a:pt x="14971" y="1917"/>
                                    </a:lnTo>
                                    <a:close/>
                                    <a:moveTo>
                                      <a:pt x="18354" y="1285"/>
                                    </a:moveTo>
                                    <a:lnTo>
                                      <a:pt x="18354" y="1285"/>
                                    </a:lnTo>
                                    <a:lnTo>
                                      <a:pt x="18354" y="1218"/>
                                    </a:lnTo>
                                    <a:lnTo>
                                      <a:pt x="18345" y="1152"/>
                                    </a:lnTo>
                                    <a:lnTo>
                                      <a:pt x="18336" y="1085"/>
                                    </a:lnTo>
                                    <a:lnTo>
                                      <a:pt x="18318" y="1027"/>
                                    </a:lnTo>
                                    <a:lnTo>
                                      <a:pt x="18301" y="969"/>
                                    </a:lnTo>
                                    <a:lnTo>
                                      <a:pt x="18274" y="916"/>
                                    </a:lnTo>
                                    <a:lnTo>
                                      <a:pt x="18243" y="863"/>
                                    </a:lnTo>
                                    <a:lnTo>
                                      <a:pt x="18208" y="818"/>
                                    </a:lnTo>
                                    <a:lnTo>
                                      <a:pt x="18172" y="778"/>
                                    </a:lnTo>
                                    <a:lnTo>
                                      <a:pt x="18127" y="738"/>
                                    </a:lnTo>
                                    <a:lnTo>
                                      <a:pt x="18078" y="707"/>
                                    </a:lnTo>
                                    <a:lnTo>
                                      <a:pt x="18021" y="680"/>
                                    </a:lnTo>
                                    <a:lnTo>
                                      <a:pt x="17963" y="658"/>
                                    </a:lnTo>
                                    <a:lnTo>
                                      <a:pt x="17901" y="640"/>
                                    </a:lnTo>
                                    <a:lnTo>
                                      <a:pt x="17830" y="632"/>
                                    </a:lnTo>
                                    <a:lnTo>
                                      <a:pt x="17758" y="627"/>
                                    </a:lnTo>
                                    <a:lnTo>
                                      <a:pt x="17687" y="632"/>
                                    </a:lnTo>
                                    <a:lnTo>
                                      <a:pt x="17620" y="640"/>
                                    </a:lnTo>
                                    <a:lnTo>
                                      <a:pt x="17558" y="658"/>
                                    </a:lnTo>
                                    <a:lnTo>
                                      <a:pt x="17496" y="676"/>
                                    </a:lnTo>
                                    <a:lnTo>
                                      <a:pt x="17443" y="703"/>
                                    </a:lnTo>
                                    <a:lnTo>
                                      <a:pt x="17390" y="734"/>
                                    </a:lnTo>
                                    <a:lnTo>
                                      <a:pt x="17341" y="769"/>
                                    </a:lnTo>
                                    <a:lnTo>
                                      <a:pt x="17296" y="813"/>
                                    </a:lnTo>
                                    <a:lnTo>
                                      <a:pt x="17256" y="858"/>
                                    </a:lnTo>
                                    <a:lnTo>
                                      <a:pt x="17225" y="907"/>
                                    </a:lnTo>
                                    <a:lnTo>
                                      <a:pt x="17194" y="965"/>
                                    </a:lnTo>
                                    <a:lnTo>
                                      <a:pt x="17167" y="1023"/>
                                    </a:lnTo>
                                    <a:lnTo>
                                      <a:pt x="17149" y="1085"/>
                                    </a:lnTo>
                                    <a:lnTo>
                                      <a:pt x="17136" y="1152"/>
                                    </a:lnTo>
                                    <a:lnTo>
                                      <a:pt x="17127" y="1223"/>
                                    </a:lnTo>
                                    <a:lnTo>
                                      <a:pt x="17122" y="1294"/>
                                    </a:lnTo>
                                    <a:lnTo>
                                      <a:pt x="17127" y="1369"/>
                                    </a:lnTo>
                                    <a:lnTo>
                                      <a:pt x="17136" y="1436"/>
                                    </a:lnTo>
                                    <a:lnTo>
                                      <a:pt x="17149" y="1503"/>
                                    </a:lnTo>
                                    <a:lnTo>
                                      <a:pt x="17167" y="1565"/>
                                    </a:lnTo>
                                    <a:lnTo>
                                      <a:pt x="17194" y="1623"/>
                                    </a:lnTo>
                                    <a:lnTo>
                                      <a:pt x="17225" y="1676"/>
                                    </a:lnTo>
                                    <a:lnTo>
                                      <a:pt x="17261" y="1730"/>
                                    </a:lnTo>
                                    <a:lnTo>
                                      <a:pt x="17300" y="1774"/>
                                    </a:lnTo>
                                    <a:lnTo>
                                      <a:pt x="17345" y="1814"/>
                                    </a:lnTo>
                                    <a:lnTo>
                                      <a:pt x="17394" y="1850"/>
                                    </a:lnTo>
                                    <a:lnTo>
                                      <a:pt x="17447" y="1885"/>
                                    </a:lnTo>
                                    <a:lnTo>
                                      <a:pt x="17500" y="1908"/>
                                    </a:lnTo>
                                    <a:lnTo>
                                      <a:pt x="17563" y="1930"/>
                                    </a:lnTo>
                                    <a:lnTo>
                                      <a:pt x="17629" y="1943"/>
                                    </a:lnTo>
                                    <a:lnTo>
                                      <a:pt x="17696" y="1956"/>
                                    </a:lnTo>
                                    <a:lnTo>
                                      <a:pt x="17772" y="1956"/>
                                    </a:lnTo>
                                    <a:lnTo>
                                      <a:pt x="17825" y="1956"/>
                                    </a:lnTo>
                                    <a:lnTo>
                                      <a:pt x="17883" y="1947"/>
                                    </a:lnTo>
                                    <a:lnTo>
                                      <a:pt x="17932" y="1939"/>
                                    </a:lnTo>
                                    <a:lnTo>
                                      <a:pt x="17976" y="1930"/>
                                    </a:lnTo>
                                    <a:lnTo>
                                      <a:pt x="18021" y="1912"/>
                                    </a:lnTo>
                                    <a:lnTo>
                                      <a:pt x="18061" y="1898"/>
                                    </a:lnTo>
                                    <a:lnTo>
                                      <a:pt x="18101" y="1876"/>
                                    </a:lnTo>
                                    <a:lnTo>
                                      <a:pt x="18136" y="1854"/>
                                    </a:lnTo>
                                    <a:lnTo>
                                      <a:pt x="18198" y="1810"/>
                                    </a:lnTo>
                                    <a:lnTo>
                                      <a:pt x="18252" y="1761"/>
                                    </a:lnTo>
                                    <a:lnTo>
                                      <a:pt x="18296" y="1707"/>
                                    </a:lnTo>
                                    <a:lnTo>
                                      <a:pt x="18336" y="1659"/>
                                    </a:lnTo>
                                    <a:lnTo>
                                      <a:pt x="18194" y="1530"/>
                                    </a:lnTo>
                                    <a:lnTo>
                                      <a:pt x="18163" y="1569"/>
                                    </a:lnTo>
                                    <a:lnTo>
                                      <a:pt x="18127" y="1610"/>
                                    </a:lnTo>
                                    <a:lnTo>
                                      <a:pt x="18088" y="1650"/>
                                    </a:lnTo>
                                    <a:lnTo>
                                      <a:pt x="18038" y="1685"/>
                                    </a:lnTo>
                                    <a:lnTo>
                                      <a:pt x="17985" y="1721"/>
                                    </a:lnTo>
                                    <a:lnTo>
                                      <a:pt x="17954" y="1734"/>
                                    </a:lnTo>
                                    <a:lnTo>
                                      <a:pt x="17923" y="1743"/>
                                    </a:lnTo>
                                    <a:lnTo>
                                      <a:pt x="17887" y="1756"/>
                                    </a:lnTo>
                                    <a:lnTo>
                                      <a:pt x="17847" y="1761"/>
                                    </a:lnTo>
                                    <a:lnTo>
                                      <a:pt x="17812" y="1765"/>
                                    </a:lnTo>
                                    <a:lnTo>
                                      <a:pt x="17767" y="1769"/>
                                    </a:lnTo>
                                    <a:lnTo>
                                      <a:pt x="17718" y="1765"/>
                                    </a:lnTo>
                                    <a:lnTo>
                                      <a:pt x="17674" y="1761"/>
                                    </a:lnTo>
                                    <a:lnTo>
                                      <a:pt x="17629" y="1752"/>
                                    </a:lnTo>
                                    <a:lnTo>
                                      <a:pt x="17590" y="1739"/>
                                    </a:lnTo>
                                    <a:lnTo>
                                      <a:pt x="17549" y="1721"/>
                                    </a:lnTo>
                                    <a:lnTo>
                                      <a:pt x="17514" y="1698"/>
                                    </a:lnTo>
                                    <a:lnTo>
                                      <a:pt x="17478" y="1676"/>
                                    </a:lnTo>
                                    <a:lnTo>
                                      <a:pt x="17447" y="1645"/>
                                    </a:lnTo>
                                    <a:lnTo>
                                      <a:pt x="17420" y="1618"/>
                                    </a:lnTo>
                                    <a:lnTo>
                                      <a:pt x="17394" y="1583"/>
                                    </a:lnTo>
                                    <a:lnTo>
                                      <a:pt x="17371" y="1547"/>
                                    </a:lnTo>
                                    <a:lnTo>
                                      <a:pt x="17354" y="1507"/>
                                    </a:lnTo>
                                    <a:lnTo>
                                      <a:pt x="17341" y="1463"/>
                                    </a:lnTo>
                                    <a:lnTo>
                                      <a:pt x="17332" y="1418"/>
                                    </a:lnTo>
                                    <a:lnTo>
                                      <a:pt x="17323" y="1369"/>
                                    </a:lnTo>
                                    <a:lnTo>
                                      <a:pt x="17318" y="1320"/>
                                    </a:lnTo>
                                    <a:lnTo>
                                      <a:pt x="18354" y="1320"/>
                                    </a:lnTo>
                                    <a:lnTo>
                                      <a:pt x="18354" y="1285"/>
                                    </a:lnTo>
                                    <a:close/>
                                    <a:moveTo>
                                      <a:pt x="17327" y="1169"/>
                                    </a:moveTo>
                                    <a:lnTo>
                                      <a:pt x="17327" y="1169"/>
                                    </a:lnTo>
                                    <a:lnTo>
                                      <a:pt x="17336" y="1129"/>
                                    </a:lnTo>
                                    <a:lnTo>
                                      <a:pt x="17345" y="1089"/>
                                    </a:lnTo>
                                    <a:lnTo>
                                      <a:pt x="17358" y="1049"/>
                                    </a:lnTo>
                                    <a:lnTo>
                                      <a:pt x="17376" y="1014"/>
                                    </a:lnTo>
                                    <a:lnTo>
                                      <a:pt x="17394" y="983"/>
                                    </a:lnTo>
                                    <a:lnTo>
                                      <a:pt x="17416" y="952"/>
                                    </a:lnTo>
                                    <a:lnTo>
                                      <a:pt x="17438" y="925"/>
                                    </a:lnTo>
                                    <a:lnTo>
                                      <a:pt x="17465" y="903"/>
                                    </a:lnTo>
                                    <a:lnTo>
                                      <a:pt x="17496" y="881"/>
                                    </a:lnTo>
                                    <a:lnTo>
                                      <a:pt x="17527" y="863"/>
                                    </a:lnTo>
                                    <a:lnTo>
                                      <a:pt x="17558" y="845"/>
                                    </a:lnTo>
                                    <a:lnTo>
                                      <a:pt x="17594" y="832"/>
                                    </a:lnTo>
                                    <a:lnTo>
                                      <a:pt x="17629" y="823"/>
                                    </a:lnTo>
                                    <a:lnTo>
                                      <a:pt x="17665" y="813"/>
                                    </a:lnTo>
                                    <a:lnTo>
                                      <a:pt x="17705" y="809"/>
                                    </a:lnTo>
                                    <a:lnTo>
                                      <a:pt x="17745" y="809"/>
                                    </a:lnTo>
                                    <a:lnTo>
                                      <a:pt x="17790" y="809"/>
                                    </a:lnTo>
                                    <a:lnTo>
                                      <a:pt x="17830" y="818"/>
                                    </a:lnTo>
                                    <a:lnTo>
                                      <a:pt x="17869" y="823"/>
                                    </a:lnTo>
                                    <a:lnTo>
                                      <a:pt x="17905" y="836"/>
                                    </a:lnTo>
                                    <a:lnTo>
                                      <a:pt x="17940" y="849"/>
                                    </a:lnTo>
                                    <a:lnTo>
                                      <a:pt x="17972" y="863"/>
                                    </a:lnTo>
                                    <a:lnTo>
                                      <a:pt x="18003" y="885"/>
                                    </a:lnTo>
                                    <a:lnTo>
                                      <a:pt x="18030" y="907"/>
                                    </a:lnTo>
                                    <a:lnTo>
                                      <a:pt x="18052" y="929"/>
                                    </a:lnTo>
                                    <a:lnTo>
                                      <a:pt x="18074" y="956"/>
                                    </a:lnTo>
                                    <a:lnTo>
                                      <a:pt x="18092" y="987"/>
                                    </a:lnTo>
                                    <a:lnTo>
                                      <a:pt x="18110" y="1018"/>
                                    </a:lnTo>
                                    <a:lnTo>
                                      <a:pt x="18123" y="1054"/>
                                    </a:lnTo>
                                    <a:lnTo>
                                      <a:pt x="18132" y="1089"/>
                                    </a:lnTo>
                                    <a:lnTo>
                                      <a:pt x="18140" y="1129"/>
                                    </a:lnTo>
                                    <a:lnTo>
                                      <a:pt x="18145" y="1169"/>
                                    </a:lnTo>
                                    <a:lnTo>
                                      <a:pt x="17327" y="1169"/>
                                    </a:lnTo>
                                    <a:close/>
                                    <a:moveTo>
                                      <a:pt x="19812" y="1156"/>
                                    </a:moveTo>
                                    <a:lnTo>
                                      <a:pt x="19812" y="1156"/>
                                    </a:lnTo>
                                    <a:lnTo>
                                      <a:pt x="19808" y="1089"/>
                                    </a:lnTo>
                                    <a:lnTo>
                                      <a:pt x="19803" y="1027"/>
                                    </a:lnTo>
                                    <a:lnTo>
                                      <a:pt x="19790" y="969"/>
                                    </a:lnTo>
                                    <a:lnTo>
                                      <a:pt x="19776" y="916"/>
                                    </a:lnTo>
                                    <a:lnTo>
                                      <a:pt x="19754" y="867"/>
                                    </a:lnTo>
                                    <a:lnTo>
                                      <a:pt x="19732" y="827"/>
                                    </a:lnTo>
                                    <a:lnTo>
                                      <a:pt x="19705" y="787"/>
                                    </a:lnTo>
                                    <a:lnTo>
                                      <a:pt x="19675" y="751"/>
                                    </a:lnTo>
                                    <a:lnTo>
                                      <a:pt x="19643" y="725"/>
                                    </a:lnTo>
                                    <a:lnTo>
                                      <a:pt x="19608" y="698"/>
                                    </a:lnTo>
                                    <a:lnTo>
                                      <a:pt x="19568" y="676"/>
                                    </a:lnTo>
                                    <a:lnTo>
                                      <a:pt x="19523" y="658"/>
                                    </a:lnTo>
                                    <a:lnTo>
                                      <a:pt x="19478" y="645"/>
                                    </a:lnTo>
                                    <a:lnTo>
                                      <a:pt x="19434" y="636"/>
                                    </a:lnTo>
                                    <a:lnTo>
                                      <a:pt x="19385" y="632"/>
                                    </a:lnTo>
                                    <a:lnTo>
                                      <a:pt x="19332" y="627"/>
                                    </a:lnTo>
                                    <a:lnTo>
                                      <a:pt x="19256" y="632"/>
                                    </a:lnTo>
                                    <a:lnTo>
                                      <a:pt x="19185" y="649"/>
                                    </a:lnTo>
                                    <a:lnTo>
                                      <a:pt x="19119" y="671"/>
                                    </a:lnTo>
                                    <a:lnTo>
                                      <a:pt x="19061" y="703"/>
                                    </a:lnTo>
                                    <a:lnTo>
                                      <a:pt x="19007" y="742"/>
                                    </a:lnTo>
                                    <a:lnTo>
                                      <a:pt x="18958" y="791"/>
                                    </a:lnTo>
                                    <a:lnTo>
                                      <a:pt x="18919" y="845"/>
                                    </a:lnTo>
                                    <a:lnTo>
                                      <a:pt x="18887" y="912"/>
                                    </a:lnTo>
                                    <a:lnTo>
                                      <a:pt x="18883" y="912"/>
                                    </a:lnTo>
                                    <a:lnTo>
                                      <a:pt x="18883" y="671"/>
                                    </a:lnTo>
                                    <a:lnTo>
                                      <a:pt x="18687" y="671"/>
                                    </a:lnTo>
                                    <a:lnTo>
                                      <a:pt x="18687" y="1917"/>
                                    </a:lnTo>
                                    <a:lnTo>
                                      <a:pt x="18883" y="1917"/>
                                    </a:lnTo>
                                    <a:lnTo>
                                      <a:pt x="18883" y="1343"/>
                                    </a:lnTo>
                                    <a:lnTo>
                                      <a:pt x="18883" y="1272"/>
                                    </a:lnTo>
                                    <a:lnTo>
                                      <a:pt x="18892" y="1210"/>
                                    </a:lnTo>
                                    <a:lnTo>
                                      <a:pt x="18901" y="1152"/>
                                    </a:lnTo>
                                    <a:lnTo>
                                      <a:pt x="18914" y="1098"/>
                                    </a:lnTo>
                                    <a:lnTo>
                                      <a:pt x="18932" y="1049"/>
                                    </a:lnTo>
                                    <a:lnTo>
                                      <a:pt x="18950" y="1005"/>
                                    </a:lnTo>
                                    <a:lnTo>
                                      <a:pt x="18977" y="969"/>
                                    </a:lnTo>
                                    <a:lnTo>
                                      <a:pt x="19003" y="938"/>
                                    </a:lnTo>
                                    <a:lnTo>
                                      <a:pt x="19030" y="907"/>
                                    </a:lnTo>
                                    <a:lnTo>
                                      <a:pt x="19061" y="885"/>
                                    </a:lnTo>
                                    <a:lnTo>
                                      <a:pt x="19092" y="867"/>
                                    </a:lnTo>
                                    <a:lnTo>
                                      <a:pt x="19128" y="849"/>
                                    </a:lnTo>
                                    <a:lnTo>
                                      <a:pt x="19163" y="836"/>
                                    </a:lnTo>
                                    <a:lnTo>
                                      <a:pt x="19203" y="832"/>
                                    </a:lnTo>
                                    <a:lnTo>
                                      <a:pt x="19243" y="827"/>
                                    </a:lnTo>
                                    <a:lnTo>
                                      <a:pt x="19283" y="823"/>
                                    </a:lnTo>
                                    <a:lnTo>
                                      <a:pt x="19319" y="823"/>
                                    </a:lnTo>
                                    <a:lnTo>
                                      <a:pt x="19354" y="827"/>
                                    </a:lnTo>
                                    <a:lnTo>
                                      <a:pt x="19385" y="836"/>
                                    </a:lnTo>
                                    <a:lnTo>
                                      <a:pt x="19417" y="845"/>
                                    </a:lnTo>
                                    <a:lnTo>
                                      <a:pt x="19448" y="858"/>
                                    </a:lnTo>
                                    <a:lnTo>
                                      <a:pt x="19474" y="871"/>
                                    </a:lnTo>
                                    <a:lnTo>
                                      <a:pt x="19501" y="889"/>
                                    </a:lnTo>
                                    <a:lnTo>
                                      <a:pt x="19523" y="907"/>
                                    </a:lnTo>
                                    <a:lnTo>
                                      <a:pt x="19546" y="934"/>
                                    </a:lnTo>
                                    <a:lnTo>
                                      <a:pt x="19563" y="961"/>
                                    </a:lnTo>
                                    <a:lnTo>
                                      <a:pt x="19577" y="987"/>
                                    </a:lnTo>
                                    <a:lnTo>
                                      <a:pt x="19590" y="1023"/>
                                    </a:lnTo>
                                    <a:lnTo>
                                      <a:pt x="19603" y="1058"/>
                                    </a:lnTo>
                                    <a:lnTo>
                                      <a:pt x="19608" y="1098"/>
                                    </a:lnTo>
                                    <a:lnTo>
                                      <a:pt x="19612" y="1139"/>
                                    </a:lnTo>
                                    <a:lnTo>
                                      <a:pt x="19617" y="1187"/>
                                    </a:lnTo>
                                    <a:lnTo>
                                      <a:pt x="19617" y="1917"/>
                                    </a:lnTo>
                                    <a:lnTo>
                                      <a:pt x="19812" y="1917"/>
                                    </a:lnTo>
                                    <a:lnTo>
                                      <a:pt x="19812" y="1156"/>
                                    </a:lnTo>
                                    <a:close/>
                                    <a:moveTo>
                                      <a:pt x="20803" y="836"/>
                                    </a:moveTo>
                                    <a:lnTo>
                                      <a:pt x="20803" y="671"/>
                                    </a:lnTo>
                                    <a:lnTo>
                                      <a:pt x="20528" y="671"/>
                                    </a:lnTo>
                                    <a:lnTo>
                                      <a:pt x="20528" y="169"/>
                                    </a:lnTo>
                                    <a:lnTo>
                                      <a:pt x="20332" y="169"/>
                                    </a:lnTo>
                                    <a:lnTo>
                                      <a:pt x="20332" y="671"/>
                                    </a:lnTo>
                                    <a:lnTo>
                                      <a:pt x="20092" y="671"/>
                                    </a:lnTo>
                                    <a:lnTo>
                                      <a:pt x="20092" y="836"/>
                                    </a:lnTo>
                                    <a:lnTo>
                                      <a:pt x="20332" y="836"/>
                                    </a:lnTo>
                                    <a:lnTo>
                                      <a:pt x="20332" y="1610"/>
                                    </a:lnTo>
                                    <a:lnTo>
                                      <a:pt x="20332" y="1650"/>
                                    </a:lnTo>
                                    <a:lnTo>
                                      <a:pt x="20337" y="1685"/>
                                    </a:lnTo>
                                    <a:lnTo>
                                      <a:pt x="20346" y="1716"/>
                                    </a:lnTo>
                                    <a:lnTo>
                                      <a:pt x="20354" y="1743"/>
                                    </a:lnTo>
                                    <a:lnTo>
                                      <a:pt x="20368" y="1774"/>
                                    </a:lnTo>
                                    <a:lnTo>
                                      <a:pt x="20381" y="1796"/>
                                    </a:lnTo>
                                    <a:lnTo>
                                      <a:pt x="20399" y="1823"/>
                                    </a:lnTo>
                                    <a:lnTo>
                                      <a:pt x="20417" y="1841"/>
                                    </a:lnTo>
                                    <a:lnTo>
                                      <a:pt x="20439" y="1859"/>
                                    </a:lnTo>
                                    <a:lnTo>
                                      <a:pt x="20461" y="1876"/>
                                    </a:lnTo>
                                    <a:lnTo>
                                      <a:pt x="20488" y="1890"/>
                                    </a:lnTo>
                                    <a:lnTo>
                                      <a:pt x="20515" y="1898"/>
                                    </a:lnTo>
                                    <a:lnTo>
                                      <a:pt x="20546" y="1908"/>
                                    </a:lnTo>
                                    <a:lnTo>
                                      <a:pt x="20577" y="1917"/>
                                    </a:lnTo>
                                    <a:lnTo>
                                      <a:pt x="20648" y="1921"/>
                                    </a:lnTo>
                                    <a:lnTo>
                                      <a:pt x="20750" y="1921"/>
                                    </a:lnTo>
                                    <a:lnTo>
                                      <a:pt x="20750" y="1739"/>
                                    </a:lnTo>
                                    <a:lnTo>
                                      <a:pt x="20683" y="1739"/>
                                    </a:lnTo>
                                    <a:lnTo>
                                      <a:pt x="20648" y="1734"/>
                                    </a:lnTo>
                                    <a:lnTo>
                                      <a:pt x="20617" y="1730"/>
                                    </a:lnTo>
                                    <a:lnTo>
                                      <a:pt x="20590" y="1716"/>
                                    </a:lnTo>
                                    <a:lnTo>
                                      <a:pt x="20568" y="1698"/>
                                    </a:lnTo>
                                    <a:lnTo>
                                      <a:pt x="20550" y="1676"/>
                                    </a:lnTo>
                                    <a:lnTo>
                                      <a:pt x="20537" y="1645"/>
                                    </a:lnTo>
                                    <a:lnTo>
                                      <a:pt x="20528" y="1614"/>
                                    </a:lnTo>
                                    <a:lnTo>
                                      <a:pt x="20528" y="1574"/>
                                    </a:lnTo>
                                    <a:lnTo>
                                      <a:pt x="20528" y="836"/>
                                    </a:lnTo>
                                    <a:lnTo>
                                      <a:pt x="20803" y="836"/>
                                    </a:lnTo>
                                    <a:close/>
                                    <a:moveTo>
                                      <a:pt x="0" y="3926"/>
                                    </a:moveTo>
                                    <a:lnTo>
                                      <a:pt x="0" y="3926"/>
                                    </a:lnTo>
                                    <a:lnTo>
                                      <a:pt x="5" y="4033"/>
                                    </a:lnTo>
                                    <a:lnTo>
                                      <a:pt x="18" y="4135"/>
                                    </a:lnTo>
                                    <a:lnTo>
                                      <a:pt x="44" y="4233"/>
                                    </a:lnTo>
                                    <a:lnTo>
                                      <a:pt x="76" y="4326"/>
                                    </a:lnTo>
                                    <a:lnTo>
                                      <a:pt x="115" y="4415"/>
                                    </a:lnTo>
                                    <a:lnTo>
                                      <a:pt x="160" y="4495"/>
                                    </a:lnTo>
                                    <a:lnTo>
                                      <a:pt x="218" y="4571"/>
                                    </a:lnTo>
                                    <a:lnTo>
                                      <a:pt x="280" y="4637"/>
                                    </a:lnTo>
                                    <a:lnTo>
                                      <a:pt x="351" y="4700"/>
                                    </a:lnTo>
                                    <a:lnTo>
                                      <a:pt x="427" y="4753"/>
                                    </a:lnTo>
                                    <a:lnTo>
                                      <a:pt x="507" y="4802"/>
                                    </a:lnTo>
                                    <a:lnTo>
                                      <a:pt x="600" y="4837"/>
                                    </a:lnTo>
                                    <a:lnTo>
                                      <a:pt x="693" y="4869"/>
                                    </a:lnTo>
                                    <a:lnTo>
                                      <a:pt x="796" y="4891"/>
                                    </a:lnTo>
                                    <a:lnTo>
                                      <a:pt x="898" y="4908"/>
                                    </a:lnTo>
                                    <a:lnTo>
                                      <a:pt x="1009" y="4913"/>
                                    </a:lnTo>
                                    <a:lnTo>
                                      <a:pt x="1111" y="4908"/>
                                    </a:lnTo>
                                    <a:lnTo>
                                      <a:pt x="1204" y="4895"/>
                                    </a:lnTo>
                                    <a:lnTo>
                                      <a:pt x="1294" y="4877"/>
                                    </a:lnTo>
                                    <a:lnTo>
                                      <a:pt x="1378" y="4855"/>
                                    </a:lnTo>
                                    <a:lnTo>
                                      <a:pt x="1458" y="4824"/>
                                    </a:lnTo>
                                    <a:lnTo>
                                      <a:pt x="1529" y="4789"/>
                                    </a:lnTo>
                                    <a:lnTo>
                                      <a:pt x="1601" y="4744"/>
                                    </a:lnTo>
                                    <a:lnTo>
                                      <a:pt x="1672" y="4700"/>
                                    </a:lnTo>
                                    <a:lnTo>
                                      <a:pt x="1543" y="4517"/>
                                    </a:lnTo>
                                    <a:lnTo>
                                      <a:pt x="1489" y="4553"/>
                                    </a:lnTo>
                                    <a:lnTo>
                                      <a:pt x="1436" y="4588"/>
                                    </a:lnTo>
                                    <a:lnTo>
                                      <a:pt x="1378" y="4620"/>
                                    </a:lnTo>
                                    <a:lnTo>
                                      <a:pt x="1311" y="4646"/>
                                    </a:lnTo>
                                    <a:lnTo>
                                      <a:pt x="1245" y="4669"/>
                                    </a:lnTo>
                                    <a:lnTo>
                                      <a:pt x="1169" y="4686"/>
                                    </a:lnTo>
                                    <a:lnTo>
                                      <a:pt x="1089" y="4695"/>
                                    </a:lnTo>
                                    <a:lnTo>
                                      <a:pt x="1005" y="4700"/>
                                    </a:lnTo>
                                    <a:lnTo>
                                      <a:pt x="920" y="4695"/>
                                    </a:lnTo>
                                    <a:lnTo>
                                      <a:pt x="840" y="4686"/>
                                    </a:lnTo>
                                    <a:lnTo>
                                      <a:pt x="765" y="4669"/>
                                    </a:lnTo>
                                    <a:lnTo>
                                      <a:pt x="693" y="4646"/>
                                    </a:lnTo>
                                    <a:lnTo>
                                      <a:pt x="622" y="4615"/>
                                    </a:lnTo>
                                    <a:lnTo>
                                      <a:pt x="560" y="4575"/>
                                    </a:lnTo>
                                    <a:lnTo>
                                      <a:pt x="498" y="4535"/>
                                    </a:lnTo>
                                    <a:lnTo>
                                      <a:pt x="444" y="4486"/>
                                    </a:lnTo>
                                    <a:lnTo>
                                      <a:pt x="396" y="4433"/>
                                    </a:lnTo>
                                    <a:lnTo>
                                      <a:pt x="356" y="4375"/>
                                    </a:lnTo>
                                    <a:lnTo>
                                      <a:pt x="315" y="4308"/>
                                    </a:lnTo>
                                    <a:lnTo>
                                      <a:pt x="285" y="4242"/>
                                    </a:lnTo>
                                    <a:lnTo>
                                      <a:pt x="262" y="4171"/>
                                    </a:lnTo>
                                    <a:lnTo>
                                      <a:pt x="244" y="4091"/>
                                    </a:lnTo>
                                    <a:lnTo>
                                      <a:pt x="231" y="4010"/>
                                    </a:lnTo>
                                    <a:lnTo>
                                      <a:pt x="227" y="3926"/>
                                    </a:lnTo>
                                    <a:lnTo>
                                      <a:pt x="231" y="3842"/>
                                    </a:lnTo>
                                    <a:lnTo>
                                      <a:pt x="244" y="3762"/>
                                    </a:lnTo>
                                    <a:lnTo>
                                      <a:pt x="262" y="3681"/>
                                    </a:lnTo>
                                    <a:lnTo>
                                      <a:pt x="285" y="3610"/>
                                    </a:lnTo>
                                    <a:lnTo>
                                      <a:pt x="315" y="3544"/>
                                    </a:lnTo>
                                    <a:lnTo>
                                      <a:pt x="356" y="3477"/>
                                    </a:lnTo>
                                    <a:lnTo>
                                      <a:pt x="396" y="3419"/>
                                    </a:lnTo>
                                    <a:lnTo>
                                      <a:pt x="444" y="3366"/>
                                    </a:lnTo>
                                    <a:lnTo>
                                      <a:pt x="498" y="3317"/>
                                    </a:lnTo>
                                    <a:lnTo>
                                      <a:pt x="560" y="3272"/>
                                    </a:lnTo>
                                    <a:lnTo>
                                      <a:pt x="622" y="3237"/>
                                    </a:lnTo>
                                    <a:lnTo>
                                      <a:pt x="693" y="3206"/>
                                    </a:lnTo>
                                    <a:lnTo>
                                      <a:pt x="765" y="3183"/>
                                    </a:lnTo>
                                    <a:lnTo>
                                      <a:pt x="840" y="3166"/>
                                    </a:lnTo>
                                    <a:lnTo>
                                      <a:pt x="920" y="3152"/>
                                    </a:lnTo>
                                    <a:lnTo>
                                      <a:pt x="1005" y="3152"/>
                                    </a:lnTo>
                                    <a:lnTo>
                                      <a:pt x="1089" y="3157"/>
                                    </a:lnTo>
                                    <a:lnTo>
                                      <a:pt x="1169" y="3166"/>
                                    </a:lnTo>
                                    <a:lnTo>
                                      <a:pt x="1245" y="3183"/>
                                    </a:lnTo>
                                    <a:lnTo>
                                      <a:pt x="1311" y="3206"/>
                                    </a:lnTo>
                                    <a:lnTo>
                                      <a:pt x="1378" y="3232"/>
                                    </a:lnTo>
                                    <a:lnTo>
                                      <a:pt x="1436" y="3264"/>
                                    </a:lnTo>
                                    <a:lnTo>
                                      <a:pt x="1489" y="3299"/>
                                    </a:lnTo>
                                    <a:lnTo>
                                      <a:pt x="1543" y="3335"/>
                                    </a:lnTo>
                                    <a:lnTo>
                                      <a:pt x="1672" y="3152"/>
                                    </a:lnTo>
                                    <a:lnTo>
                                      <a:pt x="1601" y="3108"/>
                                    </a:lnTo>
                                    <a:lnTo>
                                      <a:pt x="1529" y="3064"/>
                                    </a:lnTo>
                                    <a:lnTo>
                                      <a:pt x="1458" y="3028"/>
                                    </a:lnTo>
                                    <a:lnTo>
                                      <a:pt x="1378" y="2997"/>
                                    </a:lnTo>
                                    <a:lnTo>
                                      <a:pt x="1294" y="2974"/>
                                    </a:lnTo>
                                    <a:lnTo>
                                      <a:pt x="1204" y="2957"/>
                                    </a:lnTo>
                                    <a:lnTo>
                                      <a:pt x="1111" y="2944"/>
                                    </a:lnTo>
                                    <a:lnTo>
                                      <a:pt x="1009" y="2939"/>
                                    </a:lnTo>
                                    <a:lnTo>
                                      <a:pt x="898" y="2944"/>
                                    </a:lnTo>
                                    <a:lnTo>
                                      <a:pt x="796" y="2957"/>
                                    </a:lnTo>
                                    <a:lnTo>
                                      <a:pt x="693" y="2979"/>
                                    </a:lnTo>
                                    <a:lnTo>
                                      <a:pt x="600" y="3010"/>
                                    </a:lnTo>
                                    <a:lnTo>
                                      <a:pt x="507" y="3050"/>
                                    </a:lnTo>
                                    <a:lnTo>
                                      <a:pt x="427" y="3099"/>
                                    </a:lnTo>
                                    <a:lnTo>
                                      <a:pt x="351" y="3152"/>
                                    </a:lnTo>
                                    <a:lnTo>
                                      <a:pt x="280" y="3215"/>
                                    </a:lnTo>
                                    <a:lnTo>
                                      <a:pt x="218" y="3281"/>
                                    </a:lnTo>
                                    <a:lnTo>
                                      <a:pt x="160" y="3357"/>
                                    </a:lnTo>
                                    <a:lnTo>
                                      <a:pt x="115" y="3437"/>
                                    </a:lnTo>
                                    <a:lnTo>
                                      <a:pt x="76" y="3526"/>
                                    </a:lnTo>
                                    <a:lnTo>
                                      <a:pt x="44" y="3619"/>
                                    </a:lnTo>
                                    <a:lnTo>
                                      <a:pt x="18" y="3717"/>
                                    </a:lnTo>
                                    <a:lnTo>
                                      <a:pt x="5" y="3819"/>
                                    </a:lnTo>
                                    <a:lnTo>
                                      <a:pt x="0" y="3926"/>
                                    </a:lnTo>
                                    <a:close/>
                                    <a:moveTo>
                                      <a:pt x="3188" y="4246"/>
                                    </a:moveTo>
                                    <a:lnTo>
                                      <a:pt x="3188" y="4246"/>
                                    </a:lnTo>
                                    <a:lnTo>
                                      <a:pt x="3183" y="4175"/>
                                    </a:lnTo>
                                    <a:lnTo>
                                      <a:pt x="3174" y="4108"/>
                                    </a:lnTo>
                                    <a:lnTo>
                                      <a:pt x="3156" y="4042"/>
                                    </a:lnTo>
                                    <a:lnTo>
                                      <a:pt x="3134" y="3979"/>
                                    </a:lnTo>
                                    <a:lnTo>
                                      <a:pt x="3107" y="3922"/>
                                    </a:lnTo>
                                    <a:lnTo>
                                      <a:pt x="3076" y="3868"/>
                                    </a:lnTo>
                                    <a:lnTo>
                                      <a:pt x="3036" y="3815"/>
                                    </a:lnTo>
                                    <a:lnTo>
                                      <a:pt x="2996" y="3771"/>
                                    </a:lnTo>
                                    <a:lnTo>
                                      <a:pt x="2947" y="3730"/>
                                    </a:lnTo>
                                    <a:lnTo>
                                      <a:pt x="2898" y="3690"/>
                                    </a:lnTo>
                                    <a:lnTo>
                                      <a:pt x="2841" y="3659"/>
                                    </a:lnTo>
                                    <a:lnTo>
                                      <a:pt x="2783" y="3632"/>
                                    </a:lnTo>
                                    <a:lnTo>
                                      <a:pt x="2720" y="3610"/>
                                    </a:lnTo>
                                    <a:lnTo>
                                      <a:pt x="2654" y="3597"/>
                                    </a:lnTo>
                                    <a:lnTo>
                                      <a:pt x="2583" y="3588"/>
                                    </a:lnTo>
                                    <a:lnTo>
                                      <a:pt x="2512" y="3584"/>
                                    </a:lnTo>
                                    <a:lnTo>
                                      <a:pt x="2441" y="3588"/>
                                    </a:lnTo>
                                    <a:lnTo>
                                      <a:pt x="2370" y="3597"/>
                                    </a:lnTo>
                                    <a:lnTo>
                                      <a:pt x="2303" y="3610"/>
                                    </a:lnTo>
                                    <a:lnTo>
                                      <a:pt x="2241" y="3632"/>
                                    </a:lnTo>
                                    <a:lnTo>
                                      <a:pt x="2183" y="3659"/>
                                    </a:lnTo>
                                    <a:lnTo>
                                      <a:pt x="2129" y="3690"/>
                                    </a:lnTo>
                                    <a:lnTo>
                                      <a:pt x="2076" y="3730"/>
                                    </a:lnTo>
                                    <a:lnTo>
                                      <a:pt x="2027" y="3771"/>
                                    </a:lnTo>
                                    <a:lnTo>
                                      <a:pt x="1987" y="3815"/>
                                    </a:lnTo>
                                    <a:lnTo>
                                      <a:pt x="1947" y="3868"/>
                                    </a:lnTo>
                                    <a:lnTo>
                                      <a:pt x="1916" y="3922"/>
                                    </a:lnTo>
                                    <a:lnTo>
                                      <a:pt x="1889" y="3979"/>
                                    </a:lnTo>
                                    <a:lnTo>
                                      <a:pt x="1867" y="4042"/>
                                    </a:lnTo>
                                    <a:lnTo>
                                      <a:pt x="1850" y="4108"/>
                                    </a:lnTo>
                                    <a:lnTo>
                                      <a:pt x="1840" y="4175"/>
                                    </a:lnTo>
                                    <a:lnTo>
                                      <a:pt x="1836" y="4246"/>
                                    </a:lnTo>
                                    <a:lnTo>
                                      <a:pt x="1840" y="4317"/>
                                    </a:lnTo>
                                    <a:lnTo>
                                      <a:pt x="1850" y="4388"/>
                                    </a:lnTo>
                                    <a:lnTo>
                                      <a:pt x="1867" y="4450"/>
                                    </a:lnTo>
                                    <a:lnTo>
                                      <a:pt x="1889" y="4513"/>
                                    </a:lnTo>
                                    <a:lnTo>
                                      <a:pt x="1916" y="4571"/>
                                    </a:lnTo>
                                    <a:lnTo>
                                      <a:pt x="1947" y="4628"/>
                                    </a:lnTo>
                                    <a:lnTo>
                                      <a:pt x="1987" y="4677"/>
                                    </a:lnTo>
                                    <a:lnTo>
                                      <a:pt x="2027" y="4722"/>
                                    </a:lnTo>
                                    <a:lnTo>
                                      <a:pt x="2076" y="4766"/>
                                    </a:lnTo>
                                    <a:lnTo>
                                      <a:pt x="2129" y="4802"/>
                                    </a:lnTo>
                                    <a:lnTo>
                                      <a:pt x="2183" y="4833"/>
                                    </a:lnTo>
                                    <a:lnTo>
                                      <a:pt x="2241" y="4860"/>
                                    </a:lnTo>
                                    <a:lnTo>
                                      <a:pt x="2303" y="4882"/>
                                    </a:lnTo>
                                    <a:lnTo>
                                      <a:pt x="2370" y="4900"/>
                                    </a:lnTo>
                                    <a:lnTo>
                                      <a:pt x="2441" y="4908"/>
                                    </a:lnTo>
                                    <a:lnTo>
                                      <a:pt x="2512" y="4913"/>
                                    </a:lnTo>
                                    <a:lnTo>
                                      <a:pt x="2583" y="4908"/>
                                    </a:lnTo>
                                    <a:lnTo>
                                      <a:pt x="2654" y="4900"/>
                                    </a:lnTo>
                                    <a:lnTo>
                                      <a:pt x="2720" y="4882"/>
                                    </a:lnTo>
                                    <a:lnTo>
                                      <a:pt x="2783" y="4860"/>
                                    </a:lnTo>
                                    <a:lnTo>
                                      <a:pt x="2841" y="4833"/>
                                    </a:lnTo>
                                    <a:lnTo>
                                      <a:pt x="2898" y="4802"/>
                                    </a:lnTo>
                                    <a:lnTo>
                                      <a:pt x="2947" y="4766"/>
                                    </a:lnTo>
                                    <a:lnTo>
                                      <a:pt x="2996" y="4722"/>
                                    </a:lnTo>
                                    <a:lnTo>
                                      <a:pt x="3036" y="4677"/>
                                    </a:lnTo>
                                    <a:lnTo>
                                      <a:pt x="3076" y="4628"/>
                                    </a:lnTo>
                                    <a:lnTo>
                                      <a:pt x="3107" y="4571"/>
                                    </a:lnTo>
                                    <a:lnTo>
                                      <a:pt x="3134" y="4513"/>
                                    </a:lnTo>
                                    <a:lnTo>
                                      <a:pt x="3156" y="4450"/>
                                    </a:lnTo>
                                    <a:lnTo>
                                      <a:pt x="3174" y="4388"/>
                                    </a:lnTo>
                                    <a:lnTo>
                                      <a:pt x="3183" y="4317"/>
                                    </a:lnTo>
                                    <a:lnTo>
                                      <a:pt x="3188" y="4246"/>
                                    </a:lnTo>
                                    <a:close/>
                                    <a:moveTo>
                                      <a:pt x="2041" y="4246"/>
                                    </a:moveTo>
                                    <a:lnTo>
                                      <a:pt x="2041" y="4246"/>
                                    </a:lnTo>
                                    <a:lnTo>
                                      <a:pt x="2045" y="4193"/>
                                    </a:lnTo>
                                    <a:lnTo>
                                      <a:pt x="2049" y="4144"/>
                                    </a:lnTo>
                                    <a:lnTo>
                                      <a:pt x="2063" y="4099"/>
                                    </a:lnTo>
                                    <a:lnTo>
                                      <a:pt x="2076" y="4050"/>
                                    </a:lnTo>
                                    <a:lnTo>
                                      <a:pt x="2098" y="4010"/>
                                    </a:lnTo>
                                    <a:lnTo>
                                      <a:pt x="2121" y="3971"/>
                                    </a:lnTo>
                                    <a:lnTo>
                                      <a:pt x="2147" y="3935"/>
                                    </a:lnTo>
                                    <a:lnTo>
                                      <a:pt x="2174" y="3904"/>
                                    </a:lnTo>
                                    <a:lnTo>
                                      <a:pt x="2209" y="3872"/>
                                    </a:lnTo>
                                    <a:lnTo>
                                      <a:pt x="2245" y="3850"/>
                                    </a:lnTo>
                                    <a:lnTo>
                                      <a:pt x="2285" y="3828"/>
                                    </a:lnTo>
                                    <a:lnTo>
                                      <a:pt x="2325" y="3810"/>
                                    </a:lnTo>
                                    <a:lnTo>
                                      <a:pt x="2370" y="3793"/>
                                    </a:lnTo>
                                    <a:lnTo>
                                      <a:pt x="2414" y="3784"/>
                                    </a:lnTo>
                                    <a:lnTo>
                                      <a:pt x="2463" y="3775"/>
                                    </a:lnTo>
                                    <a:lnTo>
                                      <a:pt x="2512" y="3775"/>
                                    </a:lnTo>
                                    <a:lnTo>
                                      <a:pt x="2561" y="3775"/>
                                    </a:lnTo>
                                    <a:lnTo>
                                      <a:pt x="2609" y="3784"/>
                                    </a:lnTo>
                                    <a:lnTo>
                                      <a:pt x="2654" y="3793"/>
                                    </a:lnTo>
                                    <a:lnTo>
                                      <a:pt x="2698" y="3810"/>
                                    </a:lnTo>
                                    <a:lnTo>
                                      <a:pt x="2739" y="3828"/>
                                    </a:lnTo>
                                    <a:lnTo>
                                      <a:pt x="2778" y="3850"/>
                                    </a:lnTo>
                                    <a:lnTo>
                                      <a:pt x="2814" y="3872"/>
                                    </a:lnTo>
                                    <a:lnTo>
                                      <a:pt x="2849" y="3904"/>
                                    </a:lnTo>
                                    <a:lnTo>
                                      <a:pt x="2876" y="3935"/>
                                    </a:lnTo>
                                    <a:lnTo>
                                      <a:pt x="2903" y="3971"/>
                                    </a:lnTo>
                                    <a:lnTo>
                                      <a:pt x="2925" y="4010"/>
                                    </a:lnTo>
                                    <a:lnTo>
                                      <a:pt x="2947" y="4050"/>
                                    </a:lnTo>
                                    <a:lnTo>
                                      <a:pt x="2961" y="4099"/>
                                    </a:lnTo>
                                    <a:lnTo>
                                      <a:pt x="2974" y="4144"/>
                                    </a:lnTo>
                                    <a:lnTo>
                                      <a:pt x="2978" y="4193"/>
                                    </a:lnTo>
                                    <a:lnTo>
                                      <a:pt x="2983" y="4246"/>
                                    </a:lnTo>
                                    <a:lnTo>
                                      <a:pt x="2978" y="4299"/>
                                    </a:lnTo>
                                    <a:lnTo>
                                      <a:pt x="2974" y="4349"/>
                                    </a:lnTo>
                                    <a:lnTo>
                                      <a:pt x="2961" y="4397"/>
                                    </a:lnTo>
                                    <a:lnTo>
                                      <a:pt x="2947" y="4442"/>
                                    </a:lnTo>
                                    <a:lnTo>
                                      <a:pt x="2925" y="4482"/>
                                    </a:lnTo>
                                    <a:lnTo>
                                      <a:pt x="2903" y="4522"/>
                                    </a:lnTo>
                                    <a:lnTo>
                                      <a:pt x="2876" y="4557"/>
                                    </a:lnTo>
                                    <a:lnTo>
                                      <a:pt x="2849" y="4588"/>
                                    </a:lnTo>
                                    <a:lnTo>
                                      <a:pt x="2814" y="4620"/>
                                    </a:lnTo>
                                    <a:lnTo>
                                      <a:pt x="2778" y="4646"/>
                                    </a:lnTo>
                                    <a:lnTo>
                                      <a:pt x="2739" y="4669"/>
                                    </a:lnTo>
                                    <a:lnTo>
                                      <a:pt x="2698" y="4686"/>
                                    </a:lnTo>
                                    <a:lnTo>
                                      <a:pt x="2654" y="4700"/>
                                    </a:lnTo>
                                    <a:lnTo>
                                      <a:pt x="2609" y="4713"/>
                                    </a:lnTo>
                                    <a:lnTo>
                                      <a:pt x="2561" y="4717"/>
                                    </a:lnTo>
                                    <a:lnTo>
                                      <a:pt x="2512" y="4717"/>
                                    </a:lnTo>
                                    <a:lnTo>
                                      <a:pt x="2463" y="4717"/>
                                    </a:lnTo>
                                    <a:lnTo>
                                      <a:pt x="2414" y="4713"/>
                                    </a:lnTo>
                                    <a:lnTo>
                                      <a:pt x="2370" y="4700"/>
                                    </a:lnTo>
                                    <a:lnTo>
                                      <a:pt x="2325" y="4686"/>
                                    </a:lnTo>
                                    <a:lnTo>
                                      <a:pt x="2285" y="4669"/>
                                    </a:lnTo>
                                    <a:lnTo>
                                      <a:pt x="2245" y="4646"/>
                                    </a:lnTo>
                                    <a:lnTo>
                                      <a:pt x="2209" y="4620"/>
                                    </a:lnTo>
                                    <a:lnTo>
                                      <a:pt x="2174" y="4588"/>
                                    </a:lnTo>
                                    <a:lnTo>
                                      <a:pt x="2147" y="4557"/>
                                    </a:lnTo>
                                    <a:lnTo>
                                      <a:pt x="2121" y="4522"/>
                                    </a:lnTo>
                                    <a:lnTo>
                                      <a:pt x="2098" y="4482"/>
                                    </a:lnTo>
                                    <a:lnTo>
                                      <a:pt x="2076" y="4442"/>
                                    </a:lnTo>
                                    <a:lnTo>
                                      <a:pt x="2063" y="4397"/>
                                    </a:lnTo>
                                    <a:lnTo>
                                      <a:pt x="2049" y="4349"/>
                                    </a:lnTo>
                                    <a:lnTo>
                                      <a:pt x="2045" y="4299"/>
                                    </a:lnTo>
                                    <a:lnTo>
                                      <a:pt x="2041" y="4246"/>
                                    </a:lnTo>
                                    <a:close/>
                                    <a:moveTo>
                                      <a:pt x="4570" y="4113"/>
                                    </a:moveTo>
                                    <a:lnTo>
                                      <a:pt x="4570" y="4113"/>
                                    </a:lnTo>
                                    <a:lnTo>
                                      <a:pt x="4565" y="4046"/>
                                    </a:lnTo>
                                    <a:lnTo>
                                      <a:pt x="4561" y="3984"/>
                                    </a:lnTo>
                                    <a:lnTo>
                                      <a:pt x="4548" y="3926"/>
                                    </a:lnTo>
                                    <a:lnTo>
                                      <a:pt x="4534" y="3872"/>
                                    </a:lnTo>
                                    <a:lnTo>
                                      <a:pt x="4512" y="3823"/>
                                    </a:lnTo>
                                    <a:lnTo>
                                      <a:pt x="4490" y="3779"/>
                                    </a:lnTo>
                                    <a:lnTo>
                                      <a:pt x="4463" y="3739"/>
                                    </a:lnTo>
                                    <a:lnTo>
                                      <a:pt x="4432" y="3708"/>
                                    </a:lnTo>
                                    <a:lnTo>
                                      <a:pt x="4401" y="3677"/>
                                    </a:lnTo>
                                    <a:lnTo>
                                      <a:pt x="4365" y="3650"/>
                                    </a:lnTo>
                                    <a:lnTo>
                                      <a:pt x="4325" y="3628"/>
                                    </a:lnTo>
                                    <a:lnTo>
                                      <a:pt x="4281" y="3615"/>
                                    </a:lnTo>
                                    <a:lnTo>
                                      <a:pt x="4236" y="3601"/>
                                    </a:lnTo>
                                    <a:lnTo>
                                      <a:pt x="4192" y="3588"/>
                                    </a:lnTo>
                                    <a:lnTo>
                                      <a:pt x="4143" y="3584"/>
                                    </a:lnTo>
                                    <a:lnTo>
                                      <a:pt x="4090" y="3584"/>
                                    </a:lnTo>
                                    <a:lnTo>
                                      <a:pt x="4014" y="3588"/>
                                    </a:lnTo>
                                    <a:lnTo>
                                      <a:pt x="3943" y="3601"/>
                                    </a:lnTo>
                                    <a:lnTo>
                                      <a:pt x="3876" y="3623"/>
                                    </a:lnTo>
                                    <a:lnTo>
                                      <a:pt x="3818" y="3655"/>
                                    </a:lnTo>
                                    <a:lnTo>
                                      <a:pt x="3765" y="3695"/>
                                    </a:lnTo>
                                    <a:lnTo>
                                      <a:pt x="3721" y="3744"/>
                                    </a:lnTo>
                                    <a:lnTo>
                                      <a:pt x="3681" y="3801"/>
                                    </a:lnTo>
                                    <a:lnTo>
                                      <a:pt x="3645" y="3864"/>
                                    </a:lnTo>
                                    <a:lnTo>
                                      <a:pt x="3641" y="3864"/>
                                    </a:lnTo>
                                    <a:lnTo>
                                      <a:pt x="3641" y="3623"/>
                                    </a:lnTo>
                                    <a:lnTo>
                                      <a:pt x="3445" y="3623"/>
                                    </a:lnTo>
                                    <a:lnTo>
                                      <a:pt x="3445" y="4873"/>
                                    </a:lnTo>
                                    <a:lnTo>
                                      <a:pt x="3641" y="4873"/>
                                    </a:lnTo>
                                    <a:lnTo>
                                      <a:pt x="3641" y="4295"/>
                                    </a:lnTo>
                                    <a:lnTo>
                                      <a:pt x="3641" y="4224"/>
                                    </a:lnTo>
                                    <a:lnTo>
                                      <a:pt x="3650" y="4162"/>
                                    </a:lnTo>
                                    <a:lnTo>
                                      <a:pt x="3659" y="4104"/>
                                    </a:lnTo>
                                    <a:lnTo>
                                      <a:pt x="3672" y="4050"/>
                                    </a:lnTo>
                                    <a:lnTo>
                                      <a:pt x="3689" y="4001"/>
                                    </a:lnTo>
                                    <a:lnTo>
                                      <a:pt x="3712" y="3962"/>
                                    </a:lnTo>
                                    <a:lnTo>
                                      <a:pt x="3734" y="3922"/>
                                    </a:lnTo>
                                    <a:lnTo>
                                      <a:pt x="3761" y="3891"/>
                                    </a:lnTo>
                                    <a:lnTo>
                                      <a:pt x="3787" y="3864"/>
                                    </a:lnTo>
                                    <a:lnTo>
                                      <a:pt x="3818" y="3837"/>
                                    </a:lnTo>
                                    <a:lnTo>
                                      <a:pt x="3854" y="3819"/>
                                    </a:lnTo>
                                    <a:lnTo>
                                      <a:pt x="3886" y="3801"/>
                                    </a:lnTo>
                                    <a:lnTo>
                                      <a:pt x="3921" y="3793"/>
                                    </a:lnTo>
                                    <a:lnTo>
                                      <a:pt x="3961" y="3784"/>
                                    </a:lnTo>
                                    <a:lnTo>
                                      <a:pt x="4001" y="3779"/>
                                    </a:lnTo>
                                    <a:lnTo>
                                      <a:pt x="4041" y="3779"/>
                                    </a:lnTo>
                                    <a:lnTo>
                                      <a:pt x="4077" y="3779"/>
                                    </a:lnTo>
                                    <a:lnTo>
                                      <a:pt x="4112" y="3784"/>
                                    </a:lnTo>
                                    <a:lnTo>
                                      <a:pt x="4143" y="3788"/>
                                    </a:lnTo>
                                    <a:lnTo>
                                      <a:pt x="4174" y="3797"/>
                                    </a:lnTo>
                                    <a:lnTo>
                                      <a:pt x="4206" y="3810"/>
                                    </a:lnTo>
                                    <a:lnTo>
                                      <a:pt x="4232" y="3823"/>
                                    </a:lnTo>
                                    <a:lnTo>
                                      <a:pt x="4258" y="3842"/>
                                    </a:lnTo>
                                    <a:lnTo>
                                      <a:pt x="4281" y="3864"/>
                                    </a:lnTo>
                                    <a:lnTo>
                                      <a:pt x="4303" y="3886"/>
                                    </a:lnTo>
                                    <a:lnTo>
                                      <a:pt x="4321" y="3913"/>
                                    </a:lnTo>
                                    <a:lnTo>
                                      <a:pt x="4334" y="3944"/>
                                    </a:lnTo>
                                    <a:lnTo>
                                      <a:pt x="4348" y="3975"/>
                                    </a:lnTo>
                                    <a:lnTo>
                                      <a:pt x="4361" y="4010"/>
                                    </a:lnTo>
                                    <a:lnTo>
                                      <a:pt x="4365" y="4050"/>
                                    </a:lnTo>
                                    <a:lnTo>
                                      <a:pt x="4374" y="4095"/>
                                    </a:lnTo>
                                    <a:lnTo>
                                      <a:pt x="4374" y="4139"/>
                                    </a:lnTo>
                                    <a:lnTo>
                                      <a:pt x="4374" y="4873"/>
                                    </a:lnTo>
                                    <a:lnTo>
                                      <a:pt x="4570" y="4873"/>
                                    </a:lnTo>
                                    <a:lnTo>
                                      <a:pt x="4570" y="4113"/>
                                    </a:lnTo>
                                    <a:close/>
                                    <a:moveTo>
                                      <a:pt x="4885" y="4246"/>
                                    </a:moveTo>
                                    <a:lnTo>
                                      <a:pt x="4885" y="4246"/>
                                    </a:lnTo>
                                    <a:lnTo>
                                      <a:pt x="4890" y="4322"/>
                                    </a:lnTo>
                                    <a:lnTo>
                                      <a:pt x="4899" y="4393"/>
                                    </a:lnTo>
                                    <a:lnTo>
                                      <a:pt x="4912" y="4464"/>
                                    </a:lnTo>
                                    <a:lnTo>
                                      <a:pt x="4934" y="4526"/>
                                    </a:lnTo>
                                    <a:lnTo>
                                      <a:pt x="4961" y="4584"/>
                                    </a:lnTo>
                                    <a:lnTo>
                                      <a:pt x="4992" y="4637"/>
                                    </a:lnTo>
                                    <a:lnTo>
                                      <a:pt x="5028" y="4691"/>
                                    </a:lnTo>
                                    <a:lnTo>
                                      <a:pt x="5068" y="4735"/>
                                    </a:lnTo>
                                    <a:lnTo>
                                      <a:pt x="5112" y="4775"/>
                                    </a:lnTo>
                                    <a:lnTo>
                                      <a:pt x="5156" y="4811"/>
                                    </a:lnTo>
                                    <a:lnTo>
                                      <a:pt x="5210" y="4842"/>
                                    </a:lnTo>
                                    <a:lnTo>
                                      <a:pt x="5263" y="4864"/>
                                    </a:lnTo>
                                    <a:lnTo>
                                      <a:pt x="5321" y="4886"/>
                                    </a:lnTo>
                                    <a:lnTo>
                                      <a:pt x="5379" y="4900"/>
                                    </a:lnTo>
                                    <a:lnTo>
                                      <a:pt x="5441" y="4908"/>
                                    </a:lnTo>
                                    <a:lnTo>
                                      <a:pt x="5503" y="4913"/>
                                    </a:lnTo>
                                    <a:lnTo>
                                      <a:pt x="5588" y="4908"/>
                                    </a:lnTo>
                                    <a:lnTo>
                                      <a:pt x="5663" y="4891"/>
                                    </a:lnTo>
                                    <a:lnTo>
                                      <a:pt x="5730" y="4869"/>
                                    </a:lnTo>
                                    <a:lnTo>
                                      <a:pt x="5792" y="4837"/>
                                    </a:lnTo>
                                    <a:lnTo>
                                      <a:pt x="5850" y="4802"/>
                                    </a:lnTo>
                                    <a:lnTo>
                                      <a:pt x="5899" y="4757"/>
                                    </a:lnTo>
                                    <a:lnTo>
                                      <a:pt x="5939" y="4704"/>
                                    </a:lnTo>
                                    <a:lnTo>
                                      <a:pt x="5974" y="4650"/>
                                    </a:lnTo>
                                    <a:lnTo>
                                      <a:pt x="5983" y="4650"/>
                                    </a:lnTo>
                                    <a:lnTo>
                                      <a:pt x="5983" y="4869"/>
                                    </a:lnTo>
                                    <a:lnTo>
                                      <a:pt x="6174" y="4869"/>
                                    </a:lnTo>
                                    <a:lnTo>
                                      <a:pt x="6174" y="2979"/>
                                    </a:lnTo>
                                    <a:lnTo>
                                      <a:pt x="5983" y="2979"/>
                                    </a:lnTo>
                                    <a:lnTo>
                                      <a:pt x="5983" y="3846"/>
                                    </a:lnTo>
                                    <a:lnTo>
                                      <a:pt x="5974" y="3846"/>
                                    </a:lnTo>
                                    <a:lnTo>
                                      <a:pt x="5939" y="3788"/>
                                    </a:lnTo>
                                    <a:lnTo>
                                      <a:pt x="5899" y="3739"/>
                                    </a:lnTo>
                                    <a:lnTo>
                                      <a:pt x="5850" y="3695"/>
                                    </a:lnTo>
                                    <a:lnTo>
                                      <a:pt x="5792" y="3655"/>
                                    </a:lnTo>
                                    <a:lnTo>
                                      <a:pt x="5730" y="3623"/>
                                    </a:lnTo>
                                    <a:lnTo>
                                      <a:pt x="5663" y="3601"/>
                                    </a:lnTo>
                                    <a:lnTo>
                                      <a:pt x="5588" y="3588"/>
                                    </a:lnTo>
                                    <a:lnTo>
                                      <a:pt x="5503" y="3584"/>
                                    </a:lnTo>
                                    <a:lnTo>
                                      <a:pt x="5441" y="3584"/>
                                    </a:lnTo>
                                    <a:lnTo>
                                      <a:pt x="5379" y="3593"/>
                                    </a:lnTo>
                                    <a:lnTo>
                                      <a:pt x="5321" y="3610"/>
                                    </a:lnTo>
                                    <a:lnTo>
                                      <a:pt x="5263" y="3628"/>
                                    </a:lnTo>
                                    <a:lnTo>
                                      <a:pt x="5210" y="3655"/>
                                    </a:lnTo>
                                    <a:lnTo>
                                      <a:pt x="5156" y="3686"/>
                                    </a:lnTo>
                                    <a:lnTo>
                                      <a:pt x="5112" y="3722"/>
                                    </a:lnTo>
                                    <a:lnTo>
                                      <a:pt x="5068" y="3762"/>
                                    </a:lnTo>
                                    <a:lnTo>
                                      <a:pt x="5028" y="3806"/>
                                    </a:lnTo>
                                    <a:lnTo>
                                      <a:pt x="4992" y="3855"/>
                                    </a:lnTo>
                                    <a:lnTo>
                                      <a:pt x="4961" y="3908"/>
                                    </a:lnTo>
                                    <a:lnTo>
                                      <a:pt x="4934" y="3971"/>
                                    </a:lnTo>
                                    <a:lnTo>
                                      <a:pt x="4912" y="4033"/>
                                    </a:lnTo>
                                    <a:lnTo>
                                      <a:pt x="4899" y="4099"/>
                                    </a:lnTo>
                                    <a:lnTo>
                                      <a:pt x="4890" y="4171"/>
                                    </a:lnTo>
                                    <a:lnTo>
                                      <a:pt x="4885" y="4246"/>
                                    </a:lnTo>
                                    <a:close/>
                                    <a:moveTo>
                                      <a:pt x="5993" y="4246"/>
                                    </a:moveTo>
                                    <a:lnTo>
                                      <a:pt x="5993" y="4246"/>
                                    </a:lnTo>
                                    <a:lnTo>
                                      <a:pt x="5993" y="4299"/>
                                    </a:lnTo>
                                    <a:lnTo>
                                      <a:pt x="5983" y="4349"/>
                                    </a:lnTo>
                                    <a:lnTo>
                                      <a:pt x="5974" y="4393"/>
                                    </a:lnTo>
                                    <a:lnTo>
                                      <a:pt x="5961" y="4437"/>
                                    </a:lnTo>
                                    <a:lnTo>
                                      <a:pt x="5944" y="4477"/>
                                    </a:lnTo>
                                    <a:lnTo>
                                      <a:pt x="5922" y="4517"/>
                                    </a:lnTo>
                                    <a:lnTo>
                                      <a:pt x="5899" y="4553"/>
                                    </a:lnTo>
                                    <a:lnTo>
                                      <a:pt x="5868" y="4588"/>
                                    </a:lnTo>
                                    <a:lnTo>
                                      <a:pt x="5837" y="4615"/>
                                    </a:lnTo>
                                    <a:lnTo>
                                      <a:pt x="5806" y="4642"/>
                                    </a:lnTo>
                                    <a:lnTo>
                                      <a:pt x="5766" y="4664"/>
                                    </a:lnTo>
                                    <a:lnTo>
                                      <a:pt x="5725" y="4686"/>
                                    </a:lnTo>
                                    <a:lnTo>
                                      <a:pt x="5686" y="4700"/>
                                    </a:lnTo>
                                    <a:lnTo>
                                      <a:pt x="5641" y="4708"/>
                                    </a:lnTo>
                                    <a:lnTo>
                                      <a:pt x="5592" y="4717"/>
                                    </a:lnTo>
                                    <a:lnTo>
                                      <a:pt x="5544" y="4717"/>
                                    </a:lnTo>
                                    <a:lnTo>
                                      <a:pt x="5490" y="4717"/>
                                    </a:lnTo>
                                    <a:lnTo>
                                      <a:pt x="5446" y="4708"/>
                                    </a:lnTo>
                                    <a:lnTo>
                                      <a:pt x="5401" y="4700"/>
                                    </a:lnTo>
                                    <a:lnTo>
                                      <a:pt x="5357" y="4686"/>
                                    </a:lnTo>
                                    <a:lnTo>
                                      <a:pt x="5317" y="4664"/>
                                    </a:lnTo>
                                    <a:lnTo>
                                      <a:pt x="5281" y="4642"/>
                                    </a:lnTo>
                                    <a:lnTo>
                                      <a:pt x="5246" y="4615"/>
                                    </a:lnTo>
                                    <a:lnTo>
                                      <a:pt x="5214" y="4588"/>
                                    </a:lnTo>
                                    <a:lnTo>
                                      <a:pt x="5188" y="4553"/>
                                    </a:lnTo>
                                    <a:lnTo>
                                      <a:pt x="5161" y="4517"/>
                                    </a:lnTo>
                                    <a:lnTo>
                                      <a:pt x="5139" y="4477"/>
                                    </a:lnTo>
                                    <a:lnTo>
                                      <a:pt x="5121" y="4437"/>
                                    </a:lnTo>
                                    <a:lnTo>
                                      <a:pt x="5108" y="4393"/>
                                    </a:lnTo>
                                    <a:lnTo>
                                      <a:pt x="5099" y="4349"/>
                                    </a:lnTo>
                                    <a:lnTo>
                                      <a:pt x="5095" y="4299"/>
                                    </a:lnTo>
                                    <a:lnTo>
                                      <a:pt x="5090" y="4246"/>
                                    </a:lnTo>
                                    <a:lnTo>
                                      <a:pt x="5095" y="4197"/>
                                    </a:lnTo>
                                    <a:lnTo>
                                      <a:pt x="5099" y="4148"/>
                                    </a:lnTo>
                                    <a:lnTo>
                                      <a:pt x="5108" y="4099"/>
                                    </a:lnTo>
                                    <a:lnTo>
                                      <a:pt x="5121" y="4055"/>
                                    </a:lnTo>
                                    <a:lnTo>
                                      <a:pt x="5139" y="4015"/>
                                    </a:lnTo>
                                    <a:lnTo>
                                      <a:pt x="5161" y="3975"/>
                                    </a:lnTo>
                                    <a:lnTo>
                                      <a:pt x="5188" y="3939"/>
                                    </a:lnTo>
                                    <a:lnTo>
                                      <a:pt x="5214" y="3908"/>
                                    </a:lnTo>
                                    <a:lnTo>
                                      <a:pt x="5246" y="3877"/>
                                    </a:lnTo>
                                    <a:lnTo>
                                      <a:pt x="5281" y="3850"/>
                                    </a:lnTo>
                                    <a:lnTo>
                                      <a:pt x="5317" y="3828"/>
                                    </a:lnTo>
                                    <a:lnTo>
                                      <a:pt x="5357" y="3810"/>
                                    </a:lnTo>
                                    <a:lnTo>
                                      <a:pt x="5401" y="3793"/>
                                    </a:lnTo>
                                    <a:lnTo>
                                      <a:pt x="5446" y="3784"/>
                                    </a:lnTo>
                                    <a:lnTo>
                                      <a:pt x="5490" y="3775"/>
                                    </a:lnTo>
                                    <a:lnTo>
                                      <a:pt x="5544" y="3775"/>
                                    </a:lnTo>
                                    <a:lnTo>
                                      <a:pt x="5592" y="3775"/>
                                    </a:lnTo>
                                    <a:lnTo>
                                      <a:pt x="5641" y="3784"/>
                                    </a:lnTo>
                                    <a:lnTo>
                                      <a:pt x="5686" y="3793"/>
                                    </a:lnTo>
                                    <a:lnTo>
                                      <a:pt x="5725" y="3810"/>
                                    </a:lnTo>
                                    <a:lnTo>
                                      <a:pt x="5766" y="3828"/>
                                    </a:lnTo>
                                    <a:lnTo>
                                      <a:pt x="5806" y="3850"/>
                                    </a:lnTo>
                                    <a:lnTo>
                                      <a:pt x="5837" y="3877"/>
                                    </a:lnTo>
                                    <a:lnTo>
                                      <a:pt x="5868" y="3908"/>
                                    </a:lnTo>
                                    <a:lnTo>
                                      <a:pt x="5899" y="3939"/>
                                    </a:lnTo>
                                    <a:lnTo>
                                      <a:pt x="5922" y="3975"/>
                                    </a:lnTo>
                                    <a:lnTo>
                                      <a:pt x="5944" y="4015"/>
                                    </a:lnTo>
                                    <a:lnTo>
                                      <a:pt x="5961" y="4055"/>
                                    </a:lnTo>
                                    <a:lnTo>
                                      <a:pt x="5974" y="4099"/>
                                    </a:lnTo>
                                    <a:lnTo>
                                      <a:pt x="5983" y="4148"/>
                                    </a:lnTo>
                                    <a:lnTo>
                                      <a:pt x="5993" y="4197"/>
                                    </a:lnTo>
                                    <a:lnTo>
                                      <a:pt x="5993" y="4246"/>
                                    </a:lnTo>
                                    <a:close/>
                                    <a:moveTo>
                                      <a:pt x="6588" y="4375"/>
                                    </a:moveTo>
                                    <a:lnTo>
                                      <a:pt x="6588" y="4375"/>
                                    </a:lnTo>
                                    <a:lnTo>
                                      <a:pt x="6592" y="4446"/>
                                    </a:lnTo>
                                    <a:lnTo>
                                      <a:pt x="6597" y="4508"/>
                                    </a:lnTo>
                                    <a:lnTo>
                                      <a:pt x="6610" y="4566"/>
                                    </a:lnTo>
                                    <a:lnTo>
                                      <a:pt x="6624" y="4624"/>
                                    </a:lnTo>
                                    <a:lnTo>
                                      <a:pt x="6646" y="4669"/>
                                    </a:lnTo>
                                    <a:lnTo>
                                      <a:pt x="6668" y="4713"/>
                                    </a:lnTo>
                                    <a:lnTo>
                                      <a:pt x="6695" y="4753"/>
                                    </a:lnTo>
                                    <a:lnTo>
                                      <a:pt x="6726" y="4789"/>
                                    </a:lnTo>
                                    <a:lnTo>
                                      <a:pt x="6757" y="4820"/>
                                    </a:lnTo>
                                    <a:lnTo>
                                      <a:pt x="6792" y="4842"/>
                                    </a:lnTo>
                                    <a:lnTo>
                                      <a:pt x="6833" y="4864"/>
                                    </a:lnTo>
                                    <a:lnTo>
                                      <a:pt x="6872" y="4882"/>
                                    </a:lnTo>
                                    <a:lnTo>
                                      <a:pt x="6913" y="4895"/>
                                    </a:lnTo>
                                    <a:lnTo>
                                      <a:pt x="6957" y="4904"/>
                                    </a:lnTo>
                                    <a:lnTo>
                                      <a:pt x="7006" y="4908"/>
                                    </a:lnTo>
                                    <a:lnTo>
                                      <a:pt x="7050" y="4913"/>
                                    </a:lnTo>
                                    <a:lnTo>
                                      <a:pt x="7095" y="4908"/>
                                    </a:lnTo>
                                    <a:lnTo>
                                      <a:pt x="7135" y="4904"/>
                                    </a:lnTo>
                                    <a:lnTo>
                                      <a:pt x="7175" y="4900"/>
                                    </a:lnTo>
                                    <a:lnTo>
                                      <a:pt x="7211" y="4891"/>
                                    </a:lnTo>
                                    <a:lnTo>
                                      <a:pt x="7241" y="4877"/>
                                    </a:lnTo>
                                    <a:lnTo>
                                      <a:pt x="7273" y="4864"/>
                                    </a:lnTo>
                                    <a:lnTo>
                                      <a:pt x="7304" y="4846"/>
                                    </a:lnTo>
                                    <a:lnTo>
                                      <a:pt x="7331" y="4828"/>
                                    </a:lnTo>
                                    <a:lnTo>
                                      <a:pt x="7375" y="4789"/>
                                    </a:lnTo>
                                    <a:lnTo>
                                      <a:pt x="7415" y="4740"/>
                                    </a:lnTo>
                                    <a:lnTo>
                                      <a:pt x="7451" y="4691"/>
                                    </a:lnTo>
                                    <a:lnTo>
                                      <a:pt x="7477" y="4637"/>
                                    </a:lnTo>
                                    <a:lnTo>
                                      <a:pt x="7482" y="4637"/>
                                    </a:lnTo>
                                    <a:lnTo>
                                      <a:pt x="7482" y="4869"/>
                                    </a:lnTo>
                                    <a:lnTo>
                                      <a:pt x="7677" y="4869"/>
                                    </a:lnTo>
                                    <a:lnTo>
                                      <a:pt x="7677" y="3623"/>
                                    </a:lnTo>
                                    <a:lnTo>
                                      <a:pt x="7482" y="3623"/>
                                    </a:lnTo>
                                    <a:lnTo>
                                      <a:pt x="7482" y="4188"/>
                                    </a:lnTo>
                                    <a:lnTo>
                                      <a:pt x="7482" y="4259"/>
                                    </a:lnTo>
                                    <a:lnTo>
                                      <a:pt x="7473" y="4326"/>
                                    </a:lnTo>
                                    <a:lnTo>
                                      <a:pt x="7464" y="4384"/>
                                    </a:lnTo>
                                    <a:lnTo>
                                      <a:pt x="7451" y="4442"/>
                                    </a:lnTo>
                                    <a:lnTo>
                                      <a:pt x="7437" y="4491"/>
                                    </a:lnTo>
                                    <a:lnTo>
                                      <a:pt x="7415" y="4531"/>
                                    </a:lnTo>
                                    <a:lnTo>
                                      <a:pt x="7397" y="4571"/>
                                    </a:lnTo>
                                    <a:lnTo>
                                      <a:pt x="7370" y="4606"/>
                                    </a:lnTo>
                                    <a:lnTo>
                                      <a:pt x="7344" y="4633"/>
                                    </a:lnTo>
                                    <a:lnTo>
                                      <a:pt x="7312" y="4660"/>
                                    </a:lnTo>
                                    <a:lnTo>
                                      <a:pt x="7282" y="4677"/>
                                    </a:lnTo>
                                    <a:lnTo>
                                      <a:pt x="7250" y="4695"/>
                                    </a:lnTo>
                                    <a:lnTo>
                                      <a:pt x="7215" y="4708"/>
                                    </a:lnTo>
                                    <a:lnTo>
                                      <a:pt x="7179" y="4717"/>
                                    </a:lnTo>
                                    <a:lnTo>
                                      <a:pt x="7139" y="4722"/>
                                    </a:lnTo>
                                    <a:lnTo>
                                      <a:pt x="7099" y="4722"/>
                                    </a:lnTo>
                                    <a:lnTo>
                                      <a:pt x="7037" y="4717"/>
                                    </a:lnTo>
                                    <a:lnTo>
                                      <a:pt x="7006" y="4713"/>
                                    </a:lnTo>
                                    <a:lnTo>
                                      <a:pt x="6975" y="4700"/>
                                    </a:lnTo>
                                    <a:lnTo>
                                      <a:pt x="6948" y="4691"/>
                                    </a:lnTo>
                                    <a:lnTo>
                                      <a:pt x="6921" y="4677"/>
                                    </a:lnTo>
                                    <a:lnTo>
                                      <a:pt x="6895" y="4660"/>
                                    </a:lnTo>
                                    <a:lnTo>
                                      <a:pt x="6872" y="4637"/>
                                    </a:lnTo>
                                    <a:lnTo>
                                      <a:pt x="6855" y="4615"/>
                                    </a:lnTo>
                                    <a:lnTo>
                                      <a:pt x="6837" y="4588"/>
                                    </a:lnTo>
                                    <a:lnTo>
                                      <a:pt x="6824" y="4562"/>
                                    </a:lnTo>
                                    <a:lnTo>
                                      <a:pt x="6810" y="4526"/>
                                    </a:lnTo>
                                    <a:lnTo>
                                      <a:pt x="6797" y="4491"/>
                                    </a:lnTo>
                                    <a:lnTo>
                                      <a:pt x="6792" y="4455"/>
                                    </a:lnTo>
                                    <a:lnTo>
                                      <a:pt x="6788" y="4411"/>
                                    </a:lnTo>
                                    <a:lnTo>
                                      <a:pt x="6784" y="4366"/>
                                    </a:lnTo>
                                    <a:lnTo>
                                      <a:pt x="6784" y="3623"/>
                                    </a:lnTo>
                                    <a:lnTo>
                                      <a:pt x="6588" y="3623"/>
                                    </a:lnTo>
                                    <a:lnTo>
                                      <a:pt x="6588" y="4375"/>
                                    </a:lnTo>
                                    <a:close/>
                                    <a:moveTo>
                                      <a:pt x="8006" y="4246"/>
                                    </a:moveTo>
                                    <a:lnTo>
                                      <a:pt x="8006" y="4246"/>
                                    </a:lnTo>
                                    <a:lnTo>
                                      <a:pt x="8010" y="4322"/>
                                    </a:lnTo>
                                    <a:lnTo>
                                      <a:pt x="8019" y="4388"/>
                                    </a:lnTo>
                                    <a:lnTo>
                                      <a:pt x="8037" y="4455"/>
                                    </a:lnTo>
                                    <a:lnTo>
                                      <a:pt x="8055" y="4517"/>
                                    </a:lnTo>
                                    <a:lnTo>
                                      <a:pt x="8086" y="4575"/>
                                    </a:lnTo>
                                    <a:lnTo>
                                      <a:pt x="8117" y="4633"/>
                                    </a:lnTo>
                                    <a:lnTo>
                                      <a:pt x="8153" y="4682"/>
                                    </a:lnTo>
                                    <a:lnTo>
                                      <a:pt x="8197" y="4726"/>
                                    </a:lnTo>
                                    <a:lnTo>
                                      <a:pt x="8242" y="4771"/>
                                    </a:lnTo>
                                    <a:lnTo>
                                      <a:pt x="8295" y="4806"/>
                                    </a:lnTo>
                                    <a:lnTo>
                                      <a:pt x="8349" y="4837"/>
                                    </a:lnTo>
                                    <a:lnTo>
                                      <a:pt x="8411" y="4864"/>
                                    </a:lnTo>
                                    <a:lnTo>
                                      <a:pt x="8473" y="4882"/>
                                    </a:lnTo>
                                    <a:lnTo>
                                      <a:pt x="8540" y="4900"/>
                                    </a:lnTo>
                                    <a:lnTo>
                                      <a:pt x="8611" y="4908"/>
                                    </a:lnTo>
                                    <a:lnTo>
                                      <a:pt x="8686" y="4913"/>
                                    </a:lnTo>
                                    <a:lnTo>
                                      <a:pt x="8744" y="4908"/>
                                    </a:lnTo>
                                    <a:lnTo>
                                      <a:pt x="8802" y="4904"/>
                                    </a:lnTo>
                                    <a:lnTo>
                                      <a:pt x="8855" y="4895"/>
                                    </a:lnTo>
                                    <a:lnTo>
                                      <a:pt x="8908" y="4877"/>
                                    </a:lnTo>
                                    <a:lnTo>
                                      <a:pt x="8962" y="4864"/>
                                    </a:lnTo>
                                    <a:lnTo>
                                      <a:pt x="9011" y="4842"/>
                                    </a:lnTo>
                                    <a:lnTo>
                                      <a:pt x="9060" y="4815"/>
                                    </a:lnTo>
                                    <a:lnTo>
                                      <a:pt x="9113" y="4789"/>
                                    </a:lnTo>
                                    <a:lnTo>
                                      <a:pt x="9015" y="4620"/>
                                    </a:lnTo>
                                    <a:lnTo>
                                      <a:pt x="8935" y="4664"/>
                                    </a:lnTo>
                                    <a:lnTo>
                                      <a:pt x="8895" y="4677"/>
                                    </a:lnTo>
                                    <a:lnTo>
                                      <a:pt x="8855" y="4695"/>
                                    </a:lnTo>
                                    <a:lnTo>
                                      <a:pt x="8815" y="4704"/>
                                    </a:lnTo>
                                    <a:lnTo>
                                      <a:pt x="8771" y="4713"/>
                                    </a:lnTo>
                                    <a:lnTo>
                                      <a:pt x="8727" y="4722"/>
                                    </a:lnTo>
                                    <a:lnTo>
                                      <a:pt x="8678" y="4722"/>
                                    </a:lnTo>
                                    <a:lnTo>
                                      <a:pt x="8628" y="4722"/>
                                    </a:lnTo>
                                    <a:lnTo>
                                      <a:pt x="8579" y="4713"/>
                                    </a:lnTo>
                                    <a:lnTo>
                                      <a:pt x="8530" y="4700"/>
                                    </a:lnTo>
                                    <a:lnTo>
                                      <a:pt x="8486" y="4686"/>
                                    </a:lnTo>
                                    <a:lnTo>
                                      <a:pt x="8446" y="4664"/>
                                    </a:lnTo>
                                    <a:lnTo>
                                      <a:pt x="8406" y="4642"/>
                                    </a:lnTo>
                                    <a:lnTo>
                                      <a:pt x="8371" y="4615"/>
                                    </a:lnTo>
                                    <a:lnTo>
                                      <a:pt x="8339" y="4584"/>
                                    </a:lnTo>
                                    <a:lnTo>
                                      <a:pt x="8313" y="4549"/>
                                    </a:lnTo>
                                    <a:lnTo>
                                      <a:pt x="8286" y="4513"/>
                                    </a:lnTo>
                                    <a:lnTo>
                                      <a:pt x="8264" y="4473"/>
                                    </a:lnTo>
                                    <a:lnTo>
                                      <a:pt x="8246" y="4433"/>
                                    </a:lnTo>
                                    <a:lnTo>
                                      <a:pt x="8233" y="4388"/>
                                    </a:lnTo>
                                    <a:lnTo>
                                      <a:pt x="8220" y="4344"/>
                                    </a:lnTo>
                                    <a:lnTo>
                                      <a:pt x="8215" y="4295"/>
                                    </a:lnTo>
                                    <a:lnTo>
                                      <a:pt x="8210" y="4246"/>
                                    </a:lnTo>
                                    <a:lnTo>
                                      <a:pt x="8215" y="4197"/>
                                    </a:lnTo>
                                    <a:lnTo>
                                      <a:pt x="8220" y="4153"/>
                                    </a:lnTo>
                                    <a:lnTo>
                                      <a:pt x="8233" y="4104"/>
                                    </a:lnTo>
                                    <a:lnTo>
                                      <a:pt x="8246" y="4059"/>
                                    </a:lnTo>
                                    <a:lnTo>
                                      <a:pt x="8264" y="4020"/>
                                    </a:lnTo>
                                    <a:lnTo>
                                      <a:pt x="8286" y="3979"/>
                                    </a:lnTo>
                                    <a:lnTo>
                                      <a:pt x="8313" y="3944"/>
                                    </a:lnTo>
                                    <a:lnTo>
                                      <a:pt x="8339" y="3908"/>
                                    </a:lnTo>
                                    <a:lnTo>
                                      <a:pt x="8371" y="3881"/>
                                    </a:lnTo>
                                    <a:lnTo>
                                      <a:pt x="8406" y="3850"/>
                                    </a:lnTo>
                                    <a:lnTo>
                                      <a:pt x="8446" y="3828"/>
                                    </a:lnTo>
                                    <a:lnTo>
                                      <a:pt x="8486" y="3810"/>
                                    </a:lnTo>
                                    <a:lnTo>
                                      <a:pt x="8530" y="3793"/>
                                    </a:lnTo>
                                    <a:lnTo>
                                      <a:pt x="8579" y="3784"/>
                                    </a:lnTo>
                                    <a:lnTo>
                                      <a:pt x="8628" y="3775"/>
                                    </a:lnTo>
                                    <a:lnTo>
                                      <a:pt x="8678" y="3771"/>
                                    </a:lnTo>
                                    <a:lnTo>
                                      <a:pt x="8727" y="3775"/>
                                    </a:lnTo>
                                    <a:lnTo>
                                      <a:pt x="8771" y="3779"/>
                                    </a:lnTo>
                                    <a:lnTo>
                                      <a:pt x="8815" y="3788"/>
                                    </a:lnTo>
                                    <a:lnTo>
                                      <a:pt x="8855" y="3801"/>
                                    </a:lnTo>
                                    <a:lnTo>
                                      <a:pt x="8895" y="3815"/>
                                    </a:lnTo>
                                    <a:lnTo>
                                      <a:pt x="8935" y="3833"/>
                                    </a:lnTo>
                                    <a:lnTo>
                                      <a:pt x="9015" y="3872"/>
                                    </a:lnTo>
                                    <a:lnTo>
                                      <a:pt x="9113" y="3708"/>
                                    </a:lnTo>
                                    <a:lnTo>
                                      <a:pt x="9060" y="3677"/>
                                    </a:lnTo>
                                    <a:lnTo>
                                      <a:pt x="9011" y="3655"/>
                                    </a:lnTo>
                                    <a:lnTo>
                                      <a:pt x="8962" y="3632"/>
                                    </a:lnTo>
                                    <a:lnTo>
                                      <a:pt x="8908" y="3615"/>
                                    </a:lnTo>
                                    <a:lnTo>
                                      <a:pt x="8855" y="3601"/>
                                    </a:lnTo>
                                    <a:lnTo>
                                      <a:pt x="8802" y="3593"/>
                                    </a:lnTo>
                                    <a:lnTo>
                                      <a:pt x="8744" y="3584"/>
                                    </a:lnTo>
                                    <a:lnTo>
                                      <a:pt x="8686" y="3584"/>
                                    </a:lnTo>
                                    <a:lnTo>
                                      <a:pt x="8611" y="3588"/>
                                    </a:lnTo>
                                    <a:lnTo>
                                      <a:pt x="8540" y="3597"/>
                                    </a:lnTo>
                                    <a:lnTo>
                                      <a:pt x="8473" y="3610"/>
                                    </a:lnTo>
                                    <a:lnTo>
                                      <a:pt x="8411" y="3632"/>
                                    </a:lnTo>
                                    <a:lnTo>
                                      <a:pt x="8349" y="3659"/>
                                    </a:lnTo>
                                    <a:lnTo>
                                      <a:pt x="8295" y="3690"/>
                                    </a:lnTo>
                                    <a:lnTo>
                                      <a:pt x="8242" y="3726"/>
                                    </a:lnTo>
                                    <a:lnTo>
                                      <a:pt x="8197" y="3766"/>
                                    </a:lnTo>
                                    <a:lnTo>
                                      <a:pt x="8153" y="3810"/>
                                    </a:lnTo>
                                    <a:lnTo>
                                      <a:pt x="8117" y="3864"/>
                                    </a:lnTo>
                                    <a:lnTo>
                                      <a:pt x="8086" y="3917"/>
                                    </a:lnTo>
                                    <a:lnTo>
                                      <a:pt x="8055" y="3975"/>
                                    </a:lnTo>
                                    <a:lnTo>
                                      <a:pt x="8037" y="4037"/>
                                    </a:lnTo>
                                    <a:lnTo>
                                      <a:pt x="8019" y="4104"/>
                                    </a:lnTo>
                                    <a:lnTo>
                                      <a:pt x="8010" y="4175"/>
                                    </a:lnTo>
                                    <a:lnTo>
                                      <a:pt x="8006" y="4246"/>
                                    </a:lnTo>
                                    <a:close/>
                                    <a:moveTo>
                                      <a:pt x="10011" y="3793"/>
                                    </a:moveTo>
                                    <a:lnTo>
                                      <a:pt x="10011" y="3623"/>
                                    </a:lnTo>
                                    <a:lnTo>
                                      <a:pt x="9735" y="3623"/>
                                    </a:lnTo>
                                    <a:lnTo>
                                      <a:pt x="9735" y="3126"/>
                                    </a:lnTo>
                                    <a:lnTo>
                                      <a:pt x="9540" y="3126"/>
                                    </a:lnTo>
                                    <a:lnTo>
                                      <a:pt x="9540" y="3623"/>
                                    </a:lnTo>
                                    <a:lnTo>
                                      <a:pt x="9300" y="3623"/>
                                    </a:lnTo>
                                    <a:lnTo>
                                      <a:pt x="9300" y="3793"/>
                                    </a:lnTo>
                                    <a:lnTo>
                                      <a:pt x="9540" y="3793"/>
                                    </a:lnTo>
                                    <a:lnTo>
                                      <a:pt x="9540" y="4566"/>
                                    </a:lnTo>
                                    <a:lnTo>
                                      <a:pt x="9540" y="4602"/>
                                    </a:lnTo>
                                    <a:lnTo>
                                      <a:pt x="9544" y="4637"/>
                                    </a:lnTo>
                                    <a:lnTo>
                                      <a:pt x="9553" y="4669"/>
                                    </a:lnTo>
                                    <a:lnTo>
                                      <a:pt x="9562" y="4700"/>
                                    </a:lnTo>
                                    <a:lnTo>
                                      <a:pt x="9575" y="4726"/>
                                    </a:lnTo>
                                    <a:lnTo>
                                      <a:pt x="9589" y="4753"/>
                                    </a:lnTo>
                                    <a:lnTo>
                                      <a:pt x="9606" y="4775"/>
                                    </a:lnTo>
                                    <a:lnTo>
                                      <a:pt x="9624" y="4798"/>
                                    </a:lnTo>
                                    <a:lnTo>
                                      <a:pt x="9646" y="4815"/>
                                    </a:lnTo>
                                    <a:lnTo>
                                      <a:pt x="9669" y="4828"/>
                                    </a:lnTo>
                                    <a:lnTo>
                                      <a:pt x="9696" y="4842"/>
                                    </a:lnTo>
                                    <a:lnTo>
                                      <a:pt x="9722" y="4855"/>
                                    </a:lnTo>
                                    <a:lnTo>
                                      <a:pt x="9753" y="4864"/>
                                    </a:lnTo>
                                    <a:lnTo>
                                      <a:pt x="9784" y="4869"/>
                                    </a:lnTo>
                                    <a:lnTo>
                                      <a:pt x="9855" y="4873"/>
                                    </a:lnTo>
                                    <a:lnTo>
                                      <a:pt x="9958" y="4873"/>
                                    </a:lnTo>
                                    <a:lnTo>
                                      <a:pt x="9958" y="4691"/>
                                    </a:lnTo>
                                    <a:lnTo>
                                      <a:pt x="9891" y="4691"/>
                                    </a:lnTo>
                                    <a:lnTo>
                                      <a:pt x="9855" y="4691"/>
                                    </a:lnTo>
                                    <a:lnTo>
                                      <a:pt x="9824" y="4682"/>
                                    </a:lnTo>
                                    <a:lnTo>
                                      <a:pt x="9797" y="4669"/>
                                    </a:lnTo>
                                    <a:lnTo>
                                      <a:pt x="9775" y="4650"/>
                                    </a:lnTo>
                                    <a:lnTo>
                                      <a:pt x="9758" y="4628"/>
                                    </a:lnTo>
                                    <a:lnTo>
                                      <a:pt x="9745" y="4602"/>
                                    </a:lnTo>
                                    <a:lnTo>
                                      <a:pt x="9735" y="4566"/>
                                    </a:lnTo>
                                    <a:lnTo>
                                      <a:pt x="9735" y="4526"/>
                                    </a:lnTo>
                                    <a:lnTo>
                                      <a:pt x="9735" y="3793"/>
                                    </a:lnTo>
                                    <a:lnTo>
                                      <a:pt x="10011" y="3793"/>
                                    </a:lnTo>
                                    <a:close/>
                                    <a:moveTo>
                                      <a:pt x="11051" y="3926"/>
                                    </a:moveTo>
                                    <a:lnTo>
                                      <a:pt x="11051" y="3926"/>
                                    </a:lnTo>
                                    <a:lnTo>
                                      <a:pt x="11056" y="4033"/>
                                    </a:lnTo>
                                    <a:lnTo>
                                      <a:pt x="11069" y="4135"/>
                                    </a:lnTo>
                                    <a:lnTo>
                                      <a:pt x="11091" y="4233"/>
                                    </a:lnTo>
                                    <a:lnTo>
                                      <a:pt x="11122" y="4326"/>
                                    </a:lnTo>
                                    <a:lnTo>
                                      <a:pt x="11162" y="4415"/>
                                    </a:lnTo>
                                    <a:lnTo>
                                      <a:pt x="11211" y="4495"/>
                                    </a:lnTo>
                                    <a:lnTo>
                                      <a:pt x="11264" y="4571"/>
                                    </a:lnTo>
                                    <a:lnTo>
                                      <a:pt x="11327" y="4637"/>
                                    </a:lnTo>
                                    <a:lnTo>
                                      <a:pt x="11398" y="4700"/>
                                    </a:lnTo>
                                    <a:lnTo>
                                      <a:pt x="11474" y="4753"/>
                                    </a:lnTo>
                                    <a:lnTo>
                                      <a:pt x="11558" y="4802"/>
                                    </a:lnTo>
                                    <a:lnTo>
                                      <a:pt x="11647" y="4837"/>
                                    </a:lnTo>
                                    <a:lnTo>
                                      <a:pt x="11740" y="4869"/>
                                    </a:lnTo>
                                    <a:lnTo>
                                      <a:pt x="11843" y="4891"/>
                                    </a:lnTo>
                                    <a:lnTo>
                                      <a:pt x="11949" y="4908"/>
                                    </a:lnTo>
                                    <a:lnTo>
                                      <a:pt x="12060" y="4913"/>
                                    </a:lnTo>
                                    <a:lnTo>
                                      <a:pt x="12163" y="4908"/>
                                    </a:lnTo>
                                    <a:lnTo>
                                      <a:pt x="12256" y="4895"/>
                                    </a:lnTo>
                                    <a:lnTo>
                                      <a:pt x="12345" y="4877"/>
                                    </a:lnTo>
                                    <a:lnTo>
                                      <a:pt x="12425" y="4855"/>
                                    </a:lnTo>
                                    <a:lnTo>
                                      <a:pt x="12505" y="4824"/>
                                    </a:lnTo>
                                    <a:lnTo>
                                      <a:pt x="12580" y="4789"/>
                                    </a:lnTo>
                                    <a:lnTo>
                                      <a:pt x="12651" y="4744"/>
                                    </a:lnTo>
                                    <a:lnTo>
                                      <a:pt x="12717" y="4700"/>
                                    </a:lnTo>
                                    <a:lnTo>
                                      <a:pt x="12594" y="4517"/>
                                    </a:lnTo>
                                    <a:lnTo>
                                      <a:pt x="12540" y="4553"/>
                                    </a:lnTo>
                                    <a:lnTo>
                                      <a:pt x="12487" y="4588"/>
                                    </a:lnTo>
                                    <a:lnTo>
                                      <a:pt x="12425" y="4620"/>
                                    </a:lnTo>
                                    <a:lnTo>
                                      <a:pt x="12363" y="4646"/>
                                    </a:lnTo>
                                    <a:lnTo>
                                      <a:pt x="12292" y="4669"/>
                                    </a:lnTo>
                                    <a:lnTo>
                                      <a:pt x="12220" y="4686"/>
                                    </a:lnTo>
                                    <a:lnTo>
                                      <a:pt x="12140" y="4695"/>
                                    </a:lnTo>
                                    <a:lnTo>
                                      <a:pt x="12056" y="4700"/>
                                    </a:lnTo>
                                    <a:lnTo>
                                      <a:pt x="11972" y="4695"/>
                                    </a:lnTo>
                                    <a:lnTo>
                                      <a:pt x="11891" y="4686"/>
                                    </a:lnTo>
                                    <a:lnTo>
                                      <a:pt x="11811" y="4669"/>
                                    </a:lnTo>
                                    <a:lnTo>
                                      <a:pt x="11740" y="4646"/>
                                    </a:lnTo>
                                    <a:lnTo>
                                      <a:pt x="11674" y="4615"/>
                                    </a:lnTo>
                                    <a:lnTo>
                                      <a:pt x="11607" y="4575"/>
                                    </a:lnTo>
                                    <a:lnTo>
                                      <a:pt x="11549" y="4535"/>
                                    </a:lnTo>
                                    <a:lnTo>
                                      <a:pt x="11496" y="4486"/>
                                    </a:lnTo>
                                    <a:lnTo>
                                      <a:pt x="11447" y="4433"/>
                                    </a:lnTo>
                                    <a:lnTo>
                                      <a:pt x="11403" y="4375"/>
                                    </a:lnTo>
                                    <a:lnTo>
                                      <a:pt x="11367" y="4308"/>
                                    </a:lnTo>
                                    <a:lnTo>
                                      <a:pt x="11336" y="4242"/>
                                    </a:lnTo>
                                    <a:lnTo>
                                      <a:pt x="11309" y="4171"/>
                                    </a:lnTo>
                                    <a:lnTo>
                                      <a:pt x="11291" y="4091"/>
                                    </a:lnTo>
                                    <a:lnTo>
                                      <a:pt x="11283" y="4010"/>
                                    </a:lnTo>
                                    <a:lnTo>
                                      <a:pt x="11278" y="3926"/>
                                    </a:lnTo>
                                    <a:lnTo>
                                      <a:pt x="11283" y="3842"/>
                                    </a:lnTo>
                                    <a:lnTo>
                                      <a:pt x="11291" y="3762"/>
                                    </a:lnTo>
                                    <a:lnTo>
                                      <a:pt x="11309" y="3681"/>
                                    </a:lnTo>
                                    <a:lnTo>
                                      <a:pt x="11336" y="3610"/>
                                    </a:lnTo>
                                    <a:lnTo>
                                      <a:pt x="11367" y="3544"/>
                                    </a:lnTo>
                                    <a:lnTo>
                                      <a:pt x="11403" y="3477"/>
                                    </a:lnTo>
                                    <a:lnTo>
                                      <a:pt x="11447" y="3419"/>
                                    </a:lnTo>
                                    <a:lnTo>
                                      <a:pt x="11496" y="3366"/>
                                    </a:lnTo>
                                    <a:lnTo>
                                      <a:pt x="11549" y="3317"/>
                                    </a:lnTo>
                                    <a:lnTo>
                                      <a:pt x="11607" y="3272"/>
                                    </a:lnTo>
                                    <a:lnTo>
                                      <a:pt x="11674" y="3237"/>
                                    </a:lnTo>
                                    <a:lnTo>
                                      <a:pt x="11740" y="3206"/>
                                    </a:lnTo>
                                    <a:lnTo>
                                      <a:pt x="11811" y="3183"/>
                                    </a:lnTo>
                                    <a:lnTo>
                                      <a:pt x="11891" y="3166"/>
                                    </a:lnTo>
                                    <a:lnTo>
                                      <a:pt x="11972" y="3152"/>
                                    </a:lnTo>
                                    <a:lnTo>
                                      <a:pt x="12056" y="3152"/>
                                    </a:lnTo>
                                    <a:lnTo>
                                      <a:pt x="12140" y="3157"/>
                                    </a:lnTo>
                                    <a:lnTo>
                                      <a:pt x="12220" y="3166"/>
                                    </a:lnTo>
                                    <a:lnTo>
                                      <a:pt x="12292" y="3183"/>
                                    </a:lnTo>
                                    <a:lnTo>
                                      <a:pt x="12363" y="3206"/>
                                    </a:lnTo>
                                    <a:lnTo>
                                      <a:pt x="12425" y="3232"/>
                                    </a:lnTo>
                                    <a:lnTo>
                                      <a:pt x="12487" y="3264"/>
                                    </a:lnTo>
                                    <a:lnTo>
                                      <a:pt x="12540" y="3299"/>
                                    </a:lnTo>
                                    <a:lnTo>
                                      <a:pt x="12594" y="3335"/>
                                    </a:lnTo>
                                    <a:lnTo>
                                      <a:pt x="12717" y="3152"/>
                                    </a:lnTo>
                                    <a:lnTo>
                                      <a:pt x="12651" y="3108"/>
                                    </a:lnTo>
                                    <a:lnTo>
                                      <a:pt x="12580" y="3064"/>
                                    </a:lnTo>
                                    <a:lnTo>
                                      <a:pt x="12505" y="3028"/>
                                    </a:lnTo>
                                    <a:lnTo>
                                      <a:pt x="12425" y="2997"/>
                                    </a:lnTo>
                                    <a:lnTo>
                                      <a:pt x="12345" y="2974"/>
                                    </a:lnTo>
                                    <a:lnTo>
                                      <a:pt x="12256" y="2957"/>
                                    </a:lnTo>
                                    <a:lnTo>
                                      <a:pt x="12163" y="2944"/>
                                    </a:lnTo>
                                    <a:lnTo>
                                      <a:pt x="12060" y="2939"/>
                                    </a:lnTo>
                                    <a:lnTo>
                                      <a:pt x="11949" y="2944"/>
                                    </a:lnTo>
                                    <a:lnTo>
                                      <a:pt x="11843" y="2957"/>
                                    </a:lnTo>
                                    <a:lnTo>
                                      <a:pt x="11740" y="2979"/>
                                    </a:lnTo>
                                    <a:lnTo>
                                      <a:pt x="11647" y="3010"/>
                                    </a:lnTo>
                                    <a:lnTo>
                                      <a:pt x="11558" y="3050"/>
                                    </a:lnTo>
                                    <a:lnTo>
                                      <a:pt x="11474" y="3099"/>
                                    </a:lnTo>
                                    <a:lnTo>
                                      <a:pt x="11398" y="3152"/>
                                    </a:lnTo>
                                    <a:lnTo>
                                      <a:pt x="11327" y="3215"/>
                                    </a:lnTo>
                                    <a:lnTo>
                                      <a:pt x="11264" y="3281"/>
                                    </a:lnTo>
                                    <a:lnTo>
                                      <a:pt x="11211" y="3357"/>
                                    </a:lnTo>
                                    <a:lnTo>
                                      <a:pt x="11162" y="3437"/>
                                    </a:lnTo>
                                    <a:lnTo>
                                      <a:pt x="11122" y="3526"/>
                                    </a:lnTo>
                                    <a:lnTo>
                                      <a:pt x="11091" y="3619"/>
                                    </a:lnTo>
                                    <a:lnTo>
                                      <a:pt x="11069" y="3717"/>
                                    </a:lnTo>
                                    <a:lnTo>
                                      <a:pt x="11056" y="3819"/>
                                    </a:lnTo>
                                    <a:lnTo>
                                      <a:pt x="11051" y="3926"/>
                                    </a:lnTo>
                                    <a:close/>
                                    <a:moveTo>
                                      <a:pt x="14233" y="4246"/>
                                    </a:moveTo>
                                    <a:lnTo>
                                      <a:pt x="14233" y="4246"/>
                                    </a:lnTo>
                                    <a:lnTo>
                                      <a:pt x="14233" y="4175"/>
                                    </a:lnTo>
                                    <a:lnTo>
                                      <a:pt x="14220" y="4108"/>
                                    </a:lnTo>
                                    <a:lnTo>
                                      <a:pt x="14207" y="4042"/>
                                    </a:lnTo>
                                    <a:lnTo>
                                      <a:pt x="14184" y="3979"/>
                                    </a:lnTo>
                                    <a:lnTo>
                                      <a:pt x="14158" y="3922"/>
                                    </a:lnTo>
                                    <a:lnTo>
                                      <a:pt x="14122" y="3868"/>
                                    </a:lnTo>
                                    <a:lnTo>
                                      <a:pt x="14087" y="3815"/>
                                    </a:lnTo>
                                    <a:lnTo>
                                      <a:pt x="14042" y="3771"/>
                                    </a:lnTo>
                                    <a:lnTo>
                                      <a:pt x="13997" y="3730"/>
                                    </a:lnTo>
                                    <a:lnTo>
                                      <a:pt x="13944" y="3690"/>
                                    </a:lnTo>
                                    <a:lnTo>
                                      <a:pt x="13891" y="3659"/>
                                    </a:lnTo>
                                    <a:lnTo>
                                      <a:pt x="13829" y="3632"/>
                                    </a:lnTo>
                                    <a:lnTo>
                                      <a:pt x="13767" y="3610"/>
                                    </a:lnTo>
                                    <a:lnTo>
                                      <a:pt x="13700" y="3597"/>
                                    </a:lnTo>
                                    <a:lnTo>
                                      <a:pt x="13633" y="3588"/>
                                    </a:lnTo>
                                    <a:lnTo>
                                      <a:pt x="13557" y="3584"/>
                                    </a:lnTo>
                                    <a:lnTo>
                                      <a:pt x="13486" y="3588"/>
                                    </a:lnTo>
                                    <a:lnTo>
                                      <a:pt x="13419" y="3597"/>
                                    </a:lnTo>
                                    <a:lnTo>
                                      <a:pt x="13353" y="3610"/>
                                    </a:lnTo>
                                    <a:lnTo>
                                      <a:pt x="13291" y="3632"/>
                                    </a:lnTo>
                                    <a:lnTo>
                                      <a:pt x="13233" y="3659"/>
                                    </a:lnTo>
                                    <a:lnTo>
                                      <a:pt x="13175" y="3690"/>
                                    </a:lnTo>
                                    <a:lnTo>
                                      <a:pt x="13122" y="3730"/>
                                    </a:lnTo>
                                    <a:lnTo>
                                      <a:pt x="13077" y="3771"/>
                                    </a:lnTo>
                                    <a:lnTo>
                                      <a:pt x="13033" y="3815"/>
                                    </a:lnTo>
                                    <a:lnTo>
                                      <a:pt x="12998" y="3868"/>
                                    </a:lnTo>
                                    <a:lnTo>
                                      <a:pt x="12962" y="3922"/>
                                    </a:lnTo>
                                    <a:lnTo>
                                      <a:pt x="12935" y="3979"/>
                                    </a:lnTo>
                                    <a:lnTo>
                                      <a:pt x="12913" y="4042"/>
                                    </a:lnTo>
                                    <a:lnTo>
                                      <a:pt x="12899" y="4108"/>
                                    </a:lnTo>
                                    <a:lnTo>
                                      <a:pt x="12886" y="4175"/>
                                    </a:lnTo>
                                    <a:lnTo>
                                      <a:pt x="12886" y="4246"/>
                                    </a:lnTo>
                                    <a:lnTo>
                                      <a:pt x="12886" y="4317"/>
                                    </a:lnTo>
                                    <a:lnTo>
                                      <a:pt x="12899" y="4388"/>
                                    </a:lnTo>
                                    <a:lnTo>
                                      <a:pt x="12913" y="4450"/>
                                    </a:lnTo>
                                    <a:lnTo>
                                      <a:pt x="12935" y="4513"/>
                                    </a:lnTo>
                                    <a:lnTo>
                                      <a:pt x="12962" y="4571"/>
                                    </a:lnTo>
                                    <a:lnTo>
                                      <a:pt x="12998" y="4628"/>
                                    </a:lnTo>
                                    <a:lnTo>
                                      <a:pt x="13033" y="4677"/>
                                    </a:lnTo>
                                    <a:lnTo>
                                      <a:pt x="13077" y="4722"/>
                                    </a:lnTo>
                                    <a:lnTo>
                                      <a:pt x="13122" y="4766"/>
                                    </a:lnTo>
                                    <a:lnTo>
                                      <a:pt x="13175" y="4802"/>
                                    </a:lnTo>
                                    <a:lnTo>
                                      <a:pt x="13233" y="4833"/>
                                    </a:lnTo>
                                    <a:lnTo>
                                      <a:pt x="13291" y="4860"/>
                                    </a:lnTo>
                                    <a:lnTo>
                                      <a:pt x="13353" y="4882"/>
                                    </a:lnTo>
                                    <a:lnTo>
                                      <a:pt x="13419" y="4900"/>
                                    </a:lnTo>
                                    <a:lnTo>
                                      <a:pt x="13486" y="4908"/>
                                    </a:lnTo>
                                    <a:lnTo>
                                      <a:pt x="13557" y="4913"/>
                                    </a:lnTo>
                                    <a:lnTo>
                                      <a:pt x="13633" y="4908"/>
                                    </a:lnTo>
                                    <a:lnTo>
                                      <a:pt x="13700" y="4900"/>
                                    </a:lnTo>
                                    <a:lnTo>
                                      <a:pt x="13767" y="4882"/>
                                    </a:lnTo>
                                    <a:lnTo>
                                      <a:pt x="13829" y="4860"/>
                                    </a:lnTo>
                                    <a:lnTo>
                                      <a:pt x="13891" y="4833"/>
                                    </a:lnTo>
                                    <a:lnTo>
                                      <a:pt x="13944" y="4802"/>
                                    </a:lnTo>
                                    <a:lnTo>
                                      <a:pt x="13997" y="4766"/>
                                    </a:lnTo>
                                    <a:lnTo>
                                      <a:pt x="14042" y="4722"/>
                                    </a:lnTo>
                                    <a:lnTo>
                                      <a:pt x="14087" y="4677"/>
                                    </a:lnTo>
                                    <a:lnTo>
                                      <a:pt x="14122" y="4628"/>
                                    </a:lnTo>
                                    <a:lnTo>
                                      <a:pt x="14158" y="4571"/>
                                    </a:lnTo>
                                    <a:lnTo>
                                      <a:pt x="14184" y="4513"/>
                                    </a:lnTo>
                                    <a:lnTo>
                                      <a:pt x="14207" y="4450"/>
                                    </a:lnTo>
                                    <a:lnTo>
                                      <a:pt x="14220" y="4388"/>
                                    </a:lnTo>
                                    <a:lnTo>
                                      <a:pt x="14233" y="4317"/>
                                    </a:lnTo>
                                    <a:lnTo>
                                      <a:pt x="14233" y="4246"/>
                                    </a:lnTo>
                                    <a:close/>
                                    <a:moveTo>
                                      <a:pt x="13091" y="4246"/>
                                    </a:moveTo>
                                    <a:lnTo>
                                      <a:pt x="13091" y="4246"/>
                                    </a:lnTo>
                                    <a:lnTo>
                                      <a:pt x="13091" y="4193"/>
                                    </a:lnTo>
                                    <a:lnTo>
                                      <a:pt x="13099" y="4144"/>
                                    </a:lnTo>
                                    <a:lnTo>
                                      <a:pt x="13108" y="4099"/>
                                    </a:lnTo>
                                    <a:lnTo>
                                      <a:pt x="13126" y="4050"/>
                                    </a:lnTo>
                                    <a:lnTo>
                                      <a:pt x="13144" y="4010"/>
                                    </a:lnTo>
                                    <a:lnTo>
                                      <a:pt x="13166" y="3971"/>
                                    </a:lnTo>
                                    <a:lnTo>
                                      <a:pt x="13193" y="3935"/>
                                    </a:lnTo>
                                    <a:lnTo>
                                      <a:pt x="13224" y="3904"/>
                                    </a:lnTo>
                                    <a:lnTo>
                                      <a:pt x="13255" y="3872"/>
                                    </a:lnTo>
                                    <a:lnTo>
                                      <a:pt x="13291" y="3850"/>
                                    </a:lnTo>
                                    <a:lnTo>
                                      <a:pt x="13331" y="3828"/>
                                    </a:lnTo>
                                    <a:lnTo>
                                      <a:pt x="13371" y="3810"/>
                                    </a:lnTo>
                                    <a:lnTo>
                                      <a:pt x="13415" y="3793"/>
                                    </a:lnTo>
                                    <a:lnTo>
                                      <a:pt x="13464" y="3784"/>
                                    </a:lnTo>
                                    <a:lnTo>
                                      <a:pt x="13509" y="3775"/>
                                    </a:lnTo>
                                    <a:lnTo>
                                      <a:pt x="13557" y="3775"/>
                                    </a:lnTo>
                                    <a:lnTo>
                                      <a:pt x="13611" y="3775"/>
                                    </a:lnTo>
                                    <a:lnTo>
                                      <a:pt x="13655" y="3784"/>
                                    </a:lnTo>
                                    <a:lnTo>
                                      <a:pt x="13704" y="3793"/>
                                    </a:lnTo>
                                    <a:lnTo>
                                      <a:pt x="13748" y="3810"/>
                                    </a:lnTo>
                                    <a:lnTo>
                                      <a:pt x="13789" y="3828"/>
                                    </a:lnTo>
                                    <a:lnTo>
                                      <a:pt x="13829" y="3850"/>
                                    </a:lnTo>
                                    <a:lnTo>
                                      <a:pt x="13864" y="3872"/>
                                    </a:lnTo>
                                    <a:lnTo>
                                      <a:pt x="13895" y="3904"/>
                                    </a:lnTo>
                                    <a:lnTo>
                                      <a:pt x="13926" y="3935"/>
                                    </a:lnTo>
                                    <a:lnTo>
                                      <a:pt x="13953" y="3971"/>
                                    </a:lnTo>
                                    <a:lnTo>
                                      <a:pt x="13975" y="4010"/>
                                    </a:lnTo>
                                    <a:lnTo>
                                      <a:pt x="13993" y="4050"/>
                                    </a:lnTo>
                                    <a:lnTo>
                                      <a:pt x="14011" y="4099"/>
                                    </a:lnTo>
                                    <a:lnTo>
                                      <a:pt x="14020" y="4144"/>
                                    </a:lnTo>
                                    <a:lnTo>
                                      <a:pt x="14029" y="4193"/>
                                    </a:lnTo>
                                    <a:lnTo>
                                      <a:pt x="14029" y="4246"/>
                                    </a:lnTo>
                                    <a:lnTo>
                                      <a:pt x="14029" y="4299"/>
                                    </a:lnTo>
                                    <a:lnTo>
                                      <a:pt x="14020" y="4349"/>
                                    </a:lnTo>
                                    <a:lnTo>
                                      <a:pt x="14011" y="4397"/>
                                    </a:lnTo>
                                    <a:lnTo>
                                      <a:pt x="13993" y="4442"/>
                                    </a:lnTo>
                                    <a:lnTo>
                                      <a:pt x="13975" y="4482"/>
                                    </a:lnTo>
                                    <a:lnTo>
                                      <a:pt x="13953" y="4522"/>
                                    </a:lnTo>
                                    <a:lnTo>
                                      <a:pt x="13926" y="4557"/>
                                    </a:lnTo>
                                    <a:lnTo>
                                      <a:pt x="13895" y="4588"/>
                                    </a:lnTo>
                                    <a:lnTo>
                                      <a:pt x="13864" y="4620"/>
                                    </a:lnTo>
                                    <a:lnTo>
                                      <a:pt x="13829" y="4646"/>
                                    </a:lnTo>
                                    <a:lnTo>
                                      <a:pt x="13789" y="4669"/>
                                    </a:lnTo>
                                    <a:lnTo>
                                      <a:pt x="13748" y="4686"/>
                                    </a:lnTo>
                                    <a:lnTo>
                                      <a:pt x="13704" y="4700"/>
                                    </a:lnTo>
                                    <a:lnTo>
                                      <a:pt x="13655" y="4713"/>
                                    </a:lnTo>
                                    <a:lnTo>
                                      <a:pt x="13611" y="4717"/>
                                    </a:lnTo>
                                    <a:lnTo>
                                      <a:pt x="13557" y="4717"/>
                                    </a:lnTo>
                                    <a:lnTo>
                                      <a:pt x="13509" y="4717"/>
                                    </a:lnTo>
                                    <a:lnTo>
                                      <a:pt x="13464" y="4713"/>
                                    </a:lnTo>
                                    <a:lnTo>
                                      <a:pt x="13415" y="4700"/>
                                    </a:lnTo>
                                    <a:lnTo>
                                      <a:pt x="13371" y="4686"/>
                                    </a:lnTo>
                                    <a:lnTo>
                                      <a:pt x="13331" y="4669"/>
                                    </a:lnTo>
                                    <a:lnTo>
                                      <a:pt x="13291" y="4646"/>
                                    </a:lnTo>
                                    <a:lnTo>
                                      <a:pt x="13255" y="4620"/>
                                    </a:lnTo>
                                    <a:lnTo>
                                      <a:pt x="13224" y="4588"/>
                                    </a:lnTo>
                                    <a:lnTo>
                                      <a:pt x="13193" y="4557"/>
                                    </a:lnTo>
                                    <a:lnTo>
                                      <a:pt x="13166" y="4522"/>
                                    </a:lnTo>
                                    <a:lnTo>
                                      <a:pt x="13144" y="4482"/>
                                    </a:lnTo>
                                    <a:lnTo>
                                      <a:pt x="13126" y="4442"/>
                                    </a:lnTo>
                                    <a:lnTo>
                                      <a:pt x="13108" y="4397"/>
                                    </a:lnTo>
                                    <a:lnTo>
                                      <a:pt x="13099" y="4349"/>
                                    </a:lnTo>
                                    <a:lnTo>
                                      <a:pt x="13091" y="4299"/>
                                    </a:lnTo>
                                    <a:lnTo>
                                      <a:pt x="13091" y="4246"/>
                                    </a:lnTo>
                                    <a:close/>
                                    <a:moveTo>
                                      <a:pt x="14566" y="4873"/>
                                    </a:moveTo>
                                    <a:lnTo>
                                      <a:pt x="14762" y="4873"/>
                                    </a:lnTo>
                                    <a:lnTo>
                                      <a:pt x="14762" y="4246"/>
                                    </a:lnTo>
                                    <a:lnTo>
                                      <a:pt x="14762" y="4188"/>
                                    </a:lnTo>
                                    <a:lnTo>
                                      <a:pt x="14766" y="4130"/>
                                    </a:lnTo>
                                    <a:lnTo>
                                      <a:pt x="14776" y="4082"/>
                                    </a:lnTo>
                                    <a:lnTo>
                                      <a:pt x="14785" y="4033"/>
                                    </a:lnTo>
                                    <a:lnTo>
                                      <a:pt x="14798" y="3993"/>
                                    </a:lnTo>
                                    <a:lnTo>
                                      <a:pt x="14815" y="3952"/>
                                    </a:lnTo>
                                    <a:lnTo>
                                      <a:pt x="14834" y="3917"/>
                                    </a:lnTo>
                                    <a:lnTo>
                                      <a:pt x="14851" y="3886"/>
                                    </a:lnTo>
                                    <a:lnTo>
                                      <a:pt x="14878" y="3859"/>
                                    </a:lnTo>
                                    <a:lnTo>
                                      <a:pt x="14900" y="3837"/>
                                    </a:lnTo>
                                    <a:lnTo>
                                      <a:pt x="14927" y="3819"/>
                                    </a:lnTo>
                                    <a:lnTo>
                                      <a:pt x="14958" y="3806"/>
                                    </a:lnTo>
                                    <a:lnTo>
                                      <a:pt x="14989" y="3793"/>
                                    </a:lnTo>
                                    <a:lnTo>
                                      <a:pt x="15025" y="3784"/>
                                    </a:lnTo>
                                    <a:lnTo>
                                      <a:pt x="15060" y="3779"/>
                                    </a:lnTo>
                                    <a:lnTo>
                                      <a:pt x="15096" y="3779"/>
                                    </a:lnTo>
                                    <a:lnTo>
                                      <a:pt x="15131" y="3779"/>
                                    </a:lnTo>
                                    <a:lnTo>
                                      <a:pt x="15162" y="3784"/>
                                    </a:lnTo>
                                    <a:lnTo>
                                      <a:pt x="15193" y="3788"/>
                                    </a:lnTo>
                                    <a:lnTo>
                                      <a:pt x="15220" y="3801"/>
                                    </a:lnTo>
                                    <a:lnTo>
                                      <a:pt x="15247" y="3810"/>
                                    </a:lnTo>
                                    <a:lnTo>
                                      <a:pt x="15273" y="3828"/>
                                    </a:lnTo>
                                    <a:lnTo>
                                      <a:pt x="15291" y="3846"/>
                                    </a:lnTo>
                                    <a:lnTo>
                                      <a:pt x="15313" y="3868"/>
                                    </a:lnTo>
                                    <a:lnTo>
                                      <a:pt x="15331" y="3891"/>
                                    </a:lnTo>
                                    <a:lnTo>
                                      <a:pt x="15345" y="3917"/>
                                    </a:lnTo>
                                    <a:lnTo>
                                      <a:pt x="15358" y="3944"/>
                                    </a:lnTo>
                                    <a:lnTo>
                                      <a:pt x="15367" y="3979"/>
                                    </a:lnTo>
                                    <a:lnTo>
                                      <a:pt x="15376" y="4010"/>
                                    </a:lnTo>
                                    <a:lnTo>
                                      <a:pt x="15380" y="4050"/>
                                    </a:lnTo>
                                    <a:lnTo>
                                      <a:pt x="15384" y="4135"/>
                                    </a:lnTo>
                                    <a:lnTo>
                                      <a:pt x="15384" y="4873"/>
                                    </a:lnTo>
                                    <a:lnTo>
                                      <a:pt x="15580" y="4873"/>
                                    </a:lnTo>
                                    <a:lnTo>
                                      <a:pt x="15580" y="4220"/>
                                    </a:lnTo>
                                    <a:lnTo>
                                      <a:pt x="15580" y="4162"/>
                                    </a:lnTo>
                                    <a:lnTo>
                                      <a:pt x="15589" y="4108"/>
                                    </a:lnTo>
                                    <a:lnTo>
                                      <a:pt x="15593" y="4059"/>
                                    </a:lnTo>
                                    <a:lnTo>
                                      <a:pt x="15607" y="4015"/>
                                    </a:lnTo>
                                    <a:lnTo>
                                      <a:pt x="15620" y="3975"/>
                                    </a:lnTo>
                                    <a:lnTo>
                                      <a:pt x="15633" y="3939"/>
                                    </a:lnTo>
                                    <a:lnTo>
                                      <a:pt x="15655" y="3908"/>
                                    </a:lnTo>
                                    <a:lnTo>
                                      <a:pt x="15674" y="3877"/>
                                    </a:lnTo>
                                    <a:lnTo>
                                      <a:pt x="15700" y="3855"/>
                                    </a:lnTo>
                                    <a:lnTo>
                                      <a:pt x="15727" y="3833"/>
                                    </a:lnTo>
                                    <a:lnTo>
                                      <a:pt x="15754" y="3815"/>
                                    </a:lnTo>
                                    <a:lnTo>
                                      <a:pt x="15780" y="3801"/>
                                    </a:lnTo>
                                    <a:lnTo>
                                      <a:pt x="15816" y="3793"/>
                                    </a:lnTo>
                                    <a:lnTo>
                                      <a:pt x="15847" y="3784"/>
                                    </a:lnTo>
                                    <a:lnTo>
                                      <a:pt x="15882" y="3779"/>
                                    </a:lnTo>
                                    <a:lnTo>
                                      <a:pt x="15918" y="3779"/>
                                    </a:lnTo>
                                    <a:lnTo>
                                      <a:pt x="15953" y="3779"/>
                                    </a:lnTo>
                                    <a:lnTo>
                                      <a:pt x="15985" y="3784"/>
                                    </a:lnTo>
                                    <a:lnTo>
                                      <a:pt x="16016" y="3788"/>
                                    </a:lnTo>
                                    <a:lnTo>
                                      <a:pt x="16043" y="3797"/>
                                    </a:lnTo>
                                    <a:lnTo>
                                      <a:pt x="16069" y="3810"/>
                                    </a:lnTo>
                                    <a:lnTo>
                                      <a:pt x="16091" y="3823"/>
                                    </a:lnTo>
                                    <a:lnTo>
                                      <a:pt x="16114" y="3837"/>
                                    </a:lnTo>
                                    <a:lnTo>
                                      <a:pt x="16131" y="3859"/>
                                    </a:lnTo>
                                    <a:lnTo>
                                      <a:pt x="16149" y="3877"/>
                                    </a:lnTo>
                                    <a:lnTo>
                                      <a:pt x="16162" y="3904"/>
                                    </a:lnTo>
                                    <a:lnTo>
                                      <a:pt x="16176" y="3930"/>
                                    </a:lnTo>
                                    <a:lnTo>
                                      <a:pt x="16185" y="3957"/>
                                    </a:lnTo>
                                    <a:lnTo>
                                      <a:pt x="16194" y="3988"/>
                                    </a:lnTo>
                                    <a:lnTo>
                                      <a:pt x="16198" y="4024"/>
                                    </a:lnTo>
                                    <a:lnTo>
                                      <a:pt x="16202" y="4095"/>
                                    </a:lnTo>
                                    <a:lnTo>
                                      <a:pt x="16202" y="4873"/>
                                    </a:lnTo>
                                    <a:lnTo>
                                      <a:pt x="16398" y="4873"/>
                                    </a:lnTo>
                                    <a:lnTo>
                                      <a:pt x="16398" y="4091"/>
                                    </a:lnTo>
                                    <a:lnTo>
                                      <a:pt x="16398" y="4024"/>
                                    </a:lnTo>
                                    <a:lnTo>
                                      <a:pt x="16389" y="3962"/>
                                    </a:lnTo>
                                    <a:lnTo>
                                      <a:pt x="16380" y="3908"/>
                                    </a:lnTo>
                                    <a:lnTo>
                                      <a:pt x="16367" y="3855"/>
                                    </a:lnTo>
                                    <a:lnTo>
                                      <a:pt x="16345" y="3810"/>
                                    </a:lnTo>
                                    <a:lnTo>
                                      <a:pt x="16327" y="3766"/>
                                    </a:lnTo>
                                    <a:lnTo>
                                      <a:pt x="16300" y="3730"/>
                                    </a:lnTo>
                                    <a:lnTo>
                                      <a:pt x="16274" y="3699"/>
                                    </a:lnTo>
                                    <a:lnTo>
                                      <a:pt x="16243" y="3668"/>
                                    </a:lnTo>
                                    <a:lnTo>
                                      <a:pt x="16211" y="3646"/>
                                    </a:lnTo>
                                    <a:lnTo>
                                      <a:pt x="16176" y="3628"/>
                                    </a:lnTo>
                                    <a:lnTo>
                                      <a:pt x="16136" y="3610"/>
                                    </a:lnTo>
                                    <a:lnTo>
                                      <a:pt x="16100" y="3597"/>
                                    </a:lnTo>
                                    <a:lnTo>
                                      <a:pt x="16056" y="3588"/>
                                    </a:lnTo>
                                    <a:lnTo>
                                      <a:pt x="16016" y="3584"/>
                                    </a:lnTo>
                                    <a:lnTo>
                                      <a:pt x="15971" y="3584"/>
                                    </a:lnTo>
                                    <a:lnTo>
                                      <a:pt x="15904" y="3588"/>
                                    </a:lnTo>
                                    <a:lnTo>
                                      <a:pt x="15842" y="3597"/>
                                    </a:lnTo>
                                    <a:lnTo>
                                      <a:pt x="15780" y="3619"/>
                                    </a:lnTo>
                                    <a:lnTo>
                                      <a:pt x="15727" y="3650"/>
                                    </a:lnTo>
                                    <a:lnTo>
                                      <a:pt x="15700" y="3668"/>
                                    </a:lnTo>
                                    <a:lnTo>
                                      <a:pt x="15674" y="3686"/>
                                    </a:lnTo>
                                    <a:lnTo>
                                      <a:pt x="15651" y="3713"/>
                                    </a:lnTo>
                                    <a:lnTo>
                                      <a:pt x="15629" y="3735"/>
                                    </a:lnTo>
                                    <a:lnTo>
                                      <a:pt x="15607" y="3762"/>
                                    </a:lnTo>
                                    <a:lnTo>
                                      <a:pt x="15589" y="3793"/>
                                    </a:lnTo>
                                    <a:lnTo>
                                      <a:pt x="15571" y="3823"/>
                                    </a:lnTo>
                                    <a:lnTo>
                                      <a:pt x="15558" y="3859"/>
                                    </a:lnTo>
                                    <a:lnTo>
                                      <a:pt x="15554" y="3859"/>
                                    </a:lnTo>
                                    <a:lnTo>
                                      <a:pt x="15522" y="3793"/>
                                    </a:lnTo>
                                    <a:lnTo>
                                      <a:pt x="15487" y="3735"/>
                                    </a:lnTo>
                                    <a:lnTo>
                                      <a:pt x="15447" y="3690"/>
                                    </a:lnTo>
                                    <a:lnTo>
                                      <a:pt x="15402" y="3650"/>
                                    </a:lnTo>
                                    <a:lnTo>
                                      <a:pt x="15349" y="3619"/>
                                    </a:lnTo>
                                    <a:lnTo>
                                      <a:pt x="15291" y="3601"/>
                                    </a:lnTo>
                                    <a:lnTo>
                                      <a:pt x="15229" y="3588"/>
                                    </a:lnTo>
                                    <a:lnTo>
                                      <a:pt x="15158" y="3584"/>
                                    </a:lnTo>
                                    <a:lnTo>
                                      <a:pt x="15086" y="3588"/>
                                    </a:lnTo>
                                    <a:lnTo>
                                      <a:pt x="15025" y="3601"/>
                                    </a:lnTo>
                                    <a:lnTo>
                                      <a:pt x="14967" y="3619"/>
                                    </a:lnTo>
                                    <a:lnTo>
                                      <a:pt x="14918" y="3650"/>
                                    </a:lnTo>
                                    <a:lnTo>
                                      <a:pt x="14869" y="3686"/>
                                    </a:lnTo>
                                    <a:lnTo>
                                      <a:pt x="14829" y="3730"/>
                                    </a:lnTo>
                                    <a:lnTo>
                                      <a:pt x="14793" y="3784"/>
                                    </a:lnTo>
                                    <a:lnTo>
                                      <a:pt x="14766" y="3846"/>
                                    </a:lnTo>
                                    <a:lnTo>
                                      <a:pt x="14762" y="3846"/>
                                    </a:lnTo>
                                    <a:lnTo>
                                      <a:pt x="14762" y="3623"/>
                                    </a:lnTo>
                                    <a:lnTo>
                                      <a:pt x="14566" y="3623"/>
                                    </a:lnTo>
                                    <a:lnTo>
                                      <a:pt x="14566" y="4873"/>
                                    </a:lnTo>
                                    <a:close/>
                                    <a:moveTo>
                                      <a:pt x="16802" y="4873"/>
                                    </a:moveTo>
                                    <a:lnTo>
                                      <a:pt x="16998" y="4873"/>
                                    </a:lnTo>
                                    <a:lnTo>
                                      <a:pt x="16998" y="4246"/>
                                    </a:lnTo>
                                    <a:lnTo>
                                      <a:pt x="16998" y="4188"/>
                                    </a:lnTo>
                                    <a:lnTo>
                                      <a:pt x="17003" y="4130"/>
                                    </a:lnTo>
                                    <a:lnTo>
                                      <a:pt x="17012" y="4082"/>
                                    </a:lnTo>
                                    <a:lnTo>
                                      <a:pt x="17020" y="4033"/>
                                    </a:lnTo>
                                    <a:lnTo>
                                      <a:pt x="17034" y="3993"/>
                                    </a:lnTo>
                                    <a:lnTo>
                                      <a:pt x="17051" y="3952"/>
                                    </a:lnTo>
                                    <a:lnTo>
                                      <a:pt x="17070" y="3917"/>
                                    </a:lnTo>
                                    <a:lnTo>
                                      <a:pt x="17087" y="3886"/>
                                    </a:lnTo>
                                    <a:lnTo>
                                      <a:pt x="17114" y="3859"/>
                                    </a:lnTo>
                                    <a:lnTo>
                                      <a:pt x="17136" y="3837"/>
                                    </a:lnTo>
                                    <a:lnTo>
                                      <a:pt x="17167" y="3819"/>
                                    </a:lnTo>
                                    <a:lnTo>
                                      <a:pt x="17194" y="3806"/>
                                    </a:lnTo>
                                    <a:lnTo>
                                      <a:pt x="17225" y="3793"/>
                                    </a:lnTo>
                                    <a:lnTo>
                                      <a:pt x="17261" y="3784"/>
                                    </a:lnTo>
                                    <a:lnTo>
                                      <a:pt x="17296" y="3779"/>
                                    </a:lnTo>
                                    <a:lnTo>
                                      <a:pt x="17332" y="3779"/>
                                    </a:lnTo>
                                    <a:lnTo>
                                      <a:pt x="17367" y="3779"/>
                                    </a:lnTo>
                                    <a:lnTo>
                                      <a:pt x="17398" y="3784"/>
                                    </a:lnTo>
                                    <a:lnTo>
                                      <a:pt x="17429" y="3788"/>
                                    </a:lnTo>
                                    <a:lnTo>
                                      <a:pt x="17456" y="3801"/>
                                    </a:lnTo>
                                    <a:lnTo>
                                      <a:pt x="17483" y="3810"/>
                                    </a:lnTo>
                                    <a:lnTo>
                                      <a:pt x="17510" y="3828"/>
                                    </a:lnTo>
                                    <a:lnTo>
                                      <a:pt x="17532" y="3846"/>
                                    </a:lnTo>
                                    <a:lnTo>
                                      <a:pt x="17549" y="3868"/>
                                    </a:lnTo>
                                    <a:lnTo>
                                      <a:pt x="17567" y="3891"/>
                                    </a:lnTo>
                                    <a:lnTo>
                                      <a:pt x="17581" y="3917"/>
                                    </a:lnTo>
                                    <a:lnTo>
                                      <a:pt x="17594" y="3944"/>
                                    </a:lnTo>
                                    <a:lnTo>
                                      <a:pt x="17603" y="3979"/>
                                    </a:lnTo>
                                    <a:lnTo>
                                      <a:pt x="17612" y="4010"/>
                                    </a:lnTo>
                                    <a:lnTo>
                                      <a:pt x="17620" y="4050"/>
                                    </a:lnTo>
                                    <a:lnTo>
                                      <a:pt x="17625" y="4135"/>
                                    </a:lnTo>
                                    <a:lnTo>
                                      <a:pt x="17625" y="4873"/>
                                    </a:lnTo>
                                    <a:lnTo>
                                      <a:pt x="17816" y="4873"/>
                                    </a:lnTo>
                                    <a:lnTo>
                                      <a:pt x="17816" y="4220"/>
                                    </a:lnTo>
                                    <a:lnTo>
                                      <a:pt x="17820" y="4162"/>
                                    </a:lnTo>
                                    <a:lnTo>
                                      <a:pt x="17825" y="4108"/>
                                    </a:lnTo>
                                    <a:lnTo>
                                      <a:pt x="17830" y="4059"/>
                                    </a:lnTo>
                                    <a:lnTo>
                                      <a:pt x="17843" y="4015"/>
                                    </a:lnTo>
                                    <a:lnTo>
                                      <a:pt x="17856" y="3975"/>
                                    </a:lnTo>
                                    <a:lnTo>
                                      <a:pt x="17874" y="3939"/>
                                    </a:lnTo>
                                    <a:lnTo>
                                      <a:pt x="17892" y="3908"/>
                                    </a:lnTo>
                                    <a:lnTo>
                                      <a:pt x="17914" y="3877"/>
                                    </a:lnTo>
                                    <a:lnTo>
                                      <a:pt x="17936" y="3855"/>
                                    </a:lnTo>
                                    <a:lnTo>
                                      <a:pt x="17963" y="3833"/>
                                    </a:lnTo>
                                    <a:lnTo>
                                      <a:pt x="17989" y="3815"/>
                                    </a:lnTo>
                                    <a:lnTo>
                                      <a:pt x="18021" y="3801"/>
                                    </a:lnTo>
                                    <a:lnTo>
                                      <a:pt x="18052" y="3793"/>
                                    </a:lnTo>
                                    <a:lnTo>
                                      <a:pt x="18083" y="3784"/>
                                    </a:lnTo>
                                    <a:lnTo>
                                      <a:pt x="18118" y="3779"/>
                                    </a:lnTo>
                                    <a:lnTo>
                                      <a:pt x="18154" y="3779"/>
                                    </a:lnTo>
                                    <a:lnTo>
                                      <a:pt x="18189" y="3779"/>
                                    </a:lnTo>
                                    <a:lnTo>
                                      <a:pt x="18221" y="3784"/>
                                    </a:lnTo>
                                    <a:lnTo>
                                      <a:pt x="18252" y="3788"/>
                                    </a:lnTo>
                                    <a:lnTo>
                                      <a:pt x="18279" y="3797"/>
                                    </a:lnTo>
                                    <a:lnTo>
                                      <a:pt x="18305" y="3810"/>
                                    </a:lnTo>
                                    <a:lnTo>
                                      <a:pt x="18327" y="3823"/>
                                    </a:lnTo>
                                    <a:lnTo>
                                      <a:pt x="18350" y="3837"/>
                                    </a:lnTo>
                                    <a:lnTo>
                                      <a:pt x="18367" y="3859"/>
                                    </a:lnTo>
                                    <a:lnTo>
                                      <a:pt x="18385" y="3877"/>
                                    </a:lnTo>
                                    <a:lnTo>
                                      <a:pt x="18399" y="3904"/>
                                    </a:lnTo>
                                    <a:lnTo>
                                      <a:pt x="18412" y="3930"/>
                                    </a:lnTo>
                                    <a:lnTo>
                                      <a:pt x="18421" y="3957"/>
                                    </a:lnTo>
                                    <a:lnTo>
                                      <a:pt x="18430" y="3988"/>
                                    </a:lnTo>
                                    <a:lnTo>
                                      <a:pt x="18434" y="4024"/>
                                    </a:lnTo>
                                    <a:lnTo>
                                      <a:pt x="18443" y="4095"/>
                                    </a:lnTo>
                                    <a:lnTo>
                                      <a:pt x="18443" y="4873"/>
                                    </a:lnTo>
                                    <a:lnTo>
                                      <a:pt x="18634" y="4873"/>
                                    </a:lnTo>
                                    <a:lnTo>
                                      <a:pt x="18634" y="4091"/>
                                    </a:lnTo>
                                    <a:lnTo>
                                      <a:pt x="18634" y="4024"/>
                                    </a:lnTo>
                                    <a:lnTo>
                                      <a:pt x="18625" y="3962"/>
                                    </a:lnTo>
                                    <a:lnTo>
                                      <a:pt x="18616" y="3908"/>
                                    </a:lnTo>
                                    <a:lnTo>
                                      <a:pt x="18603" y="3855"/>
                                    </a:lnTo>
                                    <a:lnTo>
                                      <a:pt x="18585" y="3810"/>
                                    </a:lnTo>
                                    <a:lnTo>
                                      <a:pt x="18563" y="3766"/>
                                    </a:lnTo>
                                    <a:lnTo>
                                      <a:pt x="18536" y="3730"/>
                                    </a:lnTo>
                                    <a:lnTo>
                                      <a:pt x="18510" y="3699"/>
                                    </a:lnTo>
                                    <a:lnTo>
                                      <a:pt x="18479" y="3668"/>
                                    </a:lnTo>
                                    <a:lnTo>
                                      <a:pt x="18447" y="3646"/>
                                    </a:lnTo>
                                    <a:lnTo>
                                      <a:pt x="18412" y="3628"/>
                                    </a:lnTo>
                                    <a:lnTo>
                                      <a:pt x="18376" y="3610"/>
                                    </a:lnTo>
                                    <a:lnTo>
                                      <a:pt x="18336" y="3597"/>
                                    </a:lnTo>
                                    <a:lnTo>
                                      <a:pt x="18296" y="3588"/>
                                    </a:lnTo>
                                    <a:lnTo>
                                      <a:pt x="18252" y="3584"/>
                                    </a:lnTo>
                                    <a:lnTo>
                                      <a:pt x="18208" y="3584"/>
                                    </a:lnTo>
                                    <a:lnTo>
                                      <a:pt x="18140" y="3588"/>
                                    </a:lnTo>
                                    <a:lnTo>
                                      <a:pt x="18078" y="3597"/>
                                    </a:lnTo>
                                    <a:lnTo>
                                      <a:pt x="18016" y="3619"/>
                                    </a:lnTo>
                                    <a:lnTo>
                                      <a:pt x="17963" y="3650"/>
                                    </a:lnTo>
                                    <a:lnTo>
                                      <a:pt x="17936" y="3668"/>
                                    </a:lnTo>
                                    <a:lnTo>
                                      <a:pt x="17910" y="3686"/>
                                    </a:lnTo>
                                    <a:lnTo>
                                      <a:pt x="17887" y="3713"/>
                                    </a:lnTo>
                                    <a:lnTo>
                                      <a:pt x="17865" y="3735"/>
                                    </a:lnTo>
                                    <a:lnTo>
                                      <a:pt x="17843" y="3762"/>
                                    </a:lnTo>
                                    <a:lnTo>
                                      <a:pt x="17825" y="3793"/>
                                    </a:lnTo>
                                    <a:lnTo>
                                      <a:pt x="17812" y="3823"/>
                                    </a:lnTo>
                                    <a:lnTo>
                                      <a:pt x="17794" y="3859"/>
                                    </a:lnTo>
                                    <a:lnTo>
                                      <a:pt x="17790" y="3859"/>
                                    </a:lnTo>
                                    <a:lnTo>
                                      <a:pt x="17758" y="3793"/>
                                    </a:lnTo>
                                    <a:lnTo>
                                      <a:pt x="17727" y="3735"/>
                                    </a:lnTo>
                                    <a:lnTo>
                                      <a:pt x="17683" y="3690"/>
                                    </a:lnTo>
                                    <a:lnTo>
                                      <a:pt x="17639" y="3650"/>
                                    </a:lnTo>
                                    <a:lnTo>
                                      <a:pt x="17585" y="3619"/>
                                    </a:lnTo>
                                    <a:lnTo>
                                      <a:pt x="17527" y="3601"/>
                                    </a:lnTo>
                                    <a:lnTo>
                                      <a:pt x="17465" y="3588"/>
                                    </a:lnTo>
                                    <a:lnTo>
                                      <a:pt x="17394" y="3584"/>
                                    </a:lnTo>
                                    <a:lnTo>
                                      <a:pt x="17327" y="3588"/>
                                    </a:lnTo>
                                    <a:lnTo>
                                      <a:pt x="17261" y="3601"/>
                                    </a:lnTo>
                                    <a:lnTo>
                                      <a:pt x="17203" y="3619"/>
                                    </a:lnTo>
                                    <a:lnTo>
                                      <a:pt x="17154" y="3650"/>
                                    </a:lnTo>
                                    <a:lnTo>
                                      <a:pt x="17105" y="3686"/>
                                    </a:lnTo>
                                    <a:lnTo>
                                      <a:pt x="17065" y="3730"/>
                                    </a:lnTo>
                                    <a:lnTo>
                                      <a:pt x="17029" y="3784"/>
                                    </a:lnTo>
                                    <a:lnTo>
                                      <a:pt x="17003" y="3846"/>
                                    </a:lnTo>
                                    <a:lnTo>
                                      <a:pt x="16998" y="3846"/>
                                    </a:lnTo>
                                    <a:lnTo>
                                      <a:pt x="16998" y="3623"/>
                                    </a:lnTo>
                                    <a:lnTo>
                                      <a:pt x="16802" y="3623"/>
                                    </a:lnTo>
                                    <a:lnTo>
                                      <a:pt x="16802" y="4873"/>
                                    </a:lnTo>
                                    <a:close/>
                                    <a:moveTo>
                                      <a:pt x="19332" y="3006"/>
                                    </a:moveTo>
                                    <a:lnTo>
                                      <a:pt x="19087" y="3006"/>
                                    </a:lnTo>
                                    <a:lnTo>
                                      <a:pt x="19087" y="3330"/>
                                    </a:lnTo>
                                    <a:lnTo>
                                      <a:pt x="19332" y="3330"/>
                                    </a:lnTo>
                                    <a:lnTo>
                                      <a:pt x="19332" y="3006"/>
                                    </a:lnTo>
                                    <a:close/>
                                    <a:moveTo>
                                      <a:pt x="19114" y="4873"/>
                                    </a:moveTo>
                                    <a:lnTo>
                                      <a:pt x="19310" y="4873"/>
                                    </a:lnTo>
                                    <a:lnTo>
                                      <a:pt x="19310" y="3623"/>
                                    </a:lnTo>
                                    <a:lnTo>
                                      <a:pt x="19114" y="3623"/>
                                    </a:lnTo>
                                    <a:lnTo>
                                      <a:pt x="19114" y="4873"/>
                                    </a:lnTo>
                                    <a:close/>
                                    <a:moveTo>
                                      <a:pt x="19608" y="4766"/>
                                    </a:moveTo>
                                    <a:lnTo>
                                      <a:pt x="19608" y="4766"/>
                                    </a:lnTo>
                                    <a:lnTo>
                                      <a:pt x="19661" y="4798"/>
                                    </a:lnTo>
                                    <a:lnTo>
                                      <a:pt x="19719" y="4824"/>
                                    </a:lnTo>
                                    <a:lnTo>
                                      <a:pt x="19781" y="4851"/>
                                    </a:lnTo>
                                    <a:lnTo>
                                      <a:pt x="19848" y="4873"/>
                                    </a:lnTo>
                                    <a:lnTo>
                                      <a:pt x="19914" y="4891"/>
                                    </a:lnTo>
                                    <a:lnTo>
                                      <a:pt x="19981" y="4900"/>
                                    </a:lnTo>
                                    <a:lnTo>
                                      <a:pt x="20052" y="4908"/>
                                    </a:lnTo>
                                    <a:lnTo>
                                      <a:pt x="20124" y="4913"/>
                                    </a:lnTo>
                                    <a:lnTo>
                                      <a:pt x="20176" y="4908"/>
                                    </a:lnTo>
                                    <a:lnTo>
                                      <a:pt x="20225" y="4904"/>
                                    </a:lnTo>
                                    <a:lnTo>
                                      <a:pt x="20270" y="4900"/>
                                    </a:lnTo>
                                    <a:lnTo>
                                      <a:pt x="20315" y="4891"/>
                                    </a:lnTo>
                                    <a:lnTo>
                                      <a:pt x="20354" y="4877"/>
                                    </a:lnTo>
                                    <a:lnTo>
                                      <a:pt x="20395" y="4860"/>
                                    </a:lnTo>
                                    <a:lnTo>
                                      <a:pt x="20430" y="4842"/>
                                    </a:lnTo>
                                    <a:lnTo>
                                      <a:pt x="20461" y="4824"/>
                                    </a:lnTo>
                                    <a:lnTo>
                                      <a:pt x="20488" y="4798"/>
                                    </a:lnTo>
                                    <a:lnTo>
                                      <a:pt x="20515" y="4771"/>
                                    </a:lnTo>
                                    <a:lnTo>
                                      <a:pt x="20537" y="4744"/>
                                    </a:lnTo>
                                    <a:lnTo>
                                      <a:pt x="20554" y="4713"/>
                                    </a:lnTo>
                                    <a:lnTo>
                                      <a:pt x="20568" y="4677"/>
                                    </a:lnTo>
                                    <a:lnTo>
                                      <a:pt x="20581" y="4637"/>
                                    </a:lnTo>
                                    <a:lnTo>
                                      <a:pt x="20586" y="4598"/>
                                    </a:lnTo>
                                    <a:lnTo>
                                      <a:pt x="20586" y="4553"/>
                                    </a:lnTo>
                                    <a:lnTo>
                                      <a:pt x="20581" y="4491"/>
                                    </a:lnTo>
                                    <a:lnTo>
                                      <a:pt x="20568" y="4437"/>
                                    </a:lnTo>
                                    <a:lnTo>
                                      <a:pt x="20546" y="4384"/>
                                    </a:lnTo>
                                    <a:lnTo>
                                      <a:pt x="20515" y="4340"/>
                                    </a:lnTo>
                                    <a:lnTo>
                                      <a:pt x="20474" y="4299"/>
                                    </a:lnTo>
                                    <a:lnTo>
                                      <a:pt x="20430" y="4264"/>
                                    </a:lnTo>
                                    <a:lnTo>
                                      <a:pt x="20377" y="4233"/>
                                    </a:lnTo>
                                    <a:lnTo>
                                      <a:pt x="20319" y="4206"/>
                                    </a:lnTo>
                                    <a:lnTo>
                                      <a:pt x="20092" y="4099"/>
                                    </a:lnTo>
                                    <a:lnTo>
                                      <a:pt x="20052" y="4077"/>
                                    </a:lnTo>
                                    <a:lnTo>
                                      <a:pt x="20012" y="4055"/>
                                    </a:lnTo>
                                    <a:lnTo>
                                      <a:pt x="19985" y="4037"/>
                                    </a:lnTo>
                                    <a:lnTo>
                                      <a:pt x="19959" y="4015"/>
                                    </a:lnTo>
                                    <a:lnTo>
                                      <a:pt x="19941" y="3993"/>
                                    </a:lnTo>
                                    <a:lnTo>
                                      <a:pt x="19928" y="3966"/>
                                    </a:lnTo>
                                    <a:lnTo>
                                      <a:pt x="19919" y="3939"/>
                                    </a:lnTo>
                                    <a:lnTo>
                                      <a:pt x="19914" y="3908"/>
                                    </a:lnTo>
                                    <a:lnTo>
                                      <a:pt x="19919" y="3877"/>
                                    </a:lnTo>
                                    <a:lnTo>
                                      <a:pt x="19928" y="3846"/>
                                    </a:lnTo>
                                    <a:lnTo>
                                      <a:pt x="19946" y="3823"/>
                                    </a:lnTo>
                                    <a:lnTo>
                                      <a:pt x="19972" y="3801"/>
                                    </a:lnTo>
                                    <a:lnTo>
                                      <a:pt x="20003" y="3788"/>
                                    </a:lnTo>
                                    <a:lnTo>
                                      <a:pt x="20039" y="3775"/>
                                    </a:lnTo>
                                    <a:lnTo>
                                      <a:pt x="20083" y="3771"/>
                                    </a:lnTo>
                                    <a:lnTo>
                                      <a:pt x="20132" y="3766"/>
                                    </a:lnTo>
                                    <a:lnTo>
                                      <a:pt x="20176" y="3771"/>
                                    </a:lnTo>
                                    <a:lnTo>
                                      <a:pt x="20221" y="3775"/>
                                    </a:lnTo>
                                    <a:lnTo>
                                      <a:pt x="20266" y="3779"/>
                                    </a:lnTo>
                                    <a:lnTo>
                                      <a:pt x="20310" y="3793"/>
                                    </a:lnTo>
                                    <a:lnTo>
                                      <a:pt x="20395" y="3819"/>
                                    </a:lnTo>
                                    <a:lnTo>
                                      <a:pt x="20474" y="3855"/>
                                    </a:lnTo>
                                    <a:lnTo>
                                      <a:pt x="20559" y="3681"/>
                                    </a:lnTo>
                                    <a:lnTo>
                                      <a:pt x="20457" y="3642"/>
                                    </a:lnTo>
                                    <a:lnTo>
                                      <a:pt x="20408" y="3623"/>
                                    </a:lnTo>
                                    <a:lnTo>
                                      <a:pt x="20354" y="3610"/>
                                    </a:lnTo>
                                    <a:lnTo>
                                      <a:pt x="20301" y="3597"/>
                                    </a:lnTo>
                                    <a:lnTo>
                                      <a:pt x="20248" y="3588"/>
                                    </a:lnTo>
                                    <a:lnTo>
                                      <a:pt x="20190" y="3584"/>
                                    </a:lnTo>
                                    <a:lnTo>
                                      <a:pt x="20137" y="3584"/>
                                    </a:lnTo>
                                    <a:lnTo>
                                      <a:pt x="20088" y="3584"/>
                                    </a:lnTo>
                                    <a:lnTo>
                                      <a:pt x="20043" y="3588"/>
                                    </a:lnTo>
                                    <a:lnTo>
                                      <a:pt x="19999" y="3597"/>
                                    </a:lnTo>
                                    <a:lnTo>
                                      <a:pt x="19959" y="3606"/>
                                    </a:lnTo>
                                    <a:lnTo>
                                      <a:pt x="19923" y="3615"/>
                                    </a:lnTo>
                                    <a:lnTo>
                                      <a:pt x="19888" y="3632"/>
                                    </a:lnTo>
                                    <a:lnTo>
                                      <a:pt x="19856" y="3650"/>
                                    </a:lnTo>
                                    <a:lnTo>
                                      <a:pt x="19826" y="3668"/>
                                    </a:lnTo>
                                    <a:lnTo>
                                      <a:pt x="19799" y="3690"/>
                                    </a:lnTo>
                                    <a:lnTo>
                                      <a:pt x="19776" y="3717"/>
                                    </a:lnTo>
                                    <a:lnTo>
                                      <a:pt x="19754" y="3744"/>
                                    </a:lnTo>
                                    <a:lnTo>
                                      <a:pt x="19737" y="3775"/>
                                    </a:lnTo>
                                    <a:lnTo>
                                      <a:pt x="19723" y="3806"/>
                                    </a:lnTo>
                                    <a:lnTo>
                                      <a:pt x="19714" y="3842"/>
                                    </a:lnTo>
                                    <a:lnTo>
                                      <a:pt x="19710" y="3877"/>
                                    </a:lnTo>
                                    <a:lnTo>
                                      <a:pt x="19705" y="3917"/>
                                    </a:lnTo>
                                    <a:lnTo>
                                      <a:pt x="19710" y="3971"/>
                                    </a:lnTo>
                                    <a:lnTo>
                                      <a:pt x="19723" y="4024"/>
                                    </a:lnTo>
                                    <a:lnTo>
                                      <a:pt x="19746" y="4073"/>
                                    </a:lnTo>
                                    <a:lnTo>
                                      <a:pt x="19776" y="4117"/>
                                    </a:lnTo>
                                    <a:lnTo>
                                      <a:pt x="19812" y="4157"/>
                                    </a:lnTo>
                                    <a:lnTo>
                                      <a:pt x="19861" y="4197"/>
                                    </a:lnTo>
                                    <a:lnTo>
                                      <a:pt x="19914" y="4233"/>
                                    </a:lnTo>
                                    <a:lnTo>
                                      <a:pt x="19976" y="4264"/>
                                    </a:lnTo>
                                    <a:lnTo>
                                      <a:pt x="20208" y="4375"/>
                                    </a:lnTo>
                                    <a:lnTo>
                                      <a:pt x="20248" y="4397"/>
                                    </a:lnTo>
                                    <a:lnTo>
                                      <a:pt x="20283" y="4415"/>
                                    </a:lnTo>
                                    <a:lnTo>
                                      <a:pt x="20315" y="4437"/>
                                    </a:lnTo>
                                    <a:lnTo>
                                      <a:pt x="20337" y="4459"/>
                                    </a:lnTo>
                                    <a:lnTo>
                                      <a:pt x="20354" y="4482"/>
                                    </a:lnTo>
                                    <a:lnTo>
                                      <a:pt x="20368" y="4508"/>
                                    </a:lnTo>
                                    <a:lnTo>
                                      <a:pt x="20377" y="4535"/>
                                    </a:lnTo>
                                    <a:lnTo>
                                      <a:pt x="20381" y="4562"/>
                                    </a:lnTo>
                                    <a:lnTo>
                                      <a:pt x="20377" y="4598"/>
                                    </a:lnTo>
                                    <a:lnTo>
                                      <a:pt x="20363" y="4628"/>
                                    </a:lnTo>
                                    <a:lnTo>
                                      <a:pt x="20346" y="4660"/>
                                    </a:lnTo>
                                    <a:lnTo>
                                      <a:pt x="20319" y="4682"/>
                                    </a:lnTo>
                                    <a:lnTo>
                                      <a:pt x="20283" y="4700"/>
                                    </a:lnTo>
                                    <a:lnTo>
                                      <a:pt x="20244" y="4717"/>
                                    </a:lnTo>
                                    <a:lnTo>
                                      <a:pt x="20190" y="4726"/>
                                    </a:lnTo>
                                    <a:lnTo>
                                      <a:pt x="20132" y="4726"/>
                                    </a:lnTo>
                                    <a:lnTo>
                                      <a:pt x="20074" y="4726"/>
                                    </a:lnTo>
                                    <a:lnTo>
                                      <a:pt x="20017" y="4717"/>
                                    </a:lnTo>
                                    <a:lnTo>
                                      <a:pt x="19959" y="4708"/>
                                    </a:lnTo>
                                    <a:lnTo>
                                      <a:pt x="19905" y="4691"/>
                                    </a:lnTo>
                                    <a:lnTo>
                                      <a:pt x="19852" y="4673"/>
                                    </a:lnTo>
                                    <a:lnTo>
                                      <a:pt x="19799" y="4646"/>
                                    </a:lnTo>
                                    <a:lnTo>
                                      <a:pt x="19750" y="4620"/>
                                    </a:lnTo>
                                    <a:lnTo>
                                      <a:pt x="19701" y="4593"/>
                                    </a:lnTo>
                                    <a:lnTo>
                                      <a:pt x="19608" y="4766"/>
                                    </a:lnTo>
                                    <a:close/>
                                    <a:moveTo>
                                      <a:pt x="20777" y="4766"/>
                                    </a:moveTo>
                                    <a:lnTo>
                                      <a:pt x="20777" y="4766"/>
                                    </a:lnTo>
                                    <a:lnTo>
                                      <a:pt x="20830" y="4798"/>
                                    </a:lnTo>
                                    <a:lnTo>
                                      <a:pt x="20888" y="4824"/>
                                    </a:lnTo>
                                    <a:lnTo>
                                      <a:pt x="20950" y="4851"/>
                                    </a:lnTo>
                                    <a:lnTo>
                                      <a:pt x="21017" y="4873"/>
                                    </a:lnTo>
                                    <a:lnTo>
                                      <a:pt x="21084" y="4891"/>
                                    </a:lnTo>
                                    <a:lnTo>
                                      <a:pt x="21150" y="4900"/>
                                    </a:lnTo>
                                    <a:lnTo>
                                      <a:pt x="21221" y="4908"/>
                                    </a:lnTo>
                                    <a:lnTo>
                                      <a:pt x="21292" y="4913"/>
                                    </a:lnTo>
                                    <a:lnTo>
                                      <a:pt x="21341" y="4908"/>
                                    </a:lnTo>
                                    <a:lnTo>
                                      <a:pt x="21390" y="4904"/>
                                    </a:lnTo>
                                    <a:lnTo>
                                      <a:pt x="21439" y="4900"/>
                                    </a:lnTo>
                                    <a:lnTo>
                                      <a:pt x="21484" y="4891"/>
                                    </a:lnTo>
                                    <a:lnTo>
                                      <a:pt x="21524" y="4877"/>
                                    </a:lnTo>
                                    <a:lnTo>
                                      <a:pt x="21564" y="4860"/>
                                    </a:lnTo>
                                    <a:lnTo>
                                      <a:pt x="21595" y="4842"/>
                                    </a:lnTo>
                                    <a:lnTo>
                                      <a:pt x="21630" y="4824"/>
                                    </a:lnTo>
                                    <a:lnTo>
                                      <a:pt x="21657" y="4798"/>
                                    </a:lnTo>
                                    <a:lnTo>
                                      <a:pt x="21684" y="4771"/>
                                    </a:lnTo>
                                    <a:lnTo>
                                      <a:pt x="21706" y="4744"/>
                                    </a:lnTo>
                                    <a:lnTo>
                                      <a:pt x="21724" y="4713"/>
                                    </a:lnTo>
                                    <a:lnTo>
                                      <a:pt x="21737" y="4677"/>
                                    </a:lnTo>
                                    <a:lnTo>
                                      <a:pt x="21746" y="4637"/>
                                    </a:lnTo>
                                    <a:lnTo>
                                      <a:pt x="21755" y="4598"/>
                                    </a:lnTo>
                                    <a:lnTo>
                                      <a:pt x="21755" y="4553"/>
                                    </a:lnTo>
                                    <a:lnTo>
                                      <a:pt x="21750" y="4491"/>
                                    </a:lnTo>
                                    <a:lnTo>
                                      <a:pt x="21737" y="4437"/>
                                    </a:lnTo>
                                    <a:lnTo>
                                      <a:pt x="21715" y="4384"/>
                                    </a:lnTo>
                                    <a:lnTo>
                                      <a:pt x="21684" y="4340"/>
                                    </a:lnTo>
                                    <a:lnTo>
                                      <a:pt x="21643" y="4299"/>
                                    </a:lnTo>
                                    <a:lnTo>
                                      <a:pt x="21599" y="4264"/>
                                    </a:lnTo>
                                    <a:lnTo>
                                      <a:pt x="21546" y="4233"/>
                                    </a:lnTo>
                                    <a:lnTo>
                                      <a:pt x="21488" y="4206"/>
                                    </a:lnTo>
                                    <a:lnTo>
                                      <a:pt x="21261" y="4099"/>
                                    </a:lnTo>
                                    <a:lnTo>
                                      <a:pt x="21217" y="4077"/>
                                    </a:lnTo>
                                    <a:lnTo>
                                      <a:pt x="21181" y="4055"/>
                                    </a:lnTo>
                                    <a:lnTo>
                                      <a:pt x="21150" y="4037"/>
                                    </a:lnTo>
                                    <a:lnTo>
                                      <a:pt x="21128" y="4015"/>
                                    </a:lnTo>
                                    <a:lnTo>
                                      <a:pt x="21106" y="3993"/>
                                    </a:lnTo>
                                    <a:lnTo>
                                      <a:pt x="21092" y="3966"/>
                                    </a:lnTo>
                                    <a:lnTo>
                                      <a:pt x="21088" y="3939"/>
                                    </a:lnTo>
                                    <a:lnTo>
                                      <a:pt x="21084" y="3908"/>
                                    </a:lnTo>
                                    <a:lnTo>
                                      <a:pt x="21088" y="3877"/>
                                    </a:lnTo>
                                    <a:lnTo>
                                      <a:pt x="21097" y="3846"/>
                                    </a:lnTo>
                                    <a:lnTo>
                                      <a:pt x="21115" y="3823"/>
                                    </a:lnTo>
                                    <a:lnTo>
                                      <a:pt x="21137" y="3801"/>
                                    </a:lnTo>
                                    <a:lnTo>
                                      <a:pt x="21168" y="3788"/>
                                    </a:lnTo>
                                    <a:lnTo>
                                      <a:pt x="21208" y="3775"/>
                                    </a:lnTo>
                                    <a:lnTo>
                                      <a:pt x="21248" y="3771"/>
                                    </a:lnTo>
                                    <a:lnTo>
                                      <a:pt x="21301" y="3766"/>
                                    </a:lnTo>
                                    <a:lnTo>
                                      <a:pt x="21346" y="3771"/>
                                    </a:lnTo>
                                    <a:lnTo>
                                      <a:pt x="21390" y="3775"/>
                                    </a:lnTo>
                                    <a:lnTo>
                                      <a:pt x="21435" y="3779"/>
                                    </a:lnTo>
                                    <a:lnTo>
                                      <a:pt x="21479" y="3793"/>
                                    </a:lnTo>
                                    <a:lnTo>
                                      <a:pt x="21564" y="3819"/>
                                    </a:lnTo>
                                    <a:lnTo>
                                      <a:pt x="21643" y="3855"/>
                                    </a:lnTo>
                                    <a:lnTo>
                                      <a:pt x="21724" y="3681"/>
                                    </a:lnTo>
                                    <a:lnTo>
                                      <a:pt x="21626" y="3642"/>
                                    </a:lnTo>
                                    <a:lnTo>
                                      <a:pt x="21572" y="3623"/>
                                    </a:lnTo>
                                    <a:lnTo>
                                      <a:pt x="21519" y="3610"/>
                                    </a:lnTo>
                                    <a:lnTo>
                                      <a:pt x="21466" y="3597"/>
                                    </a:lnTo>
                                    <a:lnTo>
                                      <a:pt x="21413" y="3588"/>
                                    </a:lnTo>
                                    <a:lnTo>
                                      <a:pt x="21359" y="3584"/>
                                    </a:lnTo>
                                    <a:lnTo>
                                      <a:pt x="21306" y="3584"/>
                                    </a:lnTo>
                                    <a:lnTo>
                                      <a:pt x="21257" y="3584"/>
                                    </a:lnTo>
                                    <a:lnTo>
                                      <a:pt x="21213" y="3588"/>
                                    </a:lnTo>
                                    <a:lnTo>
                                      <a:pt x="21168" y="3597"/>
                                    </a:lnTo>
                                    <a:lnTo>
                                      <a:pt x="21128" y="3606"/>
                                    </a:lnTo>
                                    <a:lnTo>
                                      <a:pt x="21092" y="3615"/>
                                    </a:lnTo>
                                    <a:lnTo>
                                      <a:pt x="21057" y="3632"/>
                                    </a:lnTo>
                                    <a:lnTo>
                                      <a:pt x="21021" y="3650"/>
                                    </a:lnTo>
                                    <a:lnTo>
                                      <a:pt x="20994" y="3668"/>
                                    </a:lnTo>
                                    <a:lnTo>
                                      <a:pt x="20968" y="3690"/>
                                    </a:lnTo>
                                    <a:lnTo>
                                      <a:pt x="20941" y="3717"/>
                                    </a:lnTo>
                                    <a:lnTo>
                                      <a:pt x="20923" y="3744"/>
                                    </a:lnTo>
                                    <a:lnTo>
                                      <a:pt x="20906" y="3775"/>
                                    </a:lnTo>
                                    <a:lnTo>
                                      <a:pt x="20893" y="3806"/>
                                    </a:lnTo>
                                    <a:lnTo>
                                      <a:pt x="20884" y="3842"/>
                                    </a:lnTo>
                                    <a:lnTo>
                                      <a:pt x="20879" y="3877"/>
                                    </a:lnTo>
                                    <a:lnTo>
                                      <a:pt x="20874" y="3917"/>
                                    </a:lnTo>
                                    <a:lnTo>
                                      <a:pt x="20879" y="3971"/>
                                    </a:lnTo>
                                    <a:lnTo>
                                      <a:pt x="20893" y="4024"/>
                                    </a:lnTo>
                                    <a:lnTo>
                                      <a:pt x="20915" y="4073"/>
                                    </a:lnTo>
                                    <a:lnTo>
                                      <a:pt x="20941" y="4117"/>
                                    </a:lnTo>
                                    <a:lnTo>
                                      <a:pt x="20981" y="4157"/>
                                    </a:lnTo>
                                    <a:lnTo>
                                      <a:pt x="21026" y="4197"/>
                                    </a:lnTo>
                                    <a:lnTo>
                                      <a:pt x="21084" y="4233"/>
                                    </a:lnTo>
                                    <a:lnTo>
                                      <a:pt x="21146" y="4264"/>
                                    </a:lnTo>
                                    <a:lnTo>
                                      <a:pt x="21377" y="4375"/>
                                    </a:lnTo>
                                    <a:lnTo>
                                      <a:pt x="21417" y="4397"/>
                                    </a:lnTo>
                                    <a:lnTo>
                                      <a:pt x="21452" y="4415"/>
                                    </a:lnTo>
                                    <a:lnTo>
                                      <a:pt x="21479" y="4437"/>
                                    </a:lnTo>
                                    <a:lnTo>
                                      <a:pt x="21506" y="4459"/>
                                    </a:lnTo>
                                    <a:lnTo>
                                      <a:pt x="21524" y="4482"/>
                                    </a:lnTo>
                                    <a:lnTo>
                                      <a:pt x="21537" y="4508"/>
                                    </a:lnTo>
                                    <a:lnTo>
                                      <a:pt x="21546" y="4535"/>
                                    </a:lnTo>
                                    <a:lnTo>
                                      <a:pt x="21546" y="4562"/>
                                    </a:lnTo>
                                    <a:lnTo>
                                      <a:pt x="21546" y="4598"/>
                                    </a:lnTo>
                                    <a:lnTo>
                                      <a:pt x="21533" y="4628"/>
                                    </a:lnTo>
                                    <a:lnTo>
                                      <a:pt x="21514" y="4660"/>
                                    </a:lnTo>
                                    <a:lnTo>
                                      <a:pt x="21488" y="4682"/>
                                    </a:lnTo>
                                    <a:lnTo>
                                      <a:pt x="21452" y="4700"/>
                                    </a:lnTo>
                                    <a:lnTo>
                                      <a:pt x="21408" y="4717"/>
                                    </a:lnTo>
                                    <a:lnTo>
                                      <a:pt x="21359" y="4726"/>
                                    </a:lnTo>
                                    <a:lnTo>
                                      <a:pt x="21301" y="4726"/>
                                    </a:lnTo>
                                    <a:lnTo>
                                      <a:pt x="21239" y="4726"/>
                                    </a:lnTo>
                                    <a:lnTo>
                                      <a:pt x="21186" y="4717"/>
                                    </a:lnTo>
                                    <a:lnTo>
                                      <a:pt x="21128" y="4708"/>
                                    </a:lnTo>
                                    <a:lnTo>
                                      <a:pt x="21075" y="4691"/>
                                    </a:lnTo>
                                    <a:lnTo>
                                      <a:pt x="21021" y="4673"/>
                                    </a:lnTo>
                                    <a:lnTo>
                                      <a:pt x="20968" y="4646"/>
                                    </a:lnTo>
                                    <a:lnTo>
                                      <a:pt x="20919" y="4620"/>
                                    </a:lnTo>
                                    <a:lnTo>
                                      <a:pt x="20870" y="4593"/>
                                    </a:lnTo>
                                    <a:lnTo>
                                      <a:pt x="20777" y="4766"/>
                                    </a:lnTo>
                                    <a:close/>
                                    <a:moveTo>
                                      <a:pt x="22359" y="3006"/>
                                    </a:moveTo>
                                    <a:lnTo>
                                      <a:pt x="22115" y="3006"/>
                                    </a:lnTo>
                                    <a:lnTo>
                                      <a:pt x="22115" y="3330"/>
                                    </a:lnTo>
                                    <a:lnTo>
                                      <a:pt x="22359" y="3330"/>
                                    </a:lnTo>
                                    <a:lnTo>
                                      <a:pt x="22359" y="3006"/>
                                    </a:lnTo>
                                    <a:close/>
                                    <a:moveTo>
                                      <a:pt x="22141" y="4873"/>
                                    </a:moveTo>
                                    <a:lnTo>
                                      <a:pt x="22333" y="4873"/>
                                    </a:lnTo>
                                    <a:lnTo>
                                      <a:pt x="22333" y="3623"/>
                                    </a:lnTo>
                                    <a:lnTo>
                                      <a:pt x="22141" y="3623"/>
                                    </a:lnTo>
                                    <a:lnTo>
                                      <a:pt x="22141" y="4873"/>
                                    </a:lnTo>
                                    <a:close/>
                                    <a:moveTo>
                                      <a:pt x="23947" y="4246"/>
                                    </a:moveTo>
                                    <a:lnTo>
                                      <a:pt x="23947" y="4246"/>
                                    </a:lnTo>
                                    <a:lnTo>
                                      <a:pt x="23942" y="4175"/>
                                    </a:lnTo>
                                    <a:lnTo>
                                      <a:pt x="23933" y="4108"/>
                                    </a:lnTo>
                                    <a:lnTo>
                                      <a:pt x="23915" y="4042"/>
                                    </a:lnTo>
                                    <a:lnTo>
                                      <a:pt x="23898" y="3979"/>
                                    </a:lnTo>
                                    <a:lnTo>
                                      <a:pt x="23866" y="3922"/>
                                    </a:lnTo>
                                    <a:lnTo>
                                      <a:pt x="23835" y="3868"/>
                                    </a:lnTo>
                                    <a:lnTo>
                                      <a:pt x="23799" y="3815"/>
                                    </a:lnTo>
                                    <a:lnTo>
                                      <a:pt x="23755" y="3771"/>
                                    </a:lnTo>
                                    <a:lnTo>
                                      <a:pt x="23706" y="3730"/>
                                    </a:lnTo>
                                    <a:lnTo>
                                      <a:pt x="23657" y="3690"/>
                                    </a:lnTo>
                                    <a:lnTo>
                                      <a:pt x="23600" y="3659"/>
                                    </a:lnTo>
                                    <a:lnTo>
                                      <a:pt x="23542" y="3632"/>
                                    </a:lnTo>
                                    <a:lnTo>
                                      <a:pt x="23479" y="3610"/>
                                    </a:lnTo>
                                    <a:lnTo>
                                      <a:pt x="23413" y="3597"/>
                                    </a:lnTo>
                                    <a:lnTo>
                                      <a:pt x="23342" y="3588"/>
                                    </a:lnTo>
                                    <a:lnTo>
                                      <a:pt x="23271" y="3584"/>
                                    </a:lnTo>
                                    <a:lnTo>
                                      <a:pt x="23200" y="3588"/>
                                    </a:lnTo>
                                    <a:lnTo>
                                      <a:pt x="23128" y="3597"/>
                                    </a:lnTo>
                                    <a:lnTo>
                                      <a:pt x="23066" y="3610"/>
                                    </a:lnTo>
                                    <a:lnTo>
                                      <a:pt x="23000" y="3632"/>
                                    </a:lnTo>
                                    <a:lnTo>
                                      <a:pt x="22942" y="3659"/>
                                    </a:lnTo>
                                    <a:lnTo>
                                      <a:pt x="22888" y="3690"/>
                                    </a:lnTo>
                                    <a:lnTo>
                                      <a:pt x="22835" y="3730"/>
                                    </a:lnTo>
                                    <a:lnTo>
                                      <a:pt x="22786" y="3771"/>
                                    </a:lnTo>
                                    <a:lnTo>
                                      <a:pt x="22746" y="3815"/>
                                    </a:lnTo>
                                    <a:lnTo>
                                      <a:pt x="22706" y="3868"/>
                                    </a:lnTo>
                                    <a:lnTo>
                                      <a:pt x="22675" y="3922"/>
                                    </a:lnTo>
                                    <a:lnTo>
                                      <a:pt x="22648" y="3979"/>
                                    </a:lnTo>
                                    <a:lnTo>
                                      <a:pt x="22626" y="4042"/>
                                    </a:lnTo>
                                    <a:lnTo>
                                      <a:pt x="22608" y="4108"/>
                                    </a:lnTo>
                                    <a:lnTo>
                                      <a:pt x="22600" y="4175"/>
                                    </a:lnTo>
                                    <a:lnTo>
                                      <a:pt x="22595" y="4246"/>
                                    </a:lnTo>
                                    <a:lnTo>
                                      <a:pt x="22600" y="4317"/>
                                    </a:lnTo>
                                    <a:lnTo>
                                      <a:pt x="22608" y="4388"/>
                                    </a:lnTo>
                                    <a:lnTo>
                                      <a:pt x="22626" y="4450"/>
                                    </a:lnTo>
                                    <a:lnTo>
                                      <a:pt x="22648" y="4513"/>
                                    </a:lnTo>
                                    <a:lnTo>
                                      <a:pt x="22675" y="4571"/>
                                    </a:lnTo>
                                    <a:lnTo>
                                      <a:pt x="22706" y="4628"/>
                                    </a:lnTo>
                                    <a:lnTo>
                                      <a:pt x="22746" y="4677"/>
                                    </a:lnTo>
                                    <a:lnTo>
                                      <a:pt x="22786" y="4722"/>
                                    </a:lnTo>
                                    <a:lnTo>
                                      <a:pt x="22835" y="4766"/>
                                    </a:lnTo>
                                    <a:lnTo>
                                      <a:pt x="22888" y="4802"/>
                                    </a:lnTo>
                                    <a:lnTo>
                                      <a:pt x="22942" y="4833"/>
                                    </a:lnTo>
                                    <a:lnTo>
                                      <a:pt x="23000" y="4860"/>
                                    </a:lnTo>
                                    <a:lnTo>
                                      <a:pt x="23066" y="4882"/>
                                    </a:lnTo>
                                    <a:lnTo>
                                      <a:pt x="23128" y="4900"/>
                                    </a:lnTo>
                                    <a:lnTo>
                                      <a:pt x="23200" y="4908"/>
                                    </a:lnTo>
                                    <a:lnTo>
                                      <a:pt x="23271" y="4913"/>
                                    </a:lnTo>
                                    <a:lnTo>
                                      <a:pt x="23342" y="4908"/>
                                    </a:lnTo>
                                    <a:lnTo>
                                      <a:pt x="23413" y="4900"/>
                                    </a:lnTo>
                                    <a:lnTo>
                                      <a:pt x="23479" y="4882"/>
                                    </a:lnTo>
                                    <a:lnTo>
                                      <a:pt x="23542" y="4860"/>
                                    </a:lnTo>
                                    <a:lnTo>
                                      <a:pt x="23600" y="4833"/>
                                    </a:lnTo>
                                    <a:lnTo>
                                      <a:pt x="23657" y="4802"/>
                                    </a:lnTo>
                                    <a:lnTo>
                                      <a:pt x="23706" y="4766"/>
                                    </a:lnTo>
                                    <a:lnTo>
                                      <a:pt x="23755" y="4722"/>
                                    </a:lnTo>
                                    <a:lnTo>
                                      <a:pt x="23799" y="4677"/>
                                    </a:lnTo>
                                    <a:lnTo>
                                      <a:pt x="23835" y="4628"/>
                                    </a:lnTo>
                                    <a:lnTo>
                                      <a:pt x="23866" y="4571"/>
                                    </a:lnTo>
                                    <a:lnTo>
                                      <a:pt x="23898" y="4513"/>
                                    </a:lnTo>
                                    <a:lnTo>
                                      <a:pt x="23915" y="4450"/>
                                    </a:lnTo>
                                    <a:lnTo>
                                      <a:pt x="23933" y="4388"/>
                                    </a:lnTo>
                                    <a:lnTo>
                                      <a:pt x="23942" y="4317"/>
                                    </a:lnTo>
                                    <a:lnTo>
                                      <a:pt x="23947" y="4246"/>
                                    </a:lnTo>
                                    <a:close/>
                                    <a:moveTo>
                                      <a:pt x="22800" y="4246"/>
                                    </a:moveTo>
                                    <a:lnTo>
                                      <a:pt x="22800" y="4246"/>
                                    </a:lnTo>
                                    <a:lnTo>
                                      <a:pt x="22804" y="4193"/>
                                    </a:lnTo>
                                    <a:lnTo>
                                      <a:pt x="22808" y="4144"/>
                                    </a:lnTo>
                                    <a:lnTo>
                                      <a:pt x="22822" y="4099"/>
                                    </a:lnTo>
                                    <a:lnTo>
                                      <a:pt x="22835" y="4050"/>
                                    </a:lnTo>
                                    <a:lnTo>
                                      <a:pt x="22857" y="4010"/>
                                    </a:lnTo>
                                    <a:lnTo>
                                      <a:pt x="22880" y="3971"/>
                                    </a:lnTo>
                                    <a:lnTo>
                                      <a:pt x="22906" y="3935"/>
                                    </a:lnTo>
                                    <a:lnTo>
                                      <a:pt x="22933" y="3904"/>
                                    </a:lnTo>
                                    <a:lnTo>
                                      <a:pt x="22968" y="3872"/>
                                    </a:lnTo>
                                    <a:lnTo>
                                      <a:pt x="23004" y="3850"/>
                                    </a:lnTo>
                                    <a:lnTo>
                                      <a:pt x="23044" y="3828"/>
                                    </a:lnTo>
                                    <a:lnTo>
                                      <a:pt x="23084" y="3810"/>
                                    </a:lnTo>
                                    <a:lnTo>
                                      <a:pt x="23128" y="3793"/>
                                    </a:lnTo>
                                    <a:lnTo>
                                      <a:pt x="23173" y="3784"/>
                                    </a:lnTo>
                                    <a:lnTo>
                                      <a:pt x="23222" y="3775"/>
                                    </a:lnTo>
                                    <a:lnTo>
                                      <a:pt x="23271" y="3775"/>
                                    </a:lnTo>
                                    <a:lnTo>
                                      <a:pt x="23320" y="3775"/>
                                    </a:lnTo>
                                    <a:lnTo>
                                      <a:pt x="23369" y="3784"/>
                                    </a:lnTo>
                                    <a:lnTo>
                                      <a:pt x="23413" y="3793"/>
                                    </a:lnTo>
                                    <a:lnTo>
                                      <a:pt x="23457" y="3810"/>
                                    </a:lnTo>
                                    <a:lnTo>
                                      <a:pt x="23502" y="3828"/>
                                    </a:lnTo>
                                    <a:lnTo>
                                      <a:pt x="23537" y="3850"/>
                                    </a:lnTo>
                                    <a:lnTo>
                                      <a:pt x="23573" y="3872"/>
                                    </a:lnTo>
                                    <a:lnTo>
                                      <a:pt x="23608" y="3904"/>
                                    </a:lnTo>
                                    <a:lnTo>
                                      <a:pt x="23635" y="3935"/>
                                    </a:lnTo>
                                    <a:lnTo>
                                      <a:pt x="23662" y="3971"/>
                                    </a:lnTo>
                                    <a:lnTo>
                                      <a:pt x="23684" y="4010"/>
                                    </a:lnTo>
                                    <a:lnTo>
                                      <a:pt x="23706" y="4050"/>
                                    </a:lnTo>
                                    <a:lnTo>
                                      <a:pt x="23720" y="4099"/>
                                    </a:lnTo>
                                    <a:lnTo>
                                      <a:pt x="23733" y="4144"/>
                                    </a:lnTo>
                                    <a:lnTo>
                                      <a:pt x="23737" y="4193"/>
                                    </a:lnTo>
                                    <a:lnTo>
                                      <a:pt x="23742" y="4246"/>
                                    </a:lnTo>
                                    <a:lnTo>
                                      <a:pt x="23737" y="4299"/>
                                    </a:lnTo>
                                    <a:lnTo>
                                      <a:pt x="23733" y="4349"/>
                                    </a:lnTo>
                                    <a:lnTo>
                                      <a:pt x="23720" y="4397"/>
                                    </a:lnTo>
                                    <a:lnTo>
                                      <a:pt x="23706" y="4442"/>
                                    </a:lnTo>
                                    <a:lnTo>
                                      <a:pt x="23684" y="4482"/>
                                    </a:lnTo>
                                    <a:lnTo>
                                      <a:pt x="23662" y="4522"/>
                                    </a:lnTo>
                                    <a:lnTo>
                                      <a:pt x="23635" y="4557"/>
                                    </a:lnTo>
                                    <a:lnTo>
                                      <a:pt x="23608" y="4588"/>
                                    </a:lnTo>
                                    <a:lnTo>
                                      <a:pt x="23573" y="4620"/>
                                    </a:lnTo>
                                    <a:lnTo>
                                      <a:pt x="23537" y="4646"/>
                                    </a:lnTo>
                                    <a:lnTo>
                                      <a:pt x="23502" y="4669"/>
                                    </a:lnTo>
                                    <a:lnTo>
                                      <a:pt x="23457" y="4686"/>
                                    </a:lnTo>
                                    <a:lnTo>
                                      <a:pt x="23413" y="4700"/>
                                    </a:lnTo>
                                    <a:lnTo>
                                      <a:pt x="23369" y="4713"/>
                                    </a:lnTo>
                                    <a:lnTo>
                                      <a:pt x="23320" y="4717"/>
                                    </a:lnTo>
                                    <a:lnTo>
                                      <a:pt x="23271" y="4717"/>
                                    </a:lnTo>
                                    <a:lnTo>
                                      <a:pt x="23222" y="4717"/>
                                    </a:lnTo>
                                    <a:lnTo>
                                      <a:pt x="23173" y="4713"/>
                                    </a:lnTo>
                                    <a:lnTo>
                                      <a:pt x="23128" y="4700"/>
                                    </a:lnTo>
                                    <a:lnTo>
                                      <a:pt x="23084" y="4686"/>
                                    </a:lnTo>
                                    <a:lnTo>
                                      <a:pt x="23044" y="4669"/>
                                    </a:lnTo>
                                    <a:lnTo>
                                      <a:pt x="23004" y="4646"/>
                                    </a:lnTo>
                                    <a:lnTo>
                                      <a:pt x="22968" y="4620"/>
                                    </a:lnTo>
                                    <a:lnTo>
                                      <a:pt x="22933" y="4588"/>
                                    </a:lnTo>
                                    <a:lnTo>
                                      <a:pt x="22906" y="4557"/>
                                    </a:lnTo>
                                    <a:lnTo>
                                      <a:pt x="22880" y="4522"/>
                                    </a:lnTo>
                                    <a:lnTo>
                                      <a:pt x="22857" y="4482"/>
                                    </a:lnTo>
                                    <a:lnTo>
                                      <a:pt x="22835" y="4442"/>
                                    </a:lnTo>
                                    <a:lnTo>
                                      <a:pt x="22822" y="4397"/>
                                    </a:lnTo>
                                    <a:lnTo>
                                      <a:pt x="22808" y="4349"/>
                                    </a:lnTo>
                                    <a:lnTo>
                                      <a:pt x="22804" y="4299"/>
                                    </a:lnTo>
                                    <a:lnTo>
                                      <a:pt x="22800" y="4246"/>
                                    </a:lnTo>
                                    <a:close/>
                                    <a:moveTo>
                                      <a:pt x="25400" y="4113"/>
                                    </a:moveTo>
                                    <a:lnTo>
                                      <a:pt x="25400" y="4113"/>
                                    </a:lnTo>
                                    <a:lnTo>
                                      <a:pt x="25395" y="4046"/>
                                    </a:lnTo>
                                    <a:lnTo>
                                      <a:pt x="25391" y="3984"/>
                                    </a:lnTo>
                                    <a:lnTo>
                                      <a:pt x="25378" y="3926"/>
                                    </a:lnTo>
                                    <a:lnTo>
                                      <a:pt x="25364" y="3872"/>
                                    </a:lnTo>
                                    <a:lnTo>
                                      <a:pt x="25347" y="3823"/>
                                    </a:lnTo>
                                    <a:lnTo>
                                      <a:pt x="25320" y="3779"/>
                                    </a:lnTo>
                                    <a:lnTo>
                                      <a:pt x="25293" y="3739"/>
                                    </a:lnTo>
                                    <a:lnTo>
                                      <a:pt x="25266" y="3708"/>
                                    </a:lnTo>
                                    <a:lnTo>
                                      <a:pt x="25231" y="3677"/>
                                    </a:lnTo>
                                    <a:lnTo>
                                      <a:pt x="25195" y="3650"/>
                                    </a:lnTo>
                                    <a:lnTo>
                                      <a:pt x="25156" y="3628"/>
                                    </a:lnTo>
                                    <a:lnTo>
                                      <a:pt x="25115" y="3615"/>
                                    </a:lnTo>
                                    <a:lnTo>
                                      <a:pt x="25071" y="3601"/>
                                    </a:lnTo>
                                    <a:lnTo>
                                      <a:pt x="25022" y="3588"/>
                                    </a:lnTo>
                                    <a:lnTo>
                                      <a:pt x="24973" y="3584"/>
                                    </a:lnTo>
                                    <a:lnTo>
                                      <a:pt x="24924" y="3584"/>
                                    </a:lnTo>
                                    <a:lnTo>
                                      <a:pt x="24844" y="3588"/>
                                    </a:lnTo>
                                    <a:lnTo>
                                      <a:pt x="24773" y="3601"/>
                                    </a:lnTo>
                                    <a:lnTo>
                                      <a:pt x="24711" y="3623"/>
                                    </a:lnTo>
                                    <a:lnTo>
                                      <a:pt x="24649" y="3655"/>
                                    </a:lnTo>
                                    <a:lnTo>
                                      <a:pt x="24595" y="3695"/>
                                    </a:lnTo>
                                    <a:lnTo>
                                      <a:pt x="24551" y="3744"/>
                                    </a:lnTo>
                                    <a:lnTo>
                                      <a:pt x="24511" y="3801"/>
                                    </a:lnTo>
                                    <a:lnTo>
                                      <a:pt x="24475" y="3864"/>
                                    </a:lnTo>
                                    <a:lnTo>
                                      <a:pt x="24471" y="3864"/>
                                    </a:lnTo>
                                    <a:lnTo>
                                      <a:pt x="24471" y="3623"/>
                                    </a:lnTo>
                                    <a:lnTo>
                                      <a:pt x="24275" y="3623"/>
                                    </a:lnTo>
                                    <a:lnTo>
                                      <a:pt x="24275" y="4873"/>
                                    </a:lnTo>
                                    <a:lnTo>
                                      <a:pt x="24471" y="4873"/>
                                    </a:lnTo>
                                    <a:lnTo>
                                      <a:pt x="24471" y="4295"/>
                                    </a:lnTo>
                                    <a:lnTo>
                                      <a:pt x="24475" y="4224"/>
                                    </a:lnTo>
                                    <a:lnTo>
                                      <a:pt x="24480" y="4162"/>
                                    </a:lnTo>
                                    <a:lnTo>
                                      <a:pt x="24489" y="4104"/>
                                    </a:lnTo>
                                    <a:lnTo>
                                      <a:pt x="24502" y="4050"/>
                                    </a:lnTo>
                                    <a:lnTo>
                                      <a:pt x="24520" y="4001"/>
                                    </a:lnTo>
                                    <a:lnTo>
                                      <a:pt x="24542" y="3962"/>
                                    </a:lnTo>
                                    <a:lnTo>
                                      <a:pt x="24564" y="3922"/>
                                    </a:lnTo>
                                    <a:lnTo>
                                      <a:pt x="24591" y="3891"/>
                                    </a:lnTo>
                                    <a:lnTo>
                                      <a:pt x="24618" y="3864"/>
                                    </a:lnTo>
                                    <a:lnTo>
                                      <a:pt x="24649" y="3837"/>
                                    </a:lnTo>
                                    <a:lnTo>
                                      <a:pt x="24684" y="3819"/>
                                    </a:lnTo>
                                    <a:lnTo>
                                      <a:pt x="24720" y="3801"/>
                                    </a:lnTo>
                                    <a:lnTo>
                                      <a:pt x="24755" y="3793"/>
                                    </a:lnTo>
                                    <a:lnTo>
                                      <a:pt x="24791" y="3784"/>
                                    </a:lnTo>
                                    <a:lnTo>
                                      <a:pt x="24831" y="3779"/>
                                    </a:lnTo>
                                    <a:lnTo>
                                      <a:pt x="24871" y="3779"/>
                                    </a:lnTo>
                                    <a:lnTo>
                                      <a:pt x="24907" y="3779"/>
                                    </a:lnTo>
                                    <a:lnTo>
                                      <a:pt x="24942" y="3784"/>
                                    </a:lnTo>
                                    <a:lnTo>
                                      <a:pt x="24978" y="3788"/>
                                    </a:lnTo>
                                    <a:lnTo>
                                      <a:pt x="25009" y="3797"/>
                                    </a:lnTo>
                                    <a:lnTo>
                                      <a:pt x="25036" y="3810"/>
                                    </a:lnTo>
                                    <a:lnTo>
                                      <a:pt x="25066" y="3823"/>
                                    </a:lnTo>
                                    <a:lnTo>
                                      <a:pt x="25089" y="3842"/>
                                    </a:lnTo>
                                    <a:lnTo>
                                      <a:pt x="25111" y="3864"/>
                                    </a:lnTo>
                                    <a:lnTo>
                                      <a:pt x="25133" y="3886"/>
                                    </a:lnTo>
                                    <a:lnTo>
                                      <a:pt x="25151" y="3913"/>
                                    </a:lnTo>
                                    <a:lnTo>
                                      <a:pt x="25169" y="3944"/>
                                    </a:lnTo>
                                    <a:lnTo>
                                      <a:pt x="25182" y="3975"/>
                                    </a:lnTo>
                                    <a:lnTo>
                                      <a:pt x="25191" y="4010"/>
                                    </a:lnTo>
                                    <a:lnTo>
                                      <a:pt x="25200" y="4050"/>
                                    </a:lnTo>
                                    <a:lnTo>
                                      <a:pt x="25204" y="4095"/>
                                    </a:lnTo>
                                    <a:lnTo>
                                      <a:pt x="25204" y="4139"/>
                                    </a:lnTo>
                                    <a:lnTo>
                                      <a:pt x="25204" y="4873"/>
                                    </a:lnTo>
                                    <a:lnTo>
                                      <a:pt x="25400" y="4873"/>
                                    </a:lnTo>
                                    <a:lnTo>
                                      <a:pt x="25400" y="4113"/>
                                    </a:lnTo>
                                    <a:close/>
                                  </a:path>
                                </a:pathLst>
                              </a:custGeom>
                              <a:grpFill/>
                              <a:ln>
                                <a:noFill/>
                              </a:ln>
                              <a:effectLst/>
                              <a:extLst>
                                <a:ext uri="{91240B29-F687-4F45-9708-019B960494DF}">
                                  <a14:hiddenLine xmlns:a14="http://schemas.microsoft.com/office/drawing/2010/main" w="9525" cap="flat">
                                    <a:solidFill>
                                      <a:srgbClr val="808080"/>
                                    </a:solidFill>
                                    <a:bevel/>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wrap="none" anchor="ctr"/>
                          </wps:wsp>
                          <wps:wsp>
                            <wps:cNvPr id="5" name="Freeform 8"/>
                            <wps:cNvSpPr>
                              <a:spLocks noChangeArrowheads="1"/>
                            </wps:cNvSpPr>
                            <wps:spPr bwMode="auto">
                              <a:xfrm>
                                <a:off x="17462" y="0"/>
                                <a:ext cx="7319603" cy="2309453"/>
                              </a:xfrm>
                              <a:custGeom>
                                <a:avLst/>
                                <a:gdLst/>
                                <a:ahLst/>
                                <a:cxnLst/>
                                <a:rect l="0" t="0" r="r" b="b"/>
                                <a:pathLst>
                                  <a:path w="7319603" h="2309453">
                                    <a:moveTo>
                                      <a:pt x="1695450" y="49213"/>
                                    </a:moveTo>
                                    <a:lnTo>
                                      <a:pt x="2996875" y="49213"/>
                                    </a:lnTo>
                                    <a:lnTo>
                                      <a:pt x="2996875" y="279544"/>
                                    </a:lnTo>
                                    <a:lnTo>
                                      <a:pt x="1951775" y="279544"/>
                                    </a:lnTo>
                                    <a:lnTo>
                                      <a:pt x="1951775" y="914753"/>
                                    </a:lnTo>
                                    <a:lnTo>
                                      <a:pt x="2913353" y="914753"/>
                                    </a:lnTo>
                                    <a:lnTo>
                                      <a:pt x="2913353" y="1143284"/>
                                    </a:lnTo>
                                    <a:lnTo>
                                      <a:pt x="1951775" y="1143284"/>
                                    </a:lnTo>
                                    <a:lnTo>
                                      <a:pt x="1951775" y="2031498"/>
                                    </a:lnTo>
                                    <a:lnTo>
                                      <a:pt x="3012715" y="2031498"/>
                                    </a:lnTo>
                                    <a:lnTo>
                                      <a:pt x="3012715" y="2261828"/>
                                    </a:lnTo>
                                    <a:lnTo>
                                      <a:pt x="1695450" y="2261828"/>
                                    </a:lnTo>
                                    <a:lnTo>
                                      <a:pt x="1695450" y="49213"/>
                                    </a:lnTo>
                                    <a:close/>
                                    <a:moveTo>
                                      <a:pt x="0" y="49213"/>
                                    </a:moveTo>
                                    <a:lnTo>
                                      <a:pt x="253089" y="49213"/>
                                    </a:lnTo>
                                    <a:lnTo>
                                      <a:pt x="253089" y="2028258"/>
                                    </a:lnTo>
                                    <a:lnTo>
                                      <a:pt x="1325203" y="2028258"/>
                                    </a:lnTo>
                                    <a:lnTo>
                                      <a:pt x="1325203" y="2261828"/>
                                    </a:lnTo>
                                    <a:lnTo>
                                      <a:pt x="0" y="2261828"/>
                                    </a:lnTo>
                                    <a:lnTo>
                                      <a:pt x="0" y="49213"/>
                                    </a:lnTo>
                                    <a:close/>
                                    <a:moveTo>
                                      <a:pt x="6548213" y="0"/>
                                    </a:moveTo>
                                    <a:lnTo>
                                      <a:pt x="6609046" y="1800"/>
                                    </a:lnTo>
                                    <a:lnTo>
                                      <a:pt x="6666639" y="4680"/>
                                    </a:lnTo>
                                    <a:lnTo>
                                      <a:pt x="6722793" y="9720"/>
                                    </a:lnTo>
                                    <a:lnTo>
                                      <a:pt x="6777146" y="17640"/>
                                    </a:lnTo>
                                    <a:lnTo>
                                      <a:pt x="6829700" y="27361"/>
                                    </a:lnTo>
                                    <a:lnTo>
                                      <a:pt x="6880814" y="38521"/>
                                    </a:lnTo>
                                    <a:lnTo>
                                      <a:pt x="6930848" y="51121"/>
                                    </a:lnTo>
                                    <a:lnTo>
                                      <a:pt x="6978723" y="67322"/>
                                    </a:lnTo>
                                    <a:lnTo>
                                      <a:pt x="7025157" y="83162"/>
                                    </a:lnTo>
                                    <a:lnTo>
                                      <a:pt x="7069792" y="102602"/>
                                    </a:lnTo>
                                    <a:lnTo>
                                      <a:pt x="7114787" y="123123"/>
                                    </a:lnTo>
                                    <a:lnTo>
                                      <a:pt x="7157982" y="145803"/>
                                    </a:lnTo>
                                    <a:lnTo>
                                      <a:pt x="7199377" y="169564"/>
                                    </a:lnTo>
                                    <a:lnTo>
                                      <a:pt x="7239333" y="195125"/>
                                    </a:lnTo>
                                    <a:lnTo>
                                      <a:pt x="7281088" y="221045"/>
                                    </a:lnTo>
                                    <a:lnTo>
                                      <a:pt x="7319603" y="249486"/>
                                    </a:lnTo>
                                    <a:lnTo>
                                      <a:pt x="7170581" y="462611"/>
                                    </a:lnTo>
                                    <a:lnTo>
                                      <a:pt x="7141784" y="440290"/>
                                    </a:lnTo>
                                    <a:lnTo>
                                      <a:pt x="7111547" y="419410"/>
                                    </a:lnTo>
                                    <a:lnTo>
                                      <a:pt x="7079511" y="398529"/>
                                    </a:lnTo>
                                    <a:lnTo>
                                      <a:pt x="7046035" y="379449"/>
                                    </a:lnTo>
                                    <a:lnTo>
                                      <a:pt x="7012199" y="360008"/>
                                    </a:lnTo>
                                    <a:lnTo>
                                      <a:pt x="6977283" y="342368"/>
                                    </a:lnTo>
                                    <a:lnTo>
                                      <a:pt x="6940207" y="326528"/>
                                    </a:lnTo>
                                    <a:lnTo>
                                      <a:pt x="6901692" y="310687"/>
                                    </a:lnTo>
                                    <a:lnTo>
                                      <a:pt x="6862096" y="295927"/>
                                    </a:lnTo>
                                    <a:lnTo>
                                      <a:pt x="6821781" y="283327"/>
                                    </a:lnTo>
                                    <a:lnTo>
                                      <a:pt x="6778586" y="273606"/>
                                    </a:lnTo>
                                    <a:lnTo>
                                      <a:pt x="6733951" y="264246"/>
                                    </a:lnTo>
                                    <a:lnTo>
                                      <a:pt x="6688956" y="256326"/>
                                    </a:lnTo>
                                    <a:lnTo>
                                      <a:pt x="6641082" y="251286"/>
                                    </a:lnTo>
                                    <a:lnTo>
                                      <a:pt x="6593208" y="248046"/>
                                    </a:lnTo>
                                    <a:lnTo>
                                      <a:pt x="6541734" y="246606"/>
                                    </a:lnTo>
                                    <a:lnTo>
                                      <a:pt x="6492059" y="248046"/>
                                    </a:lnTo>
                                    <a:lnTo>
                                      <a:pt x="6444185" y="251286"/>
                                    </a:lnTo>
                                    <a:lnTo>
                                      <a:pt x="6396311" y="256326"/>
                                    </a:lnTo>
                                    <a:lnTo>
                                      <a:pt x="6349876" y="264246"/>
                                    </a:lnTo>
                                    <a:lnTo>
                                      <a:pt x="6303441" y="273606"/>
                                    </a:lnTo>
                                    <a:lnTo>
                                      <a:pt x="6260246" y="284767"/>
                                    </a:lnTo>
                                    <a:lnTo>
                                      <a:pt x="6215252" y="297727"/>
                                    </a:lnTo>
                                    <a:lnTo>
                                      <a:pt x="6173856" y="312127"/>
                                    </a:lnTo>
                                    <a:lnTo>
                                      <a:pt x="6133901" y="329768"/>
                                    </a:lnTo>
                                    <a:lnTo>
                                      <a:pt x="6093586" y="348848"/>
                                    </a:lnTo>
                                    <a:lnTo>
                                      <a:pt x="6055430" y="369729"/>
                                    </a:lnTo>
                                    <a:lnTo>
                                      <a:pt x="6018714" y="392409"/>
                                    </a:lnTo>
                                    <a:lnTo>
                                      <a:pt x="5983438" y="416170"/>
                                    </a:lnTo>
                                    <a:lnTo>
                                      <a:pt x="5949962" y="441730"/>
                                    </a:lnTo>
                                    <a:lnTo>
                                      <a:pt x="5917566" y="469091"/>
                                    </a:lnTo>
                                    <a:lnTo>
                                      <a:pt x="5885890" y="497892"/>
                                    </a:lnTo>
                                    <a:lnTo>
                                      <a:pt x="5857093" y="528132"/>
                                    </a:lnTo>
                                    <a:lnTo>
                                      <a:pt x="5828297" y="560173"/>
                                    </a:lnTo>
                                    <a:lnTo>
                                      <a:pt x="5802380" y="593654"/>
                                    </a:lnTo>
                                    <a:lnTo>
                                      <a:pt x="5778622" y="628935"/>
                                    </a:lnTo>
                                    <a:lnTo>
                                      <a:pt x="5755945" y="665655"/>
                                    </a:lnTo>
                                    <a:lnTo>
                                      <a:pt x="5735427" y="704176"/>
                                    </a:lnTo>
                                    <a:lnTo>
                                      <a:pt x="5716350" y="744497"/>
                                    </a:lnTo>
                                    <a:lnTo>
                                      <a:pt x="5698712" y="784458"/>
                                    </a:lnTo>
                                    <a:lnTo>
                                      <a:pt x="5682513" y="827299"/>
                                    </a:lnTo>
                                    <a:lnTo>
                                      <a:pt x="5669915" y="870860"/>
                                    </a:lnTo>
                                    <a:lnTo>
                                      <a:pt x="5658396" y="914061"/>
                                    </a:lnTo>
                                    <a:lnTo>
                                      <a:pt x="5649037" y="960502"/>
                                    </a:lnTo>
                                    <a:lnTo>
                                      <a:pt x="5640758" y="1006583"/>
                                    </a:lnTo>
                                    <a:lnTo>
                                      <a:pt x="5636079" y="1054824"/>
                                    </a:lnTo>
                                    <a:lnTo>
                                      <a:pt x="5632839" y="1104506"/>
                                    </a:lnTo>
                                    <a:lnTo>
                                      <a:pt x="5631399" y="1154187"/>
                                    </a:lnTo>
                                    <a:lnTo>
                                      <a:pt x="5632839" y="1205308"/>
                                    </a:lnTo>
                                    <a:lnTo>
                                      <a:pt x="5636079" y="1254989"/>
                                    </a:lnTo>
                                    <a:lnTo>
                                      <a:pt x="5640758" y="1302870"/>
                                    </a:lnTo>
                                    <a:lnTo>
                                      <a:pt x="5649037" y="1349311"/>
                                    </a:lnTo>
                                    <a:lnTo>
                                      <a:pt x="5658396" y="1394312"/>
                                    </a:lnTo>
                                    <a:lnTo>
                                      <a:pt x="5669915" y="1438953"/>
                                    </a:lnTo>
                                    <a:lnTo>
                                      <a:pt x="5682513" y="1482154"/>
                                    </a:lnTo>
                                    <a:lnTo>
                                      <a:pt x="5698712" y="1525355"/>
                                    </a:lnTo>
                                    <a:lnTo>
                                      <a:pt x="5716350" y="1565316"/>
                                    </a:lnTo>
                                    <a:lnTo>
                                      <a:pt x="5735427" y="1605277"/>
                                    </a:lnTo>
                                    <a:lnTo>
                                      <a:pt x="5755945" y="1643798"/>
                                    </a:lnTo>
                                    <a:lnTo>
                                      <a:pt x="5778622" y="1680519"/>
                                    </a:lnTo>
                                    <a:lnTo>
                                      <a:pt x="5802380" y="1715800"/>
                                    </a:lnTo>
                                    <a:lnTo>
                                      <a:pt x="5828297" y="1749280"/>
                                    </a:lnTo>
                                    <a:lnTo>
                                      <a:pt x="5857093" y="1781681"/>
                                    </a:lnTo>
                                    <a:lnTo>
                                      <a:pt x="5885890" y="1811922"/>
                                    </a:lnTo>
                                    <a:lnTo>
                                      <a:pt x="5917566" y="1840722"/>
                                    </a:lnTo>
                                    <a:lnTo>
                                      <a:pt x="5949962" y="1868083"/>
                                    </a:lnTo>
                                    <a:lnTo>
                                      <a:pt x="5983438" y="1893644"/>
                                    </a:lnTo>
                                    <a:lnTo>
                                      <a:pt x="6018714" y="1917764"/>
                                    </a:lnTo>
                                    <a:lnTo>
                                      <a:pt x="6055430" y="1940085"/>
                                    </a:lnTo>
                                    <a:lnTo>
                                      <a:pt x="6093586" y="1960965"/>
                                    </a:lnTo>
                                    <a:lnTo>
                                      <a:pt x="6133901" y="1980046"/>
                                    </a:lnTo>
                                    <a:lnTo>
                                      <a:pt x="6173856" y="1997686"/>
                                    </a:lnTo>
                                    <a:lnTo>
                                      <a:pt x="6215252" y="2012086"/>
                                    </a:lnTo>
                                    <a:lnTo>
                                      <a:pt x="6260246" y="2024687"/>
                                    </a:lnTo>
                                    <a:lnTo>
                                      <a:pt x="6303441" y="2035847"/>
                                    </a:lnTo>
                                    <a:lnTo>
                                      <a:pt x="6349876" y="2045567"/>
                                    </a:lnTo>
                                    <a:lnTo>
                                      <a:pt x="6396311" y="2053847"/>
                                    </a:lnTo>
                                    <a:lnTo>
                                      <a:pt x="6444185" y="2058527"/>
                                    </a:lnTo>
                                    <a:lnTo>
                                      <a:pt x="6492059" y="2061767"/>
                                    </a:lnTo>
                                    <a:lnTo>
                                      <a:pt x="6541734" y="2063208"/>
                                    </a:lnTo>
                                    <a:lnTo>
                                      <a:pt x="6593208" y="2061767"/>
                                    </a:lnTo>
                                    <a:lnTo>
                                      <a:pt x="6641082" y="2058527"/>
                                    </a:lnTo>
                                    <a:lnTo>
                                      <a:pt x="6688956" y="2053847"/>
                                    </a:lnTo>
                                    <a:lnTo>
                                      <a:pt x="6733951" y="2045567"/>
                                    </a:lnTo>
                                    <a:lnTo>
                                      <a:pt x="6778586" y="2035847"/>
                                    </a:lnTo>
                                    <a:lnTo>
                                      <a:pt x="6821781" y="2026487"/>
                                    </a:lnTo>
                                    <a:lnTo>
                                      <a:pt x="6862096" y="2013526"/>
                                    </a:lnTo>
                                    <a:lnTo>
                                      <a:pt x="6901692" y="1999126"/>
                                    </a:lnTo>
                                    <a:lnTo>
                                      <a:pt x="6940207" y="1983286"/>
                                    </a:lnTo>
                                    <a:lnTo>
                                      <a:pt x="6977283" y="1967085"/>
                                    </a:lnTo>
                                    <a:lnTo>
                                      <a:pt x="7012199" y="1949445"/>
                                    </a:lnTo>
                                    <a:lnTo>
                                      <a:pt x="7046035" y="1930364"/>
                                    </a:lnTo>
                                    <a:lnTo>
                                      <a:pt x="7079511" y="1910924"/>
                                    </a:lnTo>
                                    <a:lnTo>
                                      <a:pt x="7111547" y="1890404"/>
                                    </a:lnTo>
                                    <a:lnTo>
                                      <a:pt x="7141784" y="1869523"/>
                                    </a:lnTo>
                                    <a:lnTo>
                                      <a:pt x="7170581" y="1847203"/>
                                    </a:lnTo>
                                    <a:lnTo>
                                      <a:pt x="7319603" y="2059967"/>
                                    </a:lnTo>
                                    <a:lnTo>
                                      <a:pt x="7281088" y="2087328"/>
                                    </a:lnTo>
                                    <a:lnTo>
                                      <a:pt x="7239333" y="2114329"/>
                                    </a:lnTo>
                                    <a:lnTo>
                                      <a:pt x="7199377" y="2139889"/>
                                    </a:lnTo>
                                    <a:lnTo>
                                      <a:pt x="7157982" y="2164010"/>
                                    </a:lnTo>
                                    <a:lnTo>
                                      <a:pt x="7114787" y="2186330"/>
                                    </a:lnTo>
                                    <a:lnTo>
                                      <a:pt x="7069792" y="2207211"/>
                                    </a:lnTo>
                                    <a:lnTo>
                                      <a:pt x="7025157" y="2226291"/>
                                    </a:lnTo>
                                    <a:lnTo>
                                      <a:pt x="6978723" y="2242492"/>
                                    </a:lnTo>
                                    <a:lnTo>
                                      <a:pt x="6930848" y="2258692"/>
                                    </a:lnTo>
                                    <a:lnTo>
                                      <a:pt x="6880814" y="2271292"/>
                                    </a:lnTo>
                                    <a:lnTo>
                                      <a:pt x="6829700" y="2282452"/>
                                    </a:lnTo>
                                    <a:lnTo>
                                      <a:pt x="6777146" y="2292173"/>
                                    </a:lnTo>
                                    <a:lnTo>
                                      <a:pt x="6722793" y="2299733"/>
                                    </a:lnTo>
                                    <a:lnTo>
                                      <a:pt x="6666639" y="2304773"/>
                                    </a:lnTo>
                                    <a:lnTo>
                                      <a:pt x="6609046" y="2307653"/>
                                    </a:lnTo>
                                    <a:lnTo>
                                      <a:pt x="6548213" y="2309453"/>
                                    </a:lnTo>
                                    <a:lnTo>
                                      <a:pt x="6482700" y="2307653"/>
                                    </a:lnTo>
                                    <a:lnTo>
                                      <a:pt x="6418628" y="2304773"/>
                                    </a:lnTo>
                                    <a:lnTo>
                                      <a:pt x="6354555" y="2296493"/>
                                    </a:lnTo>
                                    <a:lnTo>
                                      <a:pt x="6293722" y="2288933"/>
                                    </a:lnTo>
                                    <a:lnTo>
                                      <a:pt x="6234689" y="2275972"/>
                                    </a:lnTo>
                                    <a:lnTo>
                                      <a:pt x="6175296" y="2261572"/>
                                    </a:lnTo>
                                    <a:lnTo>
                                      <a:pt x="6119503" y="2245732"/>
                                    </a:lnTo>
                                    <a:lnTo>
                                      <a:pt x="6065149" y="2226291"/>
                                    </a:lnTo>
                                    <a:lnTo>
                                      <a:pt x="6012235" y="2203971"/>
                                    </a:lnTo>
                                    <a:lnTo>
                                      <a:pt x="5959321" y="2180210"/>
                                    </a:lnTo>
                                    <a:lnTo>
                                      <a:pt x="5909647" y="2154290"/>
                                    </a:lnTo>
                                    <a:lnTo>
                                      <a:pt x="5863212" y="2125849"/>
                                    </a:lnTo>
                                    <a:lnTo>
                                      <a:pt x="5816778" y="2095248"/>
                                    </a:lnTo>
                                    <a:lnTo>
                                      <a:pt x="5772143" y="2061767"/>
                                    </a:lnTo>
                                    <a:lnTo>
                                      <a:pt x="5730388" y="2026487"/>
                                    </a:lnTo>
                                    <a:lnTo>
                                      <a:pt x="5690792" y="1989766"/>
                                    </a:lnTo>
                                    <a:lnTo>
                                      <a:pt x="5653717" y="1951245"/>
                                    </a:lnTo>
                                    <a:lnTo>
                                      <a:pt x="5617001" y="1909484"/>
                                    </a:lnTo>
                                    <a:lnTo>
                                      <a:pt x="5584965" y="1866283"/>
                                    </a:lnTo>
                                    <a:lnTo>
                                      <a:pt x="5552928" y="1821642"/>
                                    </a:lnTo>
                                    <a:lnTo>
                                      <a:pt x="5524132" y="1775201"/>
                                    </a:lnTo>
                                    <a:lnTo>
                                      <a:pt x="5496775" y="1726960"/>
                                    </a:lnTo>
                                    <a:lnTo>
                                      <a:pt x="5473018" y="1677279"/>
                                    </a:lnTo>
                                    <a:lnTo>
                                      <a:pt x="5450340" y="1624717"/>
                                    </a:lnTo>
                                    <a:lnTo>
                                      <a:pt x="5431263" y="1571796"/>
                                    </a:lnTo>
                                    <a:lnTo>
                                      <a:pt x="5413625" y="1515635"/>
                                    </a:lnTo>
                                    <a:lnTo>
                                      <a:pt x="5399226" y="1459834"/>
                                    </a:lnTo>
                                    <a:lnTo>
                                      <a:pt x="5386628" y="1402232"/>
                                    </a:lnTo>
                                    <a:lnTo>
                                      <a:pt x="5376909" y="1341391"/>
                                    </a:lnTo>
                                    <a:lnTo>
                                      <a:pt x="5370430" y="1280550"/>
                                    </a:lnTo>
                                    <a:lnTo>
                                      <a:pt x="5367190" y="1217908"/>
                                    </a:lnTo>
                                    <a:lnTo>
                                      <a:pt x="5365750" y="1154187"/>
                                    </a:lnTo>
                                    <a:lnTo>
                                      <a:pt x="5367190" y="1091545"/>
                                    </a:lnTo>
                                    <a:lnTo>
                                      <a:pt x="5370430" y="1029264"/>
                                    </a:lnTo>
                                    <a:lnTo>
                                      <a:pt x="5376909" y="968422"/>
                                    </a:lnTo>
                                    <a:lnTo>
                                      <a:pt x="5386628" y="907581"/>
                                    </a:lnTo>
                                    <a:lnTo>
                                      <a:pt x="5399226" y="849980"/>
                                    </a:lnTo>
                                    <a:lnTo>
                                      <a:pt x="5413625" y="793818"/>
                                    </a:lnTo>
                                    <a:lnTo>
                                      <a:pt x="5431263" y="738017"/>
                                    </a:lnTo>
                                    <a:lnTo>
                                      <a:pt x="5450340" y="685096"/>
                                    </a:lnTo>
                                    <a:lnTo>
                                      <a:pt x="5473018" y="632175"/>
                                    </a:lnTo>
                                    <a:lnTo>
                                      <a:pt x="5496775" y="582493"/>
                                    </a:lnTo>
                                    <a:lnTo>
                                      <a:pt x="5524132" y="534612"/>
                                    </a:lnTo>
                                    <a:lnTo>
                                      <a:pt x="5552928" y="488171"/>
                                    </a:lnTo>
                                    <a:lnTo>
                                      <a:pt x="5584965" y="443530"/>
                                    </a:lnTo>
                                    <a:lnTo>
                                      <a:pt x="5617001" y="400329"/>
                                    </a:lnTo>
                                    <a:lnTo>
                                      <a:pt x="5653717" y="358568"/>
                                    </a:lnTo>
                                    <a:lnTo>
                                      <a:pt x="5690792" y="320047"/>
                                    </a:lnTo>
                                    <a:lnTo>
                                      <a:pt x="5730388" y="283327"/>
                                    </a:lnTo>
                                    <a:lnTo>
                                      <a:pt x="5772143" y="248046"/>
                                    </a:lnTo>
                                    <a:lnTo>
                                      <a:pt x="5816778" y="214565"/>
                                    </a:lnTo>
                                    <a:lnTo>
                                      <a:pt x="5863212" y="183964"/>
                                    </a:lnTo>
                                    <a:lnTo>
                                      <a:pt x="5909647" y="155164"/>
                                    </a:lnTo>
                                    <a:lnTo>
                                      <a:pt x="5959321" y="129603"/>
                                    </a:lnTo>
                                    <a:lnTo>
                                      <a:pt x="6012235" y="105482"/>
                                    </a:lnTo>
                                    <a:lnTo>
                                      <a:pt x="6065149" y="83162"/>
                                    </a:lnTo>
                                    <a:lnTo>
                                      <a:pt x="6119503" y="64082"/>
                                    </a:lnTo>
                                    <a:lnTo>
                                      <a:pt x="6175296" y="48241"/>
                                    </a:lnTo>
                                    <a:lnTo>
                                      <a:pt x="6234689" y="33481"/>
                                    </a:lnTo>
                                    <a:lnTo>
                                      <a:pt x="6293722" y="20880"/>
                                    </a:lnTo>
                                    <a:lnTo>
                                      <a:pt x="6354555" y="12960"/>
                                    </a:lnTo>
                                    <a:lnTo>
                                      <a:pt x="6418628" y="4680"/>
                                    </a:lnTo>
                                    <a:lnTo>
                                      <a:pt x="6482700" y="1800"/>
                                    </a:lnTo>
                                    <a:lnTo>
                                      <a:pt x="6548213" y="0"/>
                                    </a:lnTo>
                                    <a:close/>
                                    <a:moveTo>
                                      <a:pt x="4453020" y="0"/>
                                    </a:moveTo>
                                    <a:lnTo>
                                      <a:pt x="4513868" y="1800"/>
                                    </a:lnTo>
                                    <a:lnTo>
                                      <a:pt x="4571116" y="4680"/>
                                    </a:lnTo>
                                    <a:lnTo>
                                      <a:pt x="4626924" y="9720"/>
                                    </a:lnTo>
                                    <a:lnTo>
                                      <a:pt x="4681652" y="17640"/>
                                    </a:lnTo>
                                    <a:lnTo>
                                      <a:pt x="4734220" y="27361"/>
                                    </a:lnTo>
                                    <a:lnTo>
                                      <a:pt x="4785707" y="38521"/>
                                    </a:lnTo>
                                    <a:lnTo>
                                      <a:pt x="4835034" y="51121"/>
                                    </a:lnTo>
                                    <a:lnTo>
                                      <a:pt x="4883281" y="67322"/>
                                    </a:lnTo>
                                    <a:lnTo>
                                      <a:pt x="4929728" y="83162"/>
                                    </a:lnTo>
                                    <a:lnTo>
                                      <a:pt x="4974374" y="102602"/>
                                    </a:lnTo>
                                    <a:lnTo>
                                      <a:pt x="5019381" y="123123"/>
                                    </a:lnTo>
                                    <a:lnTo>
                                      <a:pt x="5062587" y="145803"/>
                                    </a:lnTo>
                                    <a:lnTo>
                                      <a:pt x="5103993" y="169564"/>
                                    </a:lnTo>
                                    <a:lnTo>
                                      <a:pt x="5145759" y="195125"/>
                                    </a:lnTo>
                                    <a:lnTo>
                                      <a:pt x="5185724" y="221045"/>
                                    </a:lnTo>
                                    <a:lnTo>
                                      <a:pt x="5225690" y="249486"/>
                                    </a:lnTo>
                                    <a:lnTo>
                                      <a:pt x="5076989" y="462611"/>
                                    </a:lnTo>
                                    <a:lnTo>
                                      <a:pt x="5046384" y="440290"/>
                                    </a:lnTo>
                                    <a:lnTo>
                                      <a:pt x="5016140" y="419410"/>
                                    </a:lnTo>
                                    <a:lnTo>
                                      <a:pt x="4984096" y="398529"/>
                                    </a:lnTo>
                                    <a:lnTo>
                                      <a:pt x="4952051" y="379449"/>
                                    </a:lnTo>
                                    <a:lnTo>
                                      <a:pt x="4916766" y="360008"/>
                                    </a:lnTo>
                                    <a:lnTo>
                                      <a:pt x="4881481" y="342368"/>
                                    </a:lnTo>
                                    <a:lnTo>
                                      <a:pt x="4844756" y="326528"/>
                                    </a:lnTo>
                                    <a:lnTo>
                                      <a:pt x="4806230" y="310687"/>
                                    </a:lnTo>
                                    <a:lnTo>
                                      <a:pt x="4768065" y="295927"/>
                                    </a:lnTo>
                                    <a:lnTo>
                                      <a:pt x="4726299" y="283327"/>
                                    </a:lnTo>
                                    <a:lnTo>
                                      <a:pt x="4683092" y="273606"/>
                                    </a:lnTo>
                                    <a:lnTo>
                                      <a:pt x="4639886" y="264246"/>
                                    </a:lnTo>
                                    <a:lnTo>
                                      <a:pt x="4593440" y="256326"/>
                                    </a:lnTo>
                                    <a:lnTo>
                                      <a:pt x="4547353" y="251286"/>
                                    </a:lnTo>
                                    <a:lnTo>
                                      <a:pt x="4497666" y="248046"/>
                                    </a:lnTo>
                                    <a:lnTo>
                                      <a:pt x="4446539" y="246606"/>
                                    </a:lnTo>
                                    <a:lnTo>
                                      <a:pt x="4396851" y="248046"/>
                                    </a:lnTo>
                                    <a:lnTo>
                                      <a:pt x="4348965" y="251286"/>
                                    </a:lnTo>
                                    <a:lnTo>
                                      <a:pt x="4301078" y="256326"/>
                                    </a:lnTo>
                                    <a:lnTo>
                                      <a:pt x="4254631" y="264246"/>
                                    </a:lnTo>
                                    <a:lnTo>
                                      <a:pt x="4209625" y="273606"/>
                                    </a:lnTo>
                                    <a:lnTo>
                                      <a:pt x="4164978" y="284767"/>
                                    </a:lnTo>
                                    <a:lnTo>
                                      <a:pt x="4121772" y="297727"/>
                                    </a:lnTo>
                                    <a:lnTo>
                                      <a:pt x="4080006" y="312127"/>
                                    </a:lnTo>
                                    <a:lnTo>
                                      <a:pt x="4038240" y="329768"/>
                                    </a:lnTo>
                                    <a:lnTo>
                                      <a:pt x="3998634" y="348848"/>
                                    </a:lnTo>
                                    <a:lnTo>
                                      <a:pt x="3961549" y="369729"/>
                                    </a:lnTo>
                                    <a:lnTo>
                                      <a:pt x="3924824" y="392409"/>
                                    </a:lnTo>
                                    <a:lnTo>
                                      <a:pt x="3888099" y="416170"/>
                                    </a:lnTo>
                                    <a:lnTo>
                                      <a:pt x="3854254" y="441730"/>
                                    </a:lnTo>
                                    <a:lnTo>
                                      <a:pt x="3822209" y="469091"/>
                                    </a:lnTo>
                                    <a:lnTo>
                                      <a:pt x="3791965" y="497892"/>
                                    </a:lnTo>
                                    <a:lnTo>
                                      <a:pt x="3761361" y="528132"/>
                                    </a:lnTo>
                                    <a:lnTo>
                                      <a:pt x="3734357" y="560173"/>
                                    </a:lnTo>
                                    <a:lnTo>
                                      <a:pt x="3708793" y="593654"/>
                                    </a:lnTo>
                                    <a:lnTo>
                                      <a:pt x="3683229" y="628935"/>
                                    </a:lnTo>
                                    <a:lnTo>
                                      <a:pt x="3660906" y="665655"/>
                                    </a:lnTo>
                                    <a:lnTo>
                                      <a:pt x="3640023" y="704176"/>
                                    </a:lnTo>
                                    <a:lnTo>
                                      <a:pt x="3620580" y="744497"/>
                                    </a:lnTo>
                                    <a:lnTo>
                                      <a:pt x="3602938" y="784458"/>
                                    </a:lnTo>
                                    <a:lnTo>
                                      <a:pt x="3588896" y="827299"/>
                                    </a:lnTo>
                                    <a:lnTo>
                                      <a:pt x="3574134" y="870860"/>
                                    </a:lnTo>
                                    <a:lnTo>
                                      <a:pt x="3563332" y="914061"/>
                                    </a:lnTo>
                                    <a:lnTo>
                                      <a:pt x="3553611" y="960502"/>
                                    </a:lnTo>
                                    <a:lnTo>
                                      <a:pt x="3545330" y="1006583"/>
                                    </a:lnTo>
                                    <a:lnTo>
                                      <a:pt x="3540649" y="1054824"/>
                                    </a:lnTo>
                                    <a:lnTo>
                                      <a:pt x="3537408" y="1104506"/>
                                    </a:lnTo>
                                    <a:lnTo>
                                      <a:pt x="3535968" y="1154187"/>
                                    </a:lnTo>
                                    <a:lnTo>
                                      <a:pt x="3537408" y="1205308"/>
                                    </a:lnTo>
                                    <a:lnTo>
                                      <a:pt x="3540649" y="1254989"/>
                                    </a:lnTo>
                                    <a:lnTo>
                                      <a:pt x="3545330" y="1302870"/>
                                    </a:lnTo>
                                    <a:lnTo>
                                      <a:pt x="3553611" y="1349311"/>
                                    </a:lnTo>
                                    <a:lnTo>
                                      <a:pt x="3563332" y="1394312"/>
                                    </a:lnTo>
                                    <a:lnTo>
                                      <a:pt x="3574134" y="1438953"/>
                                    </a:lnTo>
                                    <a:lnTo>
                                      <a:pt x="3588896" y="1482154"/>
                                    </a:lnTo>
                                    <a:lnTo>
                                      <a:pt x="3602938" y="1525355"/>
                                    </a:lnTo>
                                    <a:lnTo>
                                      <a:pt x="3620580" y="1565316"/>
                                    </a:lnTo>
                                    <a:lnTo>
                                      <a:pt x="3640023" y="1605277"/>
                                    </a:lnTo>
                                    <a:lnTo>
                                      <a:pt x="3660906" y="1643798"/>
                                    </a:lnTo>
                                    <a:lnTo>
                                      <a:pt x="3683229" y="1680519"/>
                                    </a:lnTo>
                                    <a:lnTo>
                                      <a:pt x="3708793" y="1715800"/>
                                    </a:lnTo>
                                    <a:lnTo>
                                      <a:pt x="3734357" y="1749280"/>
                                    </a:lnTo>
                                    <a:lnTo>
                                      <a:pt x="3761361" y="1781681"/>
                                    </a:lnTo>
                                    <a:lnTo>
                                      <a:pt x="3791965" y="1811922"/>
                                    </a:lnTo>
                                    <a:lnTo>
                                      <a:pt x="3822209" y="1840722"/>
                                    </a:lnTo>
                                    <a:lnTo>
                                      <a:pt x="3854254" y="1868083"/>
                                    </a:lnTo>
                                    <a:lnTo>
                                      <a:pt x="3888099" y="1893644"/>
                                    </a:lnTo>
                                    <a:lnTo>
                                      <a:pt x="3924824" y="1917764"/>
                                    </a:lnTo>
                                    <a:lnTo>
                                      <a:pt x="3961549" y="1940085"/>
                                    </a:lnTo>
                                    <a:lnTo>
                                      <a:pt x="3998634" y="1960965"/>
                                    </a:lnTo>
                                    <a:lnTo>
                                      <a:pt x="4038240" y="1980046"/>
                                    </a:lnTo>
                                    <a:lnTo>
                                      <a:pt x="4080006" y="1997686"/>
                                    </a:lnTo>
                                    <a:lnTo>
                                      <a:pt x="4121772" y="2012086"/>
                                    </a:lnTo>
                                    <a:lnTo>
                                      <a:pt x="4164978" y="2024687"/>
                                    </a:lnTo>
                                    <a:lnTo>
                                      <a:pt x="4209625" y="2035847"/>
                                    </a:lnTo>
                                    <a:lnTo>
                                      <a:pt x="4254631" y="2045567"/>
                                    </a:lnTo>
                                    <a:lnTo>
                                      <a:pt x="4301078" y="2053847"/>
                                    </a:lnTo>
                                    <a:lnTo>
                                      <a:pt x="4348965" y="2058527"/>
                                    </a:lnTo>
                                    <a:lnTo>
                                      <a:pt x="4396851" y="2061767"/>
                                    </a:lnTo>
                                    <a:lnTo>
                                      <a:pt x="4446539" y="2063208"/>
                                    </a:lnTo>
                                    <a:lnTo>
                                      <a:pt x="4497666" y="2061767"/>
                                    </a:lnTo>
                                    <a:lnTo>
                                      <a:pt x="4547353" y="2058527"/>
                                    </a:lnTo>
                                    <a:lnTo>
                                      <a:pt x="4593440" y="2053847"/>
                                    </a:lnTo>
                                    <a:lnTo>
                                      <a:pt x="4639886" y="2045567"/>
                                    </a:lnTo>
                                    <a:lnTo>
                                      <a:pt x="4683092" y="2035847"/>
                                    </a:lnTo>
                                    <a:lnTo>
                                      <a:pt x="4726299" y="2026487"/>
                                    </a:lnTo>
                                    <a:lnTo>
                                      <a:pt x="4768065" y="2013526"/>
                                    </a:lnTo>
                                    <a:lnTo>
                                      <a:pt x="4806230" y="1999126"/>
                                    </a:lnTo>
                                    <a:lnTo>
                                      <a:pt x="4844756" y="1983286"/>
                                    </a:lnTo>
                                    <a:lnTo>
                                      <a:pt x="4881481" y="1967085"/>
                                    </a:lnTo>
                                    <a:lnTo>
                                      <a:pt x="4916766" y="1949445"/>
                                    </a:lnTo>
                                    <a:lnTo>
                                      <a:pt x="4952051" y="1930364"/>
                                    </a:lnTo>
                                    <a:lnTo>
                                      <a:pt x="4984096" y="1910924"/>
                                    </a:lnTo>
                                    <a:lnTo>
                                      <a:pt x="5016140" y="1890404"/>
                                    </a:lnTo>
                                    <a:lnTo>
                                      <a:pt x="5046384" y="1869523"/>
                                    </a:lnTo>
                                    <a:lnTo>
                                      <a:pt x="5076989" y="1847203"/>
                                    </a:lnTo>
                                    <a:lnTo>
                                      <a:pt x="5225690" y="2059967"/>
                                    </a:lnTo>
                                    <a:lnTo>
                                      <a:pt x="5185724" y="2087328"/>
                                    </a:lnTo>
                                    <a:lnTo>
                                      <a:pt x="5145759" y="2114329"/>
                                    </a:lnTo>
                                    <a:lnTo>
                                      <a:pt x="5103993" y="2139889"/>
                                    </a:lnTo>
                                    <a:lnTo>
                                      <a:pt x="5062587" y="2164010"/>
                                    </a:lnTo>
                                    <a:lnTo>
                                      <a:pt x="5019381" y="2186330"/>
                                    </a:lnTo>
                                    <a:lnTo>
                                      <a:pt x="4974374" y="2207211"/>
                                    </a:lnTo>
                                    <a:lnTo>
                                      <a:pt x="4929728" y="2226291"/>
                                    </a:lnTo>
                                    <a:lnTo>
                                      <a:pt x="4883281" y="2242492"/>
                                    </a:lnTo>
                                    <a:lnTo>
                                      <a:pt x="4835034" y="2258692"/>
                                    </a:lnTo>
                                    <a:lnTo>
                                      <a:pt x="4785707" y="2271292"/>
                                    </a:lnTo>
                                    <a:lnTo>
                                      <a:pt x="4734220" y="2282452"/>
                                    </a:lnTo>
                                    <a:lnTo>
                                      <a:pt x="4681652" y="2292173"/>
                                    </a:lnTo>
                                    <a:lnTo>
                                      <a:pt x="4626924" y="2299733"/>
                                    </a:lnTo>
                                    <a:lnTo>
                                      <a:pt x="4571116" y="2304773"/>
                                    </a:lnTo>
                                    <a:lnTo>
                                      <a:pt x="4513868" y="2307653"/>
                                    </a:lnTo>
                                    <a:lnTo>
                                      <a:pt x="4453020" y="2309453"/>
                                    </a:lnTo>
                                    <a:lnTo>
                                      <a:pt x="4387490" y="2307653"/>
                                    </a:lnTo>
                                    <a:lnTo>
                                      <a:pt x="4323401" y="2304773"/>
                                    </a:lnTo>
                                    <a:lnTo>
                                      <a:pt x="4260752" y="2296493"/>
                                    </a:lnTo>
                                    <a:lnTo>
                                      <a:pt x="4199903" y="2288933"/>
                                    </a:lnTo>
                                    <a:lnTo>
                                      <a:pt x="4139415" y="2275972"/>
                                    </a:lnTo>
                                    <a:lnTo>
                                      <a:pt x="4081446" y="2261572"/>
                                    </a:lnTo>
                                    <a:lnTo>
                                      <a:pt x="4024198" y="2245732"/>
                                    </a:lnTo>
                                    <a:lnTo>
                                      <a:pt x="3969470" y="2226291"/>
                                    </a:lnTo>
                                    <a:lnTo>
                                      <a:pt x="3916903" y="2203971"/>
                                    </a:lnTo>
                                    <a:lnTo>
                                      <a:pt x="3865775" y="2180210"/>
                                    </a:lnTo>
                                    <a:lnTo>
                                      <a:pt x="3816088" y="2154290"/>
                                    </a:lnTo>
                                    <a:lnTo>
                                      <a:pt x="3768202" y="2125849"/>
                                    </a:lnTo>
                                    <a:lnTo>
                                      <a:pt x="3721755" y="2095248"/>
                                    </a:lnTo>
                                    <a:lnTo>
                                      <a:pt x="3678549" y="2061767"/>
                                    </a:lnTo>
                                    <a:lnTo>
                                      <a:pt x="3636783" y="2026487"/>
                                    </a:lnTo>
                                    <a:lnTo>
                                      <a:pt x="3596817" y="1989766"/>
                                    </a:lnTo>
                                    <a:lnTo>
                                      <a:pt x="3558291" y="1951245"/>
                                    </a:lnTo>
                                    <a:lnTo>
                                      <a:pt x="3523006" y="1909484"/>
                                    </a:lnTo>
                                    <a:lnTo>
                                      <a:pt x="3489522" y="1866283"/>
                                    </a:lnTo>
                                    <a:lnTo>
                                      <a:pt x="3457477" y="1821642"/>
                                    </a:lnTo>
                                    <a:lnTo>
                                      <a:pt x="3428673" y="1775201"/>
                                    </a:lnTo>
                                    <a:lnTo>
                                      <a:pt x="3401669" y="1726960"/>
                                    </a:lnTo>
                                    <a:lnTo>
                                      <a:pt x="3377545" y="1677279"/>
                                    </a:lnTo>
                                    <a:lnTo>
                                      <a:pt x="3355223" y="1624717"/>
                                    </a:lnTo>
                                    <a:lnTo>
                                      <a:pt x="3335780" y="1571796"/>
                                    </a:lnTo>
                                    <a:lnTo>
                                      <a:pt x="3318137" y="1515635"/>
                                    </a:lnTo>
                                    <a:lnTo>
                                      <a:pt x="3303735" y="1459834"/>
                                    </a:lnTo>
                                    <a:lnTo>
                                      <a:pt x="3292573" y="1402232"/>
                                    </a:lnTo>
                                    <a:lnTo>
                                      <a:pt x="3282852" y="1341391"/>
                                    </a:lnTo>
                                    <a:lnTo>
                                      <a:pt x="3276731" y="1280550"/>
                                    </a:lnTo>
                                    <a:lnTo>
                                      <a:pt x="3271690" y="1217908"/>
                                    </a:lnTo>
                                    <a:lnTo>
                                      <a:pt x="3270250" y="1154187"/>
                                    </a:lnTo>
                                    <a:lnTo>
                                      <a:pt x="3271690" y="1091545"/>
                                    </a:lnTo>
                                    <a:lnTo>
                                      <a:pt x="3276731" y="1029264"/>
                                    </a:lnTo>
                                    <a:lnTo>
                                      <a:pt x="3282852" y="968422"/>
                                    </a:lnTo>
                                    <a:lnTo>
                                      <a:pt x="3292573" y="907581"/>
                                    </a:lnTo>
                                    <a:lnTo>
                                      <a:pt x="3303735" y="849980"/>
                                    </a:lnTo>
                                    <a:lnTo>
                                      <a:pt x="3318137" y="793818"/>
                                    </a:lnTo>
                                    <a:lnTo>
                                      <a:pt x="3335780" y="738017"/>
                                    </a:lnTo>
                                    <a:lnTo>
                                      <a:pt x="3355223" y="685096"/>
                                    </a:lnTo>
                                    <a:lnTo>
                                      <a:pt x="3377545" y="632175"/>
                                    </a:lnTo>
                                    <a:lnTo>
                                      <a:pt x="3401669" y="582493"/>
                                    </a:lnTo>
                                    <a:lnTo>
                                      <a:pt x="3428673" y="534612"/>
                                    </a:lnTo>
                                    <a:lnTo>
                                      <a:pt x="3457477" y="488171"/>
                                    </a:lnTo>
                                    <a:lnTo>
                                      <a:pt x="3489522" y="443530"/>
                                    </a:lnTo>
                                    <a:lnTo>
                                      <a:pt x="3523006" y="400329"/>
                                    </a:lnTo>
                                    <a:lnTo>
                                      <a:pt x="3558291" y="358568"/>
                                    </a:lnTo>
                                    <a:lnTo>
                                      <a:pt x="3596817" y="320047"/>
                                    </a:lnTo>
                                    <a:lnTo>
                                      <a:pt x="3636783" y="283327"/>
                                    </a:lnTo>
                                    <a:lnTo>
                                      <a:pt x="3678549" y="248046"/>
                                    </a:lnTo>
                                    <a:lnTo>
                                      <a:pt x="3721755" y="214565"/>
                                    </a:lnTo>
                                    <a:lnTo>
                                      <a:pt x="3768202" y="183964"/>
                                    </a:lnTo>
                                    <a:lnTo>
                                      <a:pt x="3816088" y="155164"/>
                                    </a:lnTo>
                                    <a:lnTo>
                                      <a:pt x="3865775" y="129603"/>
                                    </a:lnTo>
                                    <a:lnTo>
                                      <a:pt x="3916903" y="105482"/>
                                    </a:lnTo>
                                    <a:lnTo>
                                      <a:pt x="3969470" y="83162"/>
                                    </a:lnTo>
                                    <a:lnTo>
                                      <a:pt x="4024198" y="64082"/>
                                    </a:lnTo>
                                    <a:lnTo>
                                      <a:pt x="4081446" y="48241"/>
                                    </a:lnTo>
                                    <a:lnTo>
                                      <a:pt x="4139415" y="33481"/>
                                    </a:lnTo>
                                    <a:lnTo>
                                      <a:pt x="4199903" y="20880"/>
                                    </a:lnTo>
                                    <a:lnTo>
                                      <a:pt x="4260752" y="12960"/>
                                    </a:lnTo>
                                    <a:lnTo>
                                      <a:pt x="4323401" y="4680"/>
                                    </a:lnTo>
                                    <a:lnTo>
                                      <a:pt x="4387490" y="1800"/>
                                    </a:lnTo>
                                    <a:lnTo>
                                      <a:pt x="4453020" y="0"/>
                                    </a:lnTo>
                                    <a:close/>
                                  </a:path>
                                </a:pathLst>
                              </a:custGeom>
                              <a:grpFill/>
                              <a:ln>
                                <a:noFill/>
                              </a:ln>
                              <a:effectLst/>
                              <a:extLst>
                                <a:ext uri="{91240B29-F687-4F45-9708-019B960494DF}">
                                  <a14:hiddenLine xmlns:a14="http://schemas.microsoft.com/office/drawing/2010/main" w="9525" cap="flat">
                                    <a:solidFill>
                                      <a:srgbClr val="808080"/>
                                    </a:solidFill>
                                    <a:round/>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anchor="ctr"/>
                          </wps:wsp>
                        </wpg:wg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group w14:anchorId="7BBBCA4F" id="Group 1" o:spid="_x0000_s1026" style="position:absolute;margin-left:-1.5pt;margin-top:648.75pt;width:305.15pt;height:153pt;z-index:251658243;mso-position-horizontal-relative:margin;mso-position-vertical-relative:page;mso-width-relative:margin;mso-height-relative:margin" coordsize="91440,458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" o:allowoverlap="f">
                    <v:shape id="Freeform 1" o:spid="_x0000_s1027" style="position:absolute;top:28178;width:91440;height:17684;visibility:visible;mso-wrap-style:none;v-text-anchor:middle" coordsize="25401,491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" path="m311,1716r876,l1187,1917r-1085,l102,27r209,l311,1716xm1440,1294r,l1445,1369r8,71l1467,1507r22,62l1516,1632r31,53l1582,1734r41,45l1667,1818r44,36l1765,1885r53,27l1876,1930r58,17l1996,1956r62,l2143,1952r75,-13l2285,1917r62,-32l2405,1845r49,-44l2498,1752r36,-58l2538,1694r,223l2734,1917r,-1246l2538,671r,218l2534,889r-36,-53l2454,783r-49,-45l2347,703r-62,-32l2218,649r-75,-13l2058,627r-62,5l1934,640r-58,14l1818,676r-53,22l1711,729r-44,36l1623,805r-41,44l1547,903r-31,53l1489,1014r-22,67l1453,1147r-8,71l1440,1294xm2547,1294r,l2547,1343r-9,48l2529,1440r-13,45l2498,1525r-22,40l2454,1601r-27,31l2396,1663r-35,27l2325,1712r-40,18l2241,1747r-45,9l2147,1765r-49,l2049,1765r-49,-9l1956,1747r-44,-17l1872,1712r-36,-22l1800,1663r-31,-31l1743,1601r-27,-36l1698,1525r-18,-40l1663,1440r-10,-49l1649,1343r-4,-49l1649,1240r4,-49l1663,1147r17,-44l1698,1063r18,-40l1743,987r26,-35l1800,925r36,-27l1872,876r40,-22l1956,840r44,-8l2049,823r49,l2147,823r49,9l2241,840r44,14l2325,876r36,22l2396,925r31,27l2454,987r22,36l2498,1063r18,40l2529,1147r9,44l2547,1240r,54xm4677,671r-298,996l4041,671r-200,l3508,1667,3205,671r-213,l3410,1917r186,l3938,925r347,992l4472,1917,4894,671r-217,xm6050,1721r,-760l6833,961r,-196l6050,765r,-543l6904,222r,-195l5841,27r,1890l6917,1917r,-196l6050,1721xm8411,1156r,l8406,1089r-4,-62l8388,969r-13,-53l8353,867r-23,-40l8304,787r-31,-36l8242,725r-36,-27l8166,676r-44,-18l8077,645r-44,-9l7984,632r-53,-5l7855,632r-71,17l7717,671r-57,32l7606,742r-45,49l7522,845r-36,67l7482,912r,-241l7286,671r,1246l7482,1917r,-574l7482,1272r8,-62l7499,1152r14,-54l7531,1049r22,-44l7575,969r27,-31l7628,907r32,-22l7695,867r31,-18l7766,836r36,-4l7842,827r40,-4l7917,823r36,4l7984,836r31,9l8046,858r27,13l8100,889r22,18l8144,934r18,27l8180,987r13,36l8202,1058r8,40l8215,1139r,48l8215,1917r196,l8411,1156xm9126,458r,l9126,422r5,-35l9140,356r4,-27l9157,302r14,-22l9184,262r18,-17l9220,227r18,-14l9282,196r49,-9l9384,183r36,l9420,r-40,l9326,r-44,9l9238,18r-45,9l9153,44r-35,18l9086,89r-31,27l9028,147r-26,31l8984,218r-18,40l8953,302r-9,49l8935,405r,57l8935,671r-231,l8704,836r231,l8935,1917r191,l9126,836r285,l9411,671r-285,l9126,458xm10909,1294r,l10905,1223r-9,-71l10878,1089r-18,-62l10829,969r-31,-57l10763,863r-45,-45l10669,774r-49,-36l10562,707r-57,-27l10442,658r-67,-18l10304,632r-71,-5l10162,632r-71,8l10029,658r-67,22l9904,707r-53,31l9797,774r-48,44l9709,863r-40,49l9638,969r-27,58l9589,1089r-18,63l9562,1223r-4,71l9562,1365r9,67l9589,1498r22,63l9638,1618r31,54l9709,1725r40,44l9797,1810r54,40l9904,1881r58,27l10029,1930r62,13l10162,1952r71,4l10304,1952r71,-9l10442,1930r63,-22l10562,1881r58,-31l10669,1810r49,-41l10763,1725r35,-53l10829,1618r31,-57l10878,1498r18,-66l10905,1365r4,-71xm9762,1294r,l9767,1240r4,-49l9784,1143r13,-45l9820,1058r22,-40l9869,983r26,-31l9931,920r36,-26l10007,871r39,-17l10091,840r45,-13l10184,823r49,l10282,823r49,4l10375,840r45,14l10460,871r40,23l10536,920r35,32l10598,983r26,35l10647,1058r22,40l10682,1143r14,48l10700,1240r5,54l10700,1347r-4,49l10682,1445r-13,45l10647,1530r-23,39l10598,1605r-27,31l10536,1667r-36,23l10460,1712r-40,22l10375,1747r-44,9l10282,1765r-49,l10184,1765r-48,-9l10091,1747r-45,-13l10007,1712r-40,-22l9931,1667r-36,-31l9869,1605r-27,-36l9820,1530r-23,-40l9784,1445r-13,-49l9767,1347r-5,-53xm11882,632r-30,l11811,632r-35,4l11740,645r-35,9l11674,667r-32,18l11611,703r-27,17l11562,742r-26,27l11513,791r-17,32l11465,885r-27,67l11434,952r,-281l11238,671r,1246l11434,1917r,-587l11434,1276r8,-53l11451,1174r9,-49l11478,1085r18,-40l11518,1010r22,-32l11567,952r31,-27l11633,903r36,-18l11709,871r45,-8l11798,858r49,-4l11882,854r,-222xm12082,1294r,l12082,1365r9,71l12109,1503r22,62l12158,1623r31,53l12229,1730r40,44l12318,1814r49,36l12425,1885r58,23l12550,1930r66,13l12683,1956r74,l12815,1956r58,-9l12926,1939r53,-14l13033,1908r49,-23l13135,1863r49,-31l13091,1667r-80,40l12971,1725r-45,14l12886,1752r-44,9l12798,1765r-45,4l12700,1765r-49,-4l12602,1747r-44,-17l12518,1712r-35,-22l12447,1659r-36,-27l12385,1596r-27,-35l12336,1521r-18,-40l12305,1436r-9,-49l12287,1343r,-49l12287,1245r9,-49l12305,1152r13,-45l12336,1067r22,-40l12385,991r26,-35l12447,925r36,-27l12518,876r40,-22l12602,840r49,-13l12700,818r53,l12798,818r44,9l12886,836r40,9l12971,863r40,18l13091,920r93,-169l13135,725r-53,-27l13033,680r-54,-17l12926,645r-53,-9l12815,632r-58,-5l12683,632r-67,8l12550,658r-67,18l12425,703r-58,31l12318,769r-49,44l12229,858r-40,49l12158,965r-27,58l12109,1085r-18,67l12082,1218r,76xm14642,1285r,l14637,1218r-4,-66l14620,1085r-13,-58l14585,969r-27,-53l14527,863r-32,-45l14456,778r-45,-40l14362,707r-53,-27l14246,658r-62,-18l14117,632r-75,-5l13971,632r-67,8l13842,658r-62,18l13726,703r-53,31l13624,769r-44,44l13544,858r-35,49l13477,965r-26,58l13433,1085r-14,67l13411,1223r-5,71l13411,1369r8,67l13433,1503r18,62l13477,1623r32,53l13544,1730r40,44l13629,1814r48,36l13731,1885r58,23l13851,1930r62,13l13984,1956r71,l14113,1956r53,-9l14215,1939r49,-9l14304,1912r45,-14l14384,1876r36,-22l14482,1810r54,-49l14580,1707r40,-48l14478,1530r-32,39l14411,1610r-40,40l14322,1685r-53,36l14238,1734r-31,9l14171,1756r-35,5l14095,1765r-44,4l14002,1765r-44,-4l13913,1752r-40,-13l13833,1721r-36,-23l13762,1676r-31,-31l13704,1618r-27,-35l13660,1547r-22,-40l13624,1463r-9,-45l13606,1369r,-49l14642,1320r,-35xm13611,1169r,l13619,1129r10,-40l13642,1049r18,-35l13677,983r23,-31l13726,925r27,-22l13780,881r31,-18l13842,845r36,-13l13913,823r40,-10l13989,809r40,l14073,809r44,9l14153,823r40,13l14224,849r36,14l14287,885r26,22l14336,929r22,27l14375,987r18,31l14407,1054r8,35l14424,1129r5,40l13611,1169xm14971,1917r196,l15167,1294r,-62l15171,1178r9,-53l15189,1081r13,-45l15220,1000r18,-35l15260,934r22,-27l15309,885r26,-18l15362,849r36,-13l15429,832r35,-5l15500,823r36,l15567,827r31,9l15629,845r26,13l15678,871r22,18l15718,912r18,26l15749,961r13,30l15776,1023r4,35l15789,1098r5,80l15794,1917r191,l15985,1267r4,-57l15994,1156r8,-49l16011,1063r14,-40l16043,987r17,-35l16082,925r22,-22l16131,881r27,-18l16189,849r31,-13l16251,827r36,-4l16323,823r35,l16389,827r31,9l16447,845r27,9l16496,867r22,18l16536,903r18,22l16567,947r13,27l16594,1005r4,31l16607,1067r4,76l16611,1917r191,l16802,1139r,-68l16798,1010r-13,-58l16772,903r-18,-49l16731,813r-22,-35l16678,742r-27,-26l16616,694r-36,-23l16545,658r-40,-13l16465,636r-45,-4l16380,627r-66,5l16247,645r-58,22l16131,694r-27,18l16078,734r-22,22l16033,783r-17,26l15998,840r-18,31l15967,907r-9,l15931,840r-35,-57l15856,734r-49,-36l15754,667r-58,-22l15633,632r-71,-5l15496,632r-63,13l15376,667r-54,27l15273,729r-40,49l15202,832r-31,62l15167,894r,-223l14971,671r,1246xm18354,1285r,l18354,1218r-9,-66l18336,1085r-18,-58l18301,969r-27,-53l18243,863r-35,-45l18172,778r-45,-40l18078,707r-57,-27l17963,658r-62,-18l17830,632r-72,-5l17687,632r-67,8l17558,658r-62,18l17443,703r-53,31l17341,769r-45,44l17256,858r-31,49l17194,965r-27,58l17149,1085r-13,67l17127,1223r-5,71l17127,1369r9,67l17149,1503r18,62l17194,1623r31,53l17261,1730r39,44l17345,1814r49,36l17447,1885r53,23l17563,1930r66,13l17696,1956r76,l17825,1956r58,-9l17932,1939r44,-9l18021,1912r40,-14l18101,1876r35,-22l18198,1810r54,-49l18296,1707r40,-48l18194,1530r-31,39l18127,1610r-39,40l18038,1685r-53,36l17954,1734r-31,9l17887,1756r-40,5l17812,1765r-45,4l17718,1765r-44,-4l17629,1752r-39,-13l17549,1721r-35,-23l17478,1676r-31,-31l17420,1618r-26,-35l17371,1547r-17,-40l17341,1463r-9,-45l17323,1369r-5,-49l18354,1320r,-35xm17327,1169r,l17336,1129r9,-40l17358,1049r18,-35l17394,983r22,-31l17438,925r27,-22l17496,881r31,-18l17558,845r36,-13l17629,823r36,-10l17705,809r40,l17790,809r40,9l17869,823r36,13l17940,849r32,14l18003,885r27,22l18052,929r22,27l18092,987r18,31l18123,1054r9,35l18140,1129r5,40l17327,1169xm19812,1156r,l19808,1089r-5,-62l19790,969r-14,-53l19754,867r-22,-40l19705,787r-30,-36l19643,725r-35,-27l19568,676r-45,-18l19478,645r-44,-9l19385,632r-53,-5l19256,632r-71,17l19119,671r-58,32l19007,742r-49,49l18919,845r-32,67l18883,912r,-241l18687,671r,1246l18883,1917r,-574l18883,1272r9,-62l18901,1152r13,-54l18932,1049r18,-44l18977,969r26,-31l19030,907r31,-22l19092,867r36,-18l19163,836r40,-4l19243,827r40,-4l19319,823r35,4l19385,836r32,9l19448,858r26,13l19501,889r22,18l19546,934r17,27l19577,987r13,36l19603,1058r5,40l19612,1139r5,48l19617,1917r195,l19812,1156xm20803,836r,-165l20528,671r,-502l20332,169r,502l20092,671r,165l20332,836r,774l20332,1650r5,35l20346,1716r8,27l20368,1774r13,22l20399,1823r18,18l20439,1859r22,17l20488,1890r27,8l20546,1908r31,9l20648,1921r102,l20750,1739r-67,l20648,1734r-31,-4l20590,1716r-22,-18l20550,1676r-13,-31l20528,1614r,-40l20528,836r275,xm,3926r,l5,4033r13,102l44,4233r32,93l115,4415r45,80l218,4571r62,66l351,4700r76,53l507,4802r93,35l693,4869r103,22l898,4908r111,5l1111,4908r93,-13l1294,4877r84,-22l1458,4824r71,-35l1601,4744r71,-44l1543,4517r-54,36l1436,4588r-58,32l1311,4646r-66,23l1169,4686r-80,9l1005,4700r-85,-5l840,4686r-75,-17l693,4646r-71,-31l560,4575r-62,-40l444,4486r-48,-53l356,4375r-41,-67l285,4242r-23,-71l244,4091r-13,-81l227,3926r4,-84l244,3762r18,-81l285,3610r30,-66l356,3477r40,-58l444,3366r54,-49l560,3272r62,-35l693,3206r72,-23l840,3166r80,-14l1005,3152r84,5l1169,3166r76,17l1311,3206r67,26l1436,3264r53,35l1543,3335r129,-183l1601,3108r-72,-44l1458,3028r-80,-31l1294,2974r-90,-17l1111,2944r-102,-5l898,2944r-102,13l693,2979r-93,31l507,3050r-80,49l351,3152r-71,63l218,3281r-58,76l115,3437r-39,89l44,3619r-26,98l5,3819,,3926xm3188,4246r,l3183,4175r-9,-67l3156,4042r-22,-63l3107,3922r-31,-54l3036,3815r-40,-44l2947,3730r-49,-40l2841,3659r-58,-27l2720,3610r-66,-13l2583,3588r-71,-4l2441,3588r-71,9l2303,3610r-62,22l2183,3659r-54,31l2076,3730r-49,41l1987,3815r-40,53l1916,3922r-27,57l1867,4042r-17,66l1840,4175r-4,71l1840,4317r10,71l1867,4450r22,63l1916,4571r31,57l1987,4677r40,45l2076,4766r53,36l2183,4833r58,27l2303,4882r67,18l2441,4908r71,5l2583,4908r71,-8l2720,4882r63,-22l2841,4833r57,-31l2947,4766r49,-44l3036,4677r40,-49l3107,4571r27,-58l3156,4450r18,-62l3183,4317r5,-71xm2041,4246r,l2045,4193r4,-49l2063,4099r13,-49l2098,4010r23,-39l2147,3935r27,-31l2209,3872r36,-22l2285,3828r40,-18l2370,3793r44,-9l2463,3775r49,l2561,3775r48,9l2654,3793r44,17l2739,3828r39,22l2814,3872r35,32l2876,3935r27,36l2925,4010r22,40l2961,4099r13,45l2978,4193r5,53l2978,4299r-4,50l2961,4397r-14,45l2925,4482r-22,40l2876,4557r-27,31l2814,4620r-36,26l2739,4669r-41,17l2654,4700r-45,13l2561,4717r-49,l2463,4717r-49,-4l2370,4700r-45,-14l2285,4669r-40,-23l2209,4620r-35,-32l2147,4557r-26,-35l2098,4482r-22,-40l2063,4397r-14,-48l2045,4299r-4,-53xm4570,4113r,l4565,4046r-4,-62l4548,3926r-14,-54l4512,3823r-22,-44l4463,3739r-31,-31l4401,3677r-36,-27l4325,3628r-44,-13l4236,3601r-44,-13l4143,3584r-53,l4014,3588r-71,13l3876,3623r-58,32l3765,3695r-44,49l3681,3801r-36,63l3641,3864r,-241l3445,3623r,1250l3641,4873r,-578l3641,4224r9,-62l3659,4104r13,-54l3689,4001r23,-39l3734,3922r27,-31l3787,3864r31,-27l3854,3819r32,-18l3921,3793r40,-9l4001,3779r40,l4077,3779r35,5l4143,3788r31,9l4206,3810r26,13l4258,3842r23,22l4303,3886r18,27l4334,3944r14,31l4361,4010r4,40l4374,4095r,44l4374,4873r196,l4570,4113xm4885,4246r,l4890,4322r9,71l4912,4464r22,62l4961,4584r31,53l5028,4691r40,44l5112,4775r44,36l5210,4842r53,22l5321,4886r58,14l5441,4908r62,5l5588,4908r75,-17l5730,4869r62,-32l5850,4802r49,-45l5939,4704r35,-54l5983,4650r,219l6174,4869r,-1890l5983,2979r,867l5974,3846r-35,-58l5899,3739r-49,-44l5792,3655r-62,-32l5663,3601r-75,-13l5503,3584r-62,l5379,3593r-58,17l5263,3628r-53,27l5156,3686r-44,36l5068,3762r-40,44l4992,3855r-31,53l4934,3971r-22,62l4899,4099r-9,72l4885,4246xm5993,4246r,l5993,4299r-10,50l5974,4393r-13,44l5944,4477r-22,40l5899,4553r-31,35l5837,4615r-31,27l5766,4664r-41,22l5686,4700r-45,8l5592,4717r-48,l5490,4717r-44,-9l5401,4700r-44,-14l5317,4664r-36,-22l5246,4615r-32,-27l5188,4553r-27,-36l5139,4477r-18,-40l5108,4393r-9,-44l5095,4299r-5,-53l5095,4197r4,-49l5108,4099r13,-44l5139,4015r22,-40l5188,3939r26,-31l5246,3877r35,-27l5317,3828r40,-18l5401,3793r45,-9l5490,3775r54,l5592,3775r49,9l5686,3793r39,17l5766,3828r40,22l5837,3877r31,31l5899,3939r23,36l5944,4015r17,40l5974,4099r9,49l5993,4197r,49xm6588,4375r,l6592,4446r5,62l6610,4566r14,58l6646,4669r22,44l6695,4753r31,36l6757,4820r35,22l6833,4864r39,18l6913,4895r44,9l7006,4908r44,5l7095,4908r40,-4l7175,4900r36,-9l7241,4877r32,-13l7304,4846r27,-18l7375,4789r40,-49l7451,4691r26,-54l7482,4637r,232l7677,4869r,-1246l7482,3623r,565l7482,4259r-9,67l7464,4384r-13,58l7437,4491r-22,40l7397,4571r-27,35l7344,4633r-32,27l7282,4677r-32,18l7215,4708r-36,9l7139,4722r-40,l7037,4717r-31,-4l6975,4700r-27,-9l6921,4677r-26,-17l6872,4637r-17,-22l6837,4588r-13,-26l6810,4526r-13,-35l6792,4455r-4,-44l6784,4366r,-743l6588,3623r,752xm8006,4246r,l8010,4322r9,66l8037,4455r18,62l8086,4575r31,58l8153,4682r44,44l8242,4771r53,35l8349,4837r62,27l8473,4882r67,18l8611,4908r75,5l8744,4908r58,-4l8855,4895r53,-18l8962,4864r49,-22l9060,4815r53,-26l9015,4620r-80,44l8895,4677r-40,18l8815,4704r-44,9l8727,4722r-49,l8628,4722r-49,-9l8530,4700r-44,-14l8446,4664r-40,-22l8371,4615r-32,-31l8313,4549r-27,-36l8264,4473r-18,-40l8233,4388r-13,-44l8215,4295r-5,-49l8215,4197r5,-44l8233,4104r13,-45l8264,4020r22,-41l8313,3944r26,-36l8371,3881r35,-31l8446,3828r40,-18l8530,3793r49,-9l8628,3775r50,-4l8727,3775r44,4l8815,3788r40,13l8895,3815r40,18l9015,3872r98,-164l9060,3677r-49,-22l8962,3632r-54,-17l8855,3601r-53,-8l8744,3584r-58,l8611,3588r-71,9l8473,3610r-62,22l8349,3659r-54,31l8242,3726r-45,40l8153,3810r-36,54l8086,3917r-31,58l8037,4037r-18,67l8010,4175r-4,71xm10011,3793r,-170l9735,3623r,-497l9540,3126r,497l9300,3623r,170l9540,3793r,773l9540,4602r4,35l9553,4669r9,31l9575,4726r14,27l9606,4775r18,23l9646,4815r23,13l9696,4842r26,13l9753,4864r31,5l9855,4873r103,l9958,4691r-67,l9855,4691r-31,-9l9797,4669r-22,-19l9758,4628r-13,-26l9735,4566r,-40l9735,3793r276,xm11051,3926r,l11056,4033r13,102l11091,4233r31,93l11162,4415r49,80l11264,4571r63,66l11398,4700r76,53l11558,4802r89,35l11740,4869r103,22l11949,4908r111,5l12163,4908r93,-13l12345,4877r80,-22l12505,4824r75,-35l12651,4744r66,-44l12594,4517r-54,36l12487,4588r-62,32l12363,4646r-71,23l12220,4686r-80,9l12056,4700r-84,-5l11891,4686r-80,-17l11740,4646r-66,-31l11607,4575r-58,-40l11496,4486r-49,-53l11403,4375r-36,-67l11336,4242r-27,-71l11291,4091r-8,-81l11278,3926r5,-84l11291,3762r18,-81l11336,3610r31,-66l11403,3477r44,-58l11496,3366r53,-49l11607,3272r67,-35l11740,3206r71,-23l11891,3166r81,-14l12056,3152r84,5l12220,3166r72,17l12363,3206r62,26l12487,3264r53,35l12594,3335r123,-183l12651,3108r-71,-44l12505,3028r-80,-31l12345,2974r-89,-17l12163,2944r-103,-5l11949,2944r-106,13l11740,2979r-93,31l11558,3050r-84,49l11398,3152r-71,63l11264,3281r-53,76l11162,3437r-40,89l11091,3619r-22,98l11056,3819r-5,107xm14233,4246r,l14233,4175r-13,-67l14207,4042r-23,-63l14158,3922r-36,-54l14087,3815r-45,-44l13997,3730r-53,-40l13891,3659r-62,-27l13767,3610r-67,-13l13633,3588r-76,-4l13486,3588r-67,9l13353,3610r-62,22l13233,3659r-58,31l13122,3730r-45,41l13033,3815r-35,53l12962,3922r-27,57l12913,4042r-14,66l12886,4175r,71l12886,4317r13,71l12913,4450r22,63l12962,4571r36,57l13033,4677r44,45l13122,4766r53,36l13233,4833r58,27l13353,4882r66,18l13486,4908r71,5l13633,4908r67,-8l13767,4882r62,-22l13891,4833r53,-31l13997,4766r45,-44l14087,4677r35,-49l14158,4571r26,-58l14207,4450r13,-62l14233,4317r,-71xm13091,4246r,l13091,4193r8,-49l13108,4099r18,-49l13144,4010r22,-39l13193,3935r31,-31l13255,3872r36,-22l13331,3828r40,-18l13415,3793r49,-9l13509,3775r48,l13611,3775r44,9l13704,3793r44,17l13789,3828r40,22l13864,3872r31,32l13926,3935r27,36l13975,4010r18,40l14011,4099r9,45l14029,4193r,53l14029,4299r-9,50l14011,4397r-18,45l13975,4482r-22,40l13926,4557r-31,31l13864,4620r-35,26l13789,4669r-41,17l13704,4700r-49,13l13611,4717r-54,l13509,4717r-45,-4l13415,4700r-44,-14l13331,4669r-40,-23l13255,4620r-31,-32l13193,4557r-27,-35l13144,4482r-18,-40l13108,4397r-9,-48l13091,4299r,-53xm14566,4873r196,l14762,4246r,-58l14766,4130r10,-48l14785,4033r13,-40l14815,3952r19,-35l14851,3886r27,-27l14900,3837r27,-18l14958,3806r31,-13l15025,3784r35,-5l15096,3779r35,l15162,3784r31,4l15220,3801r27,9l15273,3828r18,18l15313,3868r18,23l15345,3917r13,27l15367,3979r9,31l15380,4050r4,85l15384,4873r196,l15580,4220r,-58l15589,4108r4,-49l15607,4015r13,-40l15633,3939r22,-31l15674,3877r26,-22l15727,3833r27,-18l15780,3801r36,-8l15847,3784r35,-5l15918,3779r35,l15985,3784r31,4l16043,3797r26,13l16091,3823r23,14l16131,3859r18,18l16162,3904r14,26l16185,3957r9,31l16198,4024r4,71l16202,4873r196,l16398,4091r,-67l16389,3962r-9,-54l16367,3855r-22,-45l16327,3766r-27,-36l16274,3699r-31,-31l16211,3646r-35,-18l16136,3610r-36,-13l16056,3588r-40,-4l15971,3584r-67,4l15842,3597r-62,22l15727,3650r-27,18l15674,3686r-23,27l15629,3735r-22,27l15589,3793r-18,30l15558,3859r-4,l15522,3793r-35,-58l15447,3690r-45,-40l15349,3619r-58,-18l15229,3588r-71,-4l15086,3588r-61,13l14967,3619r-49,31l14869,3686r-40,44l14793,3784r-27,62l14762,3846r,-223l14566,3623r,1250xm16802,4873r196,l16998,4246r,-58l17003,4130r9,-48l17020,4033r14,-40l17051,3952r19,-35l17087,3886r27,-27l17136,3837r31,-18l17194,3806r31,-13l17261,3784r35,-5l17332,3779r35,l17398,3784r31,4l17456,3801r27,9l17510,3828r22,18l17549,3868r18,23l17581,3917r13,27l17603,3979r9,31l17620,4050r5,85l17625,4873r191,l17816,4220r4,-58l17825,4108r5,-49l17843,4015r13,-40l17874,3939r18,-31l17914,3877r22,-22l17963,3833r26,-18l18021,3801r31,-8l18083,3784r35,-5l18154,3779r35,l18221,3784r31,4l18279,3797r26,13l18327,3823r23,14l18367,3859r18,18l18399,3904r13,26l18421,3957r9,31l18434,4024r9,71l18443,4873r191,l18634,4091r,-67l18625,3962r-9,-54l18603,3855r-18,-45l18563,3766r-27,-36l18510,3699r-31,-31l18447,3646r-35,-18l18376,3610r-40,-13l18296,3588r-44,-4l18208,3584r-68,4l18078,3597r-62,22l17963,3650r-27,18l17910,3686r-23,27l17865,3735r-22,27l17825,3793r-13,30l17794,3859r-4,l17758,3793r-31,-58l17683,3690r-44,-40l17585,3619r-58,-18l17465,3588r-71,-4l17327,3588r-66,13l17203,3619r-49,31l17105,3686r-40,44l17029,3784r-26,62l16998,3846r,-223l16802,3623r,1250xm19332,3006r-245,l19087,3330r245,l19332,3006xm19114,4873r196,l19310,3623r-196,l19114,4873xm19608,4766r,l19661,4798r58,26l19781,4851r67,22l19914,4891r67,9l20052,4908r72,5l20176,4908r49,-4l20270,4900r45,-9l20354,4877r41,-17l20430,4842r31,-18l20488,4798r27,-27l20537,4744r17,-31l20568,4677r13,-40l20586,4598r,-45l20581,4491r-13,-54l20546,4384r-31,-44l20474,4299r-44,-35l20377,4233r-58,-27l20092,4099r-40,-22l20012,4055r-27,-18l19959,4015r-18,-22l19928,3966r-9,-27l19914,3908r5,-31l19928,3846r18,-23l19972,3801r31,-13l20039,3775r44,-4l20132,3766r44,5l20221,3775r45,4l20310,3793r85,26l20474,3855r85,-174l20457,3642r-49,-19l20354,3610r-53,-13l20248,3588r-58,-4l20137,3584r-49,l20043,3588r-44,9l19959,3606r-36,9l19888,3632r-32,18l19826,3668r-27,22l19776,3717r-22,27l19737,3775r-14,31l19714,3842r-4,35l19705,3917r5,54l19723,4024r23,49l19776,4117r36,40l19861,4197r53,36l19976,4264r232,111l20248,4397r35,18l20315,4437r22,22l20354,4482r14,26l20377,4535r4,27l20377,4598r-14,30l20346,4660r-27,22l20283,4700r-39,17l20190,4726r-58,l20074,4726r-57,-9l19959,4708r-54,-17l19852,4673r-53,-27l19750,4620r-49,-27l19608,4766xm20777,4766r,l20830,4798r58,26l20950,4851r67,22l21084,4891r66,9l21221,4908r71,5l21341,4908r49,-4l21439,4900r45,-9l21524,4877r40,-17l21595,4842r35,-18l21657,4798r27,-27l21706,4744r18,-31l21737,4677r9,-40l21755,4598r,-45l21750,4491r-13,-54l21715,4384r-31,-44l21643,4299r-44,-35l21546,4233r-58,-27l21261,4099r-44,-22l21181,4055r-31,-18l21128,4015r-22,-22l21092,3966r-4,-27l21084,3908r4,-31l21097,3846r18,-23l21137,3801r31,-13l21208,3775r40,-4l21301,3766r45,5l21390,3775r45,4l21479,3793r85,26l21643,3855r81,-174l21626,3642r-54,-19l21519,3610r-53,-13l21413,3588r-54,-4l21306,3584r-49,l21213,3588r-45,9l21128,3606r-36,9l21057,3632r-36,18l20994,3668r-26,22l20941,3717r-18,27l20906,3775r-13,31l20884,3842r-5,35l20874,3917r5,54l20893,4024r22,49l20941,4117r40,40l21026,4197r58,36l21146,4264r231,111l21417,4397r35,18l21479,4437r27,22l21524,4482r13,26l21546,4535r,27l21546,4598r-13,30l21514,4660r-26,22l21452,4700r-44,17l21359,4726r-58,l21239,4726r-53,-9l21128,4708r-53,-17l21021,4673r-53,-27l20919,4620r-49,-27l20777,4766xm22359,3006r-244,l22115,3330r244,l22359,3006xm22141,4873r192,l22333,3623r-192,l22141,4873xm23947,4246r,l23942,4175r-9,-67l23915,4042r-17,-63l23866,3922r-31,-54l23799,3815r-44,-44l23706,3730r-49,-40l23600,3659r-58,-27l23479,3610r-66,-13l23342,3588r-71,-4l23200,3588r-72,9l23066,3610r-66,22l22942,3659r-54,31l22835,3730r-49,41l22746,3815r-40,53l22675,3922r-27,57l22626,4042r-18,66l22600,4175r-5,71l22600,4317r8,71l22626,4450r22,63l22675,4571r31,57l22746,4677r40,45l22835,4766r53,36l22942,4833r58,27l23066,4882r62,18l23200,4908r71,5l23342,4908r71,-8l23479,4882r63,-22l23600,4833r57,-31l23706,4766r49,-44l23799,4677r36,-49l23866,4571r32,-58l23915,4450r18,-62l23942,4317r5,-71xm22800,4246r,l22804,4193r4,-49l22822,4099r13,-49l22857,4010r23,-39l22906,3935r27,-31l22968,3872r36,-22l23044,3828r40,-18l23128,3793r45,-9l23222,3775r49,l23320,3775r49,9l23413,3793r44,17l23502,3828r35,22l23573,3872r35,32l23635,3935r27,36l23684,4010r22,40l23720,4099r13,45l23737,4193r5,53l23737,4299r-4,50l23720,4397r-14,45l23684,4482r-22,40l23635,4557r-27,31l23573,4620r-36,26l23502,4669r-45,17l23413,4700r-44,13l23320,4717r-49,l23222,4717r-49,-4l23128,4700r-44,-14l23044,4669r-40,-23l22968,4620r-35,-32l22906,4557r-26,-35l22857,4482r-22,-40l22822,4397r-14,-48l22804,4299r-4,-53xm25400,4113r,l25395,4046r-4,-62l25378,3926r-14,-54l25347,3823r-27,-44l25293,3739r-27,-31l25231,3677r-36,-27l25156,3628r-41,-13l25071,3601r-49,-13l24973,3584r-49,l24844,3588r-71,13l24711,3623r-62,32l24595,3695r-44,49l24511,3801r-36,63l24471,3864r,-241l24275,3623r,1250l24471,4873r,-578l24475,4224r5,-62l24489,4104r13,-54l24520,4001r22,-39l24564,3922r27,-31l24618,3864r31,-27l24684,3819r36,-18l24755,3793r36,-9l24831,3779r40,l24907,3779r35,5l24978,3788r31,9l25036,3810r30,13l25089,3842r22,22l25133,3886r18,27l25169,3944r13,31l25191,4010r9,40l25204,4095r,44l25204,4873r196,l25400,4113xe" filled="f" stroked="f" strokecolor="gray">
                      <v:stroke joinstyle="bevel"/>
                      <v:path o:connecttype="custom" o:connectlocs="323715455,108276447;271879296,228597887;318013280,127833679;1076113553,101930235;1025962488,106592545;1181599840,8030115;1299656112,85222213;1407345153,202176568;1384278341,187152448;1494948064,99598900;1617669392,247119009;1594602580,149204012;1575552850,124984110;1738965537,185986780;1808814307,228080012;1854818696,117472229;2044926851,137029101;2147483646,138713003;1985574908,89884883;2147483646,167595216;2147483646,229116121;2147483646,109959990;2147483646,248284677;2147483646,21888567;14902693,571818433;36933106,549411991;103153579,382982443;252311186,500972547;265011126,543065779;360000587,601737114;520173401,464707653;563456297,514831000;769633859,490611097;718445675,610932897;764450064,510168329;969590867,469240765;1043845864,585029452;1068597409,574149768;1098014371,467557223;1281772737,607565452;1602118724,601737114;1602118724,415232100;1806999978,477918672;1775380263,634634564;1808166332,514312765;1913004645,549930226;2025877121,510168329;2086395778,465873321;2147483646,549930226;2147483646,506153452;2147483646,464707653;2147483646,389328656;2147483646,530891229;2147483646,477918672;2147483646,598369670;2147483646,522861114;2147483646,488927555;2147483646,389328656;2147483646,540734444;2147483646,514312765;2147483646,610932897;2147483646,484912678;2147483646,631137561" o:connectangles="0,0,0,0,0,0,0,0,0,0,0,0,0,0,0,0,0,0,0,0,0,0,0,0,0,0,0,0,0,0,0,0,0,0,0,0,0,0,0,0,0,0,0,0,0,0,0,0,0,0,0,0,0,0,0,0,0,0,0,0,0,0,0"/>
                    </v:shape>
                    <v:shape id="Freeform 8" o:spid="_x0000_s1028" style="position:absolute;left:174;width:73196;height:23094;visibility:visible;mso-wrap-style:square;v-text-anchor:middle" coordsize="7319603,230945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" path="m1695450,49213r1301425,l2996875,279544r-1045100,l1951775,914753r961578,l2913353,1143284r-961578,l1951775,2031498r1060940,l3012715,2261828r-1317265,l1695450,49213xm,49213r253089,l253089,2028258r1072114,l1325203,2261828,,2261828,,49213xm6548213,r60833,1800l6666639,4680r56154,5040l6777146,17640r52554,9721l6880814,38521r50034,12600l6978723,67322r46434,15840l7069792,102602r44995,20521l7157982,145803r41395,23761l7239333,195125r41755,25920l7319603,249486,7170581,462611r-28797,-22321l7111547,419410r-32036,-20881l7046035,379449r-33836,-19441l6977283,342368r-37076,-15840l6901692,310687r-39596,-14760l6821781,283327r-43195,-9721l6733951,264246r-44995,-7920l6641082,251286r-47874,-3240l6541734,246606r-49675,1440l6444185,251286r-47874,5040l6349876,264246r-46435,9360l6260246,284767r-44994,12960l6173856,312127r-39955,17641l6093586,348848r-38156,20881l6018714,392409r-35276,23761l5949962,441730r-32396,27361l5885890,497892r-28797,30240l5828297,560173r-25917,33481l5778622,628935r-22677,36720l5735427,704176r-19077,40321l5698712,784458r-16199,42841l5669915,870860r-11519,43201l5649037,960502r-8279,46081l5636079,1054824r-3240,49682l5631399,1154187r1440,51121l5636079,1254989r4679,47881l5649037,1349311r9359,45001l5669915,1438953r12598,43201l5698712,1525355r17638,39961l5735427,1605277r20518,38521l5778622,1680519r23758,35281l5828297,1749280r28796,32401l5885890,1811922r31676,28800l5949962,1868083r33476,25561l6018714,1917764r36716,22321l6093586,1960965r40315,19081l6173856,1997686r41396,14400l6260246,2024687r43195,11160l6349876,2045567r46435,8280l6444185,2058527r47874,3240l6541734,2063208r51474,-1441l6641082,2058527r47874,-4680l6733951,2045567r44635,-9720l6821781,2026487r40315,-12961l6901692,1999126r38515,-15840l6977283,1967085r34916,-17640l7046035,1930364r33476,-19440l7111547,1890404r30237,-20881l7170581,1847203r149022,212764l7281088,2087328r-41755,27001l7199377,2139889r-41395,24121l7114787,2186330r-44995,20881l7025157,2226291r-46434,16201l6930848,2258692r-50034,12600l6829700,2282452r-52554,9721l6722793,2299733r-56154,5040l6609046,2307653r-60833,1800l6482700,2307653r-64072,-2880l6354555,2296493r-60833,-7560l6234689,2275972r-59393,-14400l6119503,2245732r-54354,-19441l6012235,2203971r-52914,-23761l5909647,2154290r-46435,-28441l5816778,2095248r-44635,-33481l5730388,2026487r-39596,-36721l5653717,1951245r-36716,-41761l5584965,1866283r-32037,-44641l5524132,1775201r-27357,-48241l5473018,1677279r-22678,-52562l5431263,1571796r-17638,-56161l5399226,1459834r-12598,-57602l5376909,1341391r-6479,-60841l5367190,1217908r-1440,-63721l5367190,1091545r3240,-62281l5376909,968422r9719,-60841l5399226,849980r14399,-56162l5431263,738017r19077,-52921l5473018,632175r23757,-49682l5524132,534612r28796,-46441l5584965,443530r32036,-43201l5653717,358568r37075,-38521l5730388,283327r41755,-35281l5816778,214565r46434,-30601l5909647,155164r49674,-25561l6012235,105482r52914,-22320l6119503,64082r55793,-15841l6234689,33481r59033,-12601l6354555,12960r64073,-8280l6482700,1800,6548213,xm4453020,r60848,1800l4571116,4680r55808,5040l4681652,17640r52568,9721l4785707,38521r49327,12600l4883281,67322r46447,15840l4974374,102602r45007,20521l5062587,145803r41406,23761l5145759,195125r39965,25920l5225690,249486,5076989,462611r-30605,-22321l5016140,419410r-32044,-20881l4952051,379449r-35285,-19441l4881481,342368r-36725,-15840l4806230,310687r-38165,-14760l4726299,283327r-43207,-9721l4639886,264246r-46446,-7920l4547353,251286r-49687,-3240l4446539,246606r-49688,1440l4348965,251286r-47887,5040l4254631,264246r-45006,9360l4164978,284767r-43206,12960l4080006,312127r-41766,17641l3998634,348848r-37085,20881l3924824,392409r-36725,23761l3854254,441730r-32045,27361l3791965,497892r-30604,30240l3734357,560173r-25564,33481l3683229,628935r-22323,36720l3640023,704176r-19443,40321l3602938,784458r-14042,42841l3574134,870860r-10802,43201l3553611,960502r-8281,46081l3540649,1054824r-3241,49682l3535968,1154187r1440,51121l3540649,1254989r4681,47881l3553611,1349311r9721,45001l3574134,1438953r14762,43201l3602938,1525355r17642,39961l3640023,1605277r20883,38521l3683229,1680519r25564,35281l3734357,1749280r27004,32401l3791965,1811922r30244,28800l3854254,1868083r33845,25561l3924824,1917764r36725,22321l3998634,1960965r39606,19081l4080006,1997686r41766,14400l4164978,2024687r44647,11160l4254631,2045567r46447,8280l4348965,2058527r47886,3240l4446539,2063208r51127,-1441l4547353,2058527r46087,-4680l4639886,2045567r43206,-9720l4726299,2026487r41766,-12961l4806230,1999126r38526,-15840l4881481,1967085r35285,-17640l4952051,1930364r32045,-19440l5016140,1890404r30244,-20881l5076989,1847203r148701,212764l5185724,2087328r-39965,27001l5103993,2139889r-41406,24121l5019381,2186330r-45007,20881l4929728,2226291r-46447,16201l4835034,2258692r-49327,12600l4734220,2282452r-52568,9721l4626924,2299733r-55808,5040l4513868,2307653r-60848,1800l4387490,2307653r-64089,-2880l4260752,2296493r-60849,-7560l4139415,2275972r-57969,-14400l4024198,2245732r-54728,-19441l3916903,2203971r-51128,-23761l3816088,2154290r-47886,-28441l3721755,2095248r-43206,-33481l3636783,2026487r-39966,-36721l3558291,1951245r-35285,-41761l3489522,1866283r-32045,-44641l3428673,1775201r-27004,-48241l3377545,1677279r-22322,-52562l3335780,1571796r-17643,-56161l3303735,1459834r-11162,-57602l3282852,1341391r-6121,-60841l3271690,1217908r-1440,-63721l3271690,1091545r5041,-62281l3282852,968422r9721,-60841l3303735,849980r14402,-56162l3335780,738017r19443,-52921l3377545,632175r24124,-49682l3428673,534612r28804,-46441l3489522,443530r33484,-43201l3558291,358568r38526,-38521l3636783,283327r41766,-35281l3721755,214565r46447,-30601l3816088,155164r49687,-25561l3916903,105482r52567,-22320l4024198,64082r57248,-15841l4139415,33481r60488,-12601l4260752,12960r62649,-8280l4387490,1800,4453020,xe" filled="f" stroked="f" strokecolor="gray"/>
                    <w10:wrap anchorx="margin" anchory="page"/>
                    <w10:anchorlock/>
                  </v:group>
                </w:pict>
              </mc:Fallback>
            </mc:AlternateContent>
          </w:r>
          <w:r w:rsidR="007B5712" w:rsidRPr="004A3983">
            <w:rPr>
              <w:noProof/>
              <w:sz w:val="48"/>
              <w:lang w:eastAsia="en-AU"/>
            </w:rPr>
            <mc:AlternateContent>
              <mc:Choice Requires="wps">
                <w:drawing>
                  <wp:anchor distT="0" distB="0" distL="114300" distR="114300" simplePos="0" relativeHeight="251658242" behindDoc="0" locked="1" layoutInCell="1" allowOverlap="1" wp14:anchorId="10D5014B" wp14:editId="1BC5F013">
                    <wp:simplePos x="0" y="0"/>
                    <wp:positionH relativeFrom="page">
                      <wp:posOffset>281940</wp:posOffset>
                    </wp:positionH>
                    <wp:positionV relativeFrom="page">
                      <wp:posOffset>1236345</wp:posOffset>
                    </wp:positionV>
                    <wp:extent cx="6427470" cy="5795645"/>
                    <wp:effectExtent l="0" t="0" r="0" b="0"/>
                    <wp:wrapTopAndBottom/>
                    <wp:docPr id="43" name="Text Box 43"/>
                    <wp:cNvGraphicFramePr/>
                    <a:graphic xmlns:a="http://schemas.openxmlformats.org/drawingml/2006/main">
                      <a:graphicData uri="http://schemas.microsoft.com/office/word/2010/wordprocessingShape">
                        <wps:wsp>
                          <wps:cNvSpPr txBox="1"/>
                          <wps:spPr>
                            <a:xfrm>
                              <a:off x="0" y="0"/>
                              <a:ext cx="6427470" cy="5795645"/>
                            </a:xfrm>
                            <a:prstGeom prst="rect">
                              <a:avLst/>
                            </a:prstGeom>
                            <a:noFill/>
                            <a:ln w="6350">
                              <a:noFill/>
                            </a:ln>
                          </wps:spPr>
                          <wps:txbx>
                            <w:txbxContent>
                              <w:p w14:paraId="32CB3773" w14:textId="77777777" w:rsidR="0042789D" w:rsidRPr="00282424" w:rsidRDefault="0042789D" w:rsidP="00282424">
                                <w:pPr>
                                  <w:pStyle w:val="COVER1Title"/>
                                </w:pPr>
                                <w:r w:rsidRPr="00282424">
                                  <w:t>THE New South Wales Child protection register:</w:t>
                                </w:r>
                              </w:p>
                              <w:p w14:paraId="0999E1B1" w14:textId="24C88E52" w:rsidR="0042789D" w:rsidRPr="00282424" w:rsidRDefault="0042789D" w:rsidP="00282424">
                                <w:pPr>
                                  <w:pStyle w:val="COVER1Subtitle"/>
                                </w:pPr>
                                <w:r w:rsidRPr="00282424">
                                  <w:t xml:space="preserve">Operation Tusket Final Report </w:t>
                                </w:r>
                              </w:p>
                              <w:p w14:paraId="0037F51F" w14:textId="77777777" w:rsidR="0042789D" w:rsidRDefault="0042789D" w:rsidP="00282424">
                                <w:pPr>
                                  <w:pStyle w:val="COVER1Title"/>
                                  <w:rPr>
                                    <w:rStyle w:val="Bold"/>
                                    <w:sz w:val="72"/>
                                    <w:szCs w:val="72"/>
                                  </w:rPr>
                                </w:pPr>
                              </w:p>
                              <w:p w14:paraId="6F73EB9C" w14:textId="34F659FE" w:rsidR="0042789D" w:rsidRPr="00282424" w:rsidRDefault="0042789D" w:rsidP="00282424">
                                <w:pPr>
                                  <w:pStyle w:val="COVER1Date"/>
                                </w:pPr>
                                <w:r w:rsidRPr="00282424">
                                  <w:rPr>
                                    <w:rStyle w:val="Bold"/>
                                    <w:b/>
                                    <w:bCs w:val="0"/>
                                  </w:rPr>
                                  <w:t>2019</w:t>
                                </w:r>
                              </w:p>
                            </w:txbxContent>
                          </wps:txbx>
                          <wps:bodyPr rot="0" spcFirstLastPara="0" vertOverflow="overflow" horzOverflow="overflow" vert="horz" wrap="square" lIns="0" tIns="0" rIns="0" bIns="0" numCol="1" spcCol="0" rtlCol="0" fromWordArt="0" anchor="t" anchorCtr="0" forceAA="0" upright="1"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10D5014B" id="_x0000_t202" coordsize="21600,21600" o:spt="202" path="m,l,21600r21600,l21600,xe">
                    <v:stroke joinstyle="miter"/>
                    <v:path gradientshapeok="t" o:connecttype="rect"/>
                  </v:shapetype>
                  <v:shape id="Text Box 43" o:spid="_x0000_s1026" type="#_x0000_t202" style="position:absolute;margin-left:22.2pt;margin-top:97.35pt;width:506.1pt;height:456.35pt;z-index:25165824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" filled="f" stroked="f" strokeweight=".5pt">
                    <v:textbox style="mso-fit-shape-to-text:t" inset="0,0,0,0">
                      <w:txbxContent>
                        <w:p w14:paraId="32CB3773" w14:textId="77777777" w:rsidR="0042789D" w:rsidRPr="00282424" w:rsidRDefault="0042789D" w:rsidP="00282424">
                          <w:pPr>
                            <w:pStyle w:val="COVER1Title"/>
                          </w:pPr>
                          <w:r w:rsidRPr="00282424">
                            <w:t>THE New South Wales Child protection register:</w:t>
                          </w:r>
                        </w:p>
                        <w:p w14:paraId="0999E1B1" w14:textId="24C88E52" w:rsidR="0042789D" w:rsidRPr="00282424" w:rsidRDefault="0042789D" w:rsidP="00282424">
                          <w:pPr>
                            <w:pStyle w:val="COVER1Subtitle"/>
                          </w:pPr>
                          <w:r w:rsidRPr="00282424">
                            <w:t xml:space="preserve">Operation Tusket Final Report </w:t>
                          </w:r>
                        </w:p>
                        <w:p w14:paraId="0037F51F" w14:textId="77777777" w:rsidR="0042789D" w:rsidRDefault="0042789D" w:rsidP="00282424">
                          <w:pPr>
                            <w:pStyle w:val="COVER1Title"/>
                            <w:rPr>
                              <w:rStyle w:val="Bold"/>
                              <w:sz w:val="72"/>
                              <w:szCs w:val="72"/>
                            </w:rPr>
                          </w:pPr>
                        </w:p>
                        <w:p w14:paraId="6F73EB9C" w14:textId="34F659FE" w:rsidR="0042789D" w:rsidRPr="00282424" w:rsidRDefault="0042789D" w:rsidP="00282424">
                          <w:pPr>
                            <w:pStyle w:val="COVER1Date"/>
                          </w:pPr>
                          <w:r w:rsidRPr="00282424">
                            <w:rPr>
                              <w:rStyle w:val="Bold"/>
                              <w:b/>
                              <w:bCs w:val="0"/>
                            </w:rPr>
                            <w:t>2019</w:t>
                          </w:r>
                        </w:p>
                      </w:txbxContent>
                    </v:textbox>
                    <w10:wrap type="topAndBottom" anchorx="page" anchory="page"/>
                    <w10:anchorlock/>
                  </v:shape>
                </w:pict>
              </mc:Fallback>
            </mc:AlternateContent>
          </w:r>
          <w:r w:rsidR="007B5712" w:rsidRPr="004A3983">
            <w:rPr>
              <w:noProof/>
              <w:sz w:val="48"/>
              <w:lang w:eastAsia="en-AU"/>
            </w:rPr>
            <mc:AlternateContent>
              <mc:Choice Requires="wps">
                <w:drawing>
                  <wp:anchor distT="0" distB="0" distL="114300" distR="114300" simplePos="0" relativeHeight="251658241" behindDoc="1" locked="1" layoutInCell="1" allowOverlap="1" wp14:anchorId="38CBC000" wp14:editId="609D266C">
                    <wp:simplePos x="0" y="0"/>
                    <wp:positionH relativeFrom="page">
                      <wp:posOffset>-53975</wp:posOffset>
                    </wp:positionH>
                    <wp:positionV relativeFrom="page">
                      <wp:posOffset>-53975</wp:posOffset>
                    </wp:positionV>
                    <wp:extent cx="7786800" cy="11012400"/>
                    <wp:effectExtent l="0" t="0" r="11430" b="11430"/>
                    <wp:wrapNone/>
                    <wp:docPr id="40" name="Rectangle 4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86800" cy="11012400"/>
                            </a:xfrm>
                            <a:prstGeom prst="rect">
                              <a:avLst/>
                            </a:prstGeom>
                            <a:solidFill>
                              <a:schemeClr val="accent1"/>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E36597E" id="Rectangle 40" o:spid="_x0000_s1026" style="position:absolute;margin-left:-4.25pt;margin-top:-4.25pt;width:613.15pt;height:867.1pt;z-index:-251658239;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" fillcolor="#0067a0 [3204]" strokecolor="#00334f [1604]" strokeweight="1pt">
                    <v:path arrowok="t"/>
                    <o:lock v:ext="edit" aspectratio="t"/>
                    <w10:wrap anchorx="page" anchory="page"/>
                    <w10:anchorlock/>
                  </v:rect>
                </w:pict>
              </mc:Fallback>
            </mc:AlternateContent>
          </w:r>
        </w:sdtContent>
      </w:sdt>
    </w:p>
    <w:p w14:paraId="63CC10F3" w14:textId="1FB5345C" w:rsidR="00881799" w:rsidRDefault="00881799" w:rsidP="00691C11">
      <w:pPr>
        <w:tabs>
          <w:tab w:val="left" w:pos="5910"/>
        </w:tabs>
      </w:pPr>
    </w:p>
    <w:p w14:paraId="2FB885A2" w14:textId="77777777" w:rsidR="00FB524E" w:rsidRDefault="00FB524E" w:rsidP="00691C11">
      <w:pPr>
        <w:tabs>
          <w:tab w:val="left" w:pos="5910"/>
        </w:tabs>
        <w:sectPr w:rsidR="00FB524E" w:rsidSect="00881799">
          <w:headerReference w:type="even" r:id="rId13"/>
          <w:footerReference w:type="default" r:id="rId14"/>
          <w:footerReference w:type="first" r:id="rId15"/>
          <w:pgSz w:w="11906" w:h="16838"/>
          <w:pgMar w:top="720" w:right="1276" w:bottom="1418" w:left="1276" w:header="709" w:footer="567" w:gutter="0"/>
          <w:cols w:space="708"/>
          <w:titlePg/>
          <w:docGrid w:linePitch="360"/>
        </w:sect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right w:w="0" w:type="dxa"/>
        </w:tblCellMar>
        <w:tblLook w:val="04A0" w:firstRow="1" w:lastRow="0" w:firstColumn="1" w:lastColumn="0" w:noHBand="0" w:noVBand="1"/>
      </w:tblPr>
      <w:tblGrid>
        <w:gridCol w:w="3114"/>
        <w:gridCol w:w="3544"/>
        <w:gridCol w:w="2686"/>
      </w:tblGrid>
      <w:tr w:rsidR="00FE361B" w14:paraId="68FFF48C" w14:textId="77777777" w:rsidTr="00FE361B">
        <w:tc>
          <w:tcPr>
            <w:tcW w:w="3114" w:type="dxa"/>
          </w:tcPr>
          <w:p w14:paraId="0D20F104" w14:textId="77777777" w:rsidR="00FE361B" w:rsidRPr="004A3983" w:rsidRDefault="00FE361B" w:rsidP="00FE361B">
            <w:pPr>
              <w:spacing w:after="160"/>
            </w:pPr>
            <w:bookmarkStart w:id="0" w:name="_Toc520464831"/>
            <w:bookmarkStart w:id="1" w:name="_Toc522263971"/>
            <w:r w:rsidRPr="004A3983">
              <w:lastRenderedPageBreak/>
              <w:t>31 October 2019</w:t>
            </w:r>
          </w:p>
          <w:p w14:paraId="43CACD7E" w14:textId="77777777" w:rsidR="00FE361B" w:rsidRPr="004A3983" w:rsidRDefault="00FE361B" w:rsidP="00FE361B">
            <w:pPr>
              <w:spacing w:after="160"/>
            </w:pPr>
          </w:p>
          <w:p w14:paraId="76E27D37" w14:textId="563A269A" w:rsidR="00FE361B" w:rsidRDefault="00FE361B" w:rsidP="00FE361B">
            <w:r w:rsidRPr="004A3983">
              <w:t xml:space="preserve">The Hon John Ajaka MLC </w:t>
            </w:r>
            <w:r w:rsidRPr="004A3983">
              <w:br/>
              <w:t>President</w:t>
            </w:r>
            <w:r w:rsidRPr="004A3983">
              <w:br/>
              <w:t>Legislative Council</w:t>
            </w:r>
            <w:r w:rsidRPr="004A3983">
              <w:br/>
              <w:t>Parliament House</w:t>
            </w:r>
            <w:r w:rsidRPr="004A3983">
              <w:br/>
              <w:t>SYDNEY NSW 2000</w:t>
            </w:r>
          </w:p>
        </w:tc>
        <w:tc>
          <w:tcPr>
            <w:tcW w:w="3544" w:type="dxa"/>
          </w:tcPr>
          <w:p w14:paraId="33A71BDF" w14:textId="77777777" w:rsidR="00FE361B" w:rsidRPr="004A3983" w:rsidRDefault="00FE361B" w:rsidP="00FE361B">
            <w:pPr>
              <w:spacing w:after="160"/>
            </w:pPr>
          </w:p>
          <w:p w14:paraId="2CE516D9" w14:textId="77777777" w:rsidR="00FE361B" w:rsidRPr="004A3983" w:rsidRDefault="00FE361B" w:rsidP="00FE361B">
            <w:pPr>
              <w:spacing w:after="160"/>
            </w:pPr>
          </w:p>
          <w:p w14:paraId="2D55C45C" w14:textId="6BAA5EB1" w:rsidR="00FE361B" w:rsidRDefault="00FE361B" w:rsidP="00FE361B">
            <w:r w:rsidRPr="004A3983">
              <w:t>The Hon Jonathan O’Dea MP</w:t>
            </w:r>
            <w:r w:rsidRPr="004A3983">
              <w:br/>
              <w:t>Speaker</w:t>
            </w:r>
            <w:r w:rsidRPr="004A3983">
              <w:br/>
              <w:t>Legislative Assembly</w:t>
            </w:r>
            <w:r w:rsidRPr="004A3983">
              <w:br/>
              <w:t>Parliament House</w:t>
            </w:r>
            <w:r w:rsidRPr="004A3983">
              <w:br/>
              <w:t>SYDNEY NSW 2000</w:t>
            </w:r>
          </w:p>
        </w:tc>
        <w:tc>
          <w:tcPr>
            <w:tcW w:w="2686" w:type="dxa"/>
          </w:tcPr>
          <w:p w14:paraId="69EA9FC3" w14:textId="034C9DFE" w:rsidR="00FE361B" w:rsidRDefault="00FE361B" w:rsidP="00FE361B"/>
        </w:tc>
      </w:tr>
      <w:tr w:rsidR="00FE361B" w14:paraId="57576B8A" w14:textId="77777777" w:rsidTr="00FE361B">
        <w:tc>
          <w:tcPr>
            <w:tcW w:w="6658" w:type="dxa"/>
            <w:gridSpan w:val="2"/>
          </w:tcPr>
          <w:p w14:paraId="01FFA0AB" w14:textId="77777777" w:rsidR="00FE361B" w:rsidRPr="004A3983" w:rsidRDefault="00FE361B" w:rsidP="00FE361B">
            <w:pPr>
              <w:spacing w:after="160"/>
              <w:rPr>
                <w:rStyle w:val="Bold"/>
                <w:b w:val="0"/>
              </w:rPr>
            </w:pPr>
          </w:p>
          <w:p w14:paraId="46C3770B" w14:textId="77777777" w:rsidR="00FE361B" w:rsidRPr="004A3983" w:rsidRDefault="00FE361B" w:rsidP="00FE361B">
            <w:pPr>
              <w:spacing w:after="160"/>
              <w:rPr>
                <w:rStyle w:val="Bold"/>
              </w:rPr>
            </w:pPr>
            <w:r w:rsidRPr="004A3983">
              <w:rPr>
                <w:rStyle w:val="Bold"/>
              </w:rPr>
              <w:t>Dear Mr President and Mr Speaker</w:t>
            </w:r>
          </w:p>
          <w:p w14:paraId="53BAC04E" w14:textId="77777777" w:rsidR="00FE361B" w:rsidRPr="00FE361B" w:rsidRDefault="00FE361B" w:rsidP="00FE361B">
            <w:pPr>
              <w:spacing w:after="160"/>
              <w:rPr>
                <w:spacing w:val="-2"/>
              </w:rPr>
            </w:pPr>
            <w:r w:rsidRPr="00FE361B">
              <w:rPr>
                <w:spacing w:val="-2"/>
              </w:rPr>
              <w:t xml:space="preserve">In accordance with section 132(3) of the </w:t>
            </w:r>
            <w:r w:rsidRPr="00FE361B">
              <w:rPr>
                <w:i/>
                <w:spacing w:val="-2"/>
              </w:rPr>
              <w:t>Law Enforcement Conduct Commission Act 2016</w:t>
            </w:r>
            <w:r w:rsidRPr="00FE361B">
              <w:rPr>
                <w:spacing w:val="-2"/>
              </w:rPr>
              <w:t xml:space="preserve">, the Commission hereby furnishes to you its final report in relation to its investigation in Operation Tusket, entitled </w:t>
            </w:r>
            <w:r w:rsidRPr="00FE361B">
              <w:rPr>
                <w:i/>
                <w:spacing w:val="-2"/>
              </w:rPr>
              <w:t>The New South Wales Child Protection Register: Operation Tusket Final Report</w:t>
            </w:r>
            <w:r w:rsidRPr="00FE361B">
              <w:rPr>
                <w:spacing w:val="-2"/>
              </w:rPr>
              <w:t>.</w:t>
            </w:r>
          </w:p>
          <w:p w14:paraId="3E7062FA" w14:textId="77777777" w:rsidR="00FE361B" w:rsidRPr="004A3983" w:rsidRDefault="00FE361B" w:rsidP="00FE361B">
            <w:pPr>
              <w:spacing w:after="160"/>
            </w:pPr>
            <w:r w:rsidRPr="004A3983">
              <w:t>Pursuant to section 142(2) of the Act, I recommend that</w:t>
            </w:r>
            <w:r>
              <w:t xml:space="preserve"> </w:t>
            </w:r>
            <w:r w:rsidRPr="004A3983">
              <w:t>this</w:t>
            </w:r>
            <w:r>
              <w:t> </w:t>
            </w:r>
            <w:r w:rsidRPr="004A3983">
              <w:t>report be made public immediately.</w:t>
            </w:r>
          </w:p>
          <w:p w14:paraId="7891E736" w14:textId="77777777" w:rsidR="00FE361B" w:rsidRPr="004A3983" w:rsidRDefault="00FE361B" w:rsidP="00FE361B">
            <w:pPr>
              <w:spacing w:after="160"/>
            </w:pPr>
          </w:p>
          <w:p w14:paraId="0ACDD2E0" w14:textId="252C162D" w:rsidR="00FE361B" w:rsidRDefault="00FE361B" w:rsidP="00FE361B">
            <w:r w:rsidRPr="004A3983">
              <w:t>Yours sincerely</w:t>
            </w:r>
          </w:p>
        </w:tc>
        <w:tc>
          <w:tcPr>
            <w:tcW w:w="2686" w:type="dxa"/>
          </w:tcPr>
          <w:p w14:paraId="73993371" w14:textId="4E5AC1E8" w:rsidR="00FE361B" w:rsidRDefault="00FE361B" w:rsidP="00FE361B"/>
        </w:tc>
      </w:tr>
      <w:tr w:rsidR="00FE361B" w14:paraId="0B3785E1" w14:textId="77777777" w:rsidTr="00FE361B">
        <w:tc>
          <w:tcPr>
            <w:tcW w:w="3114" w:type="dxa"/>
          </w:tcPr>
          <w:p w14:paraId="275B8AE0" w14:textId="77777777" w:rsidR="002E5535" w:rsidRDefault="002E5535" w:rsidP="00FE361B">
            <w:pPr>
              <w:pStyle w:val="PersonsNames"/>
              <w:spacing w:after="160" w:line="259" w:lineRule="auto"/>
            </w:pPr>
          </w:p>
          <w:p w14:paraId="15982EB3" w14:textId="77777777" w:rsidR="00FE361B" w:rsidRPr="004A3983" w:rsidRDefault="00FE361B" w:rsidP="00FE361B">
            <w:pPr>
              <w:pStyle w:val="PersonsNames"/>
              <w:spacing w:after="160" w:line="259" w:lineRule="auto"/>
            </w:pPr>
            <w:r w:rsidRPr="004A3983">
              <w:t>The Hon M F Adams QC</w:t>
            </w:r>
          </w:p>
          <w:p w14:paraId="4FC55FC7" w14:textId="0A4449D8" w:rsidR="00FE361B" w:rsidRDefault="00FE361B" w:rsidP="00FE361B">
            <w:r w:rsidRPr="004A3983">
              <w:t>Chief Commissioner</w:t>
            </w:r>
          </w:p>
        </w:tc>
        <w:tc>
          <w:tcPr>
            <w:tcW w:w="3544" w:type="dxa"/>
          </w:tcPr>
          <w:p w14:paraId="78D47A8D" w14:textId="78D19B83" w:rsidR="00FE361B" w:rsidRDefault="00FE361B" w:rsidP="00FE361B">
            <w:r w:rsidRPr="004A3983">
              <w:t xml:space="preserve"> </w:t>
            </w:r>
          </w:p>
        </w:tc>
        <w:tc>
          <w:tcPr>
            <w:tcW w:w="2686" w:type="dxa"/>
          </w:tcPr>
          <w:p w14:paraId="61F83C8B" w14:textId="151F9CF1" w:rsidR="00FE361B" w:rsidRDefault="00FE361B" w:rsidP="00FE361B"/>
        </w:tc>
      </w:tr>
    </w:tbl>
    <w:p w14:paraId="698B3E15" w14:textId="25F63FC2" w:rsidR="00881799" w:rsidRDefault="00881799" w:rsidP="00FE361B"/>
    <w:p w14:paraId="798BF75C" w14:textId="77777777" w:rsidR="00FE361B" w:rsidRDefault="00FE361B" w:rsidP="00FE361B"/>
    <w:p w14:paraId="4FFDE9E6" w14:textId="2E4A758A" w:rsidR="00FE361B" w:rsidRDefault="00FE361B" w:rsidP="00FE361B">
      <w:pPr>
        <w:sectPr w:rsidR="00FE361B" w:rsidSect="00833E8C">
          <w:headerReference w:type="default" r:id="rId16"/>
          <w:footerReference w:type="default" r:id="rId17"/>
          <w:headerReference w:type="first" r:id="rId18"/>
          <w:footerReference w:type="first" r:id="rId19"/>
          <w:pgSz w:w="11906" w:h="16838"/>
          <w:pgMar w:top="720" w:right="1276" w:bottom="1418" w:left="1276" w:header="709" w:footer="567" w:gutter="0"/>
          <w:pgNumType w:start="1"/>
          <w:cols w:space="708"/>
          <w:docGrid w:linePitch="360"/>
        </w:sectPr>
      </w:pPr>
    </w:p>
    <w:p w14:paraId="270073C2" w14:textId="1B1AADD3" w:rsidR="0022354B" w:rsidRPr="004A3983" w:rsidRDefault="0022354B" w:rsidP="00A2160D">
      <w:pPr>
        <w:pStyle w:val="NonTOCHeading1"/>
        <w:spacing w:after="160" w:line="259" w:lineRule="auto"/>
        <w:ind w:right="-2"/>
      </w:pPr>
      <w:r w:rsidRPr="004A3983">
        <w:lastRenderedPageBreak/>
        <w:t>Cont</w:t>
      </w:r>
      <w:r w:rsidR="00667CF6" w:rsidRPr="004A3983">
        <w:t>ents</w:t>
      </w:r>
      <w:bookmarkEnd w:id="0"/>
      <w:bookmarkEnd w:id="1"/>
    </w:p>
    <w:p w14:paraId="69F405AA" w14:textId="3E046BE9" w:rsidR="00E61632" w:rsidRDefault="00E61632">
      <w:pPr>
        <w:pStyle w:val="TOC1"/>
        <w:rPr>
          <w:rFonts w:eastAsiaTheme="minorEastAsia"/>
          <w:caps w:val="0"/>
          <w:color w:val="auto"/>
          <w:sz w:val="24"/>
          <w:szCs w:val="24"/>
        </w:rPr>
      </w:pPr>
      <w:r>
        <w:fldChar w:fldCharType="begin"/>
      </w:r>
      <w:r>
        <w:instrText xml:space="preserve"> TOC \o "1-3" \h \z \t "Heading 1,1,Heading 2,2,Non Number Heading 1,1,Non Number Heading 2,1,Appendix Heading,1,Heading 1 (no number),1,AppendixHeading1,7,AppendixHeading2,8,AppendixHeading3,9,Non Appendix Number Heading 1,1" </w:instrText>
      </w:r>
      <w:r>
        <w:fldChar w:fldCharType="separate"/>
      </w:r>
      <w:hyperlink w:anchor="_Toc22627718" w:history="1">
        <w:r w:rsidRPr="00400D8B">
          <w:rPr>
            <w:rStyle w:val="Hyperlink"/>
          </w:rPr>
          <w:t>List of Findings</w:t>
        </w:r>
        <w:r>
          <w:rPr>
            <w:webHidden/>
          </w:rPr>
          <w:tab/>
        </w:r>
        <w:r>
          <w:rPr>
            <w:webHidden/>
          </w:rPr>
          <w:fldChar w:fldCharType="begin"/>
        </w:r>
        <w:r>
          <w:rPr>
            <w:webHidden/>
          </w:rPr>
          <w:instrText xml:space="preserve"> PAGEREF _Toc22627718 \h </w:instrText>
        </w:r>
        <w:r>
          <w:rPr>
            <w:webHidden/>
          </w:rPr>
        </w:r>
        <w:r>
          <w:rPr>
            <w:webHidden/>
          </w:rPr>
          <w:fldChar w:fldCharType="separate"/>
        </w:r>
        <w:r w:rsidR="00022664">
          <w:rPr>
            <w:webHidden/>
          </w:rPr>
          <w:t>8</w:t>
        </w:r>
        <w:r>
          <w:rPr>
            <w:webHidden/>
          </w:rPr>
          <w:fldChar w:fldCharType="end"/>
        </w:r>
      </w:hyperlink>
    </w:p>
    <w:p w14:paraId="518A2951" w14:textId="5B2E278C" w:rsidR="00E61632" w:rsidRDefault="002E5535">
      <w:pPr>
        <w:pStyle w:val="TOC1"/>
        <w:rPr>
          <w:rFonts w:eastAsiaTheme="minorEastAsia"/>
          <w:caps w:val="0"/>
          <w:color w:val="auto"/>
          <w:sz w:val="24"/>
          <w:szCs w:val="24"/>
        </w:rPr>
      </w:pPr>
      <w:hyperlink w:anchor="_Toc22627719" w:history="1">
        <w:r w:rsidR="00E61632" w:rsidRPr="00400D8B">
          <w:rPr>
            <w:rStyle w:val="Hyperlink"/>
          </w:rPr>
          <w:t>List of Recommendations</w:t>
        </w:r>
        <w:r w:rsidR="00E61632">
          <w:rPr>
            <w:webHidden/>
          </w:rPr>
          <w:tab/>
        </w:r>
        <w:r w:rsidR="00E61632">
          <w:rPr>
            <w:webHidden/>
          </w:rPr>
          <w:fldChar w:fldCharType="begin"/>
        </w:r>
        <w:r w:rsidR="00E61632">
          <w:rPr>
            <w:webHidden/>
          </w:rPr>
          <w:instrText xml:space="preserve"> PAGEREF _Toc22627719 \h </w:instrText>
        </w:r>
        <w:r w:rsidR="00E61632">
          <w:rPr>
            <w:webHidden/>
          </w:rPr>
        </w:r>
        <w:r w:rsidR="00E61632">
          <w:rPr>
            <w:webHidden/>
          </w:rPr>
          <w:fldChar w:fldCharType="separate"/>
        </w:r>
        <w:r w:rsidR="00022664">
          <w:rPr>
            <w:webHidden/>
          </w:rPr>
          <w:t>9</w:t>
        </w:r>
        <w:r w:rsidR="00E61632">
          <w:rPr>
            <w:webHidden/>
          </w:rPr>
          <w:fldChar w:fldCharType="end"/>
        </w:r>
      </w:hyperlink>
    </w:p>
    <w:p w14:paraId="3C5FEB1B" w14:textId="3FD17D9D" w:rsidR="00E61632" w:rsidRDefault="002E5535">
      <w:pPr>
        <w:pStyle w:val="TOC1"/>
        <w:rPr>
          <w:rFonts w:eastAsiaTheme="minorEastAsia"/>
          <w:caps w:val="0"/>
          <w:color w:val="auto"/>
          <w:sz w:val="24"/>
          <w:szCs w:val="24"/>
        </w:rPr>
      </w:pPr>
      <w:hyperlink w:anchor="_Toc22627720" w:history="1">
        <w:r w:rsidR="00E61632" w:rsidRPr="00400D8B">
          <w:rPr>
            <w:rStyle w:val="Hyperlink"/>
          </w:rPr>
          <w:t>List of Case Studies</w:t>
        </w:r>
        <w:r w:rsidR="00E61632">
          <w:rPr>
            <w:webHidden/>
          </w:rPr>
          <w:tab/>
        </w:r>
        <w:r w:rsidR="00E61632">
          <w:rPr>
            <w:webHidden/>
          </w:rPr>
          <w:fldChar w:fldCharType="begin"/>
        </w:r>
        <w:r w:rsidR="00E61632">
          <w:rPr>
            <w:webHidden/>
          </w:rPr>
          <w:instrText xml:space="preserve"> PAGEREF _Toc22627720 \h </w:instrText>
        </w:r>
        <w:r w:rsidR="00E61632">
          <w:rPr>
            <w:webHidden/>
          </w:rPr>
        </w:r>
        <w:r w:rsidR="00E61632">
          <w:rPr>
            <w:webHidden/>
          </w:rPr>
          <w:fldChar w:fldCharType="separate"/>
        </w:r>
        <w:r w:rsidR="00022664">
          <w:rPr>
            <w:webHidden/>
          </w:rPr>
          <w:t>11</w:t>
        </w:r>
        <w:r w:rsidR="00E61632">
          <w:rPr>
            <w:webHidden/>
          </w:rPr>
          <w:fldChar w:fldCharType="end"/>
        </w:r>
      </w:hyperlink>
    </w:p>
    <w:p w14:paraId="46CB4D1D" w14:textId="632A81E9" w:rsidR="00E61632" w:rsidRDefault="002E5535">
      <w:pPr>
        <w:pStyle w:val="TOC1"/>
        <w:rPr>
          <w:rFonts w:eastAsiaTheme="minorEastAsia"/>
          <w:caps w:val="0"/>
          <w:color w:val="auto"/>
          <w:sz w:val="24"/>
          <w:szCs w:val="24"/>
        </w:rPr>
      </w:pPr>
      <w:hyperlink w:anchor="_Toc22627721" w:history="1">
        <w:r w:rsidR="00E61632" w:rsidRPr="00400D8B">
          <w:rPr>
            <w:rStyle w:val="Hyperlink"/>
          </w:rPr>
          <w:t>FOREWORD BY THE CHIEF COMMISSIONER</w:t>
        </w:r>
        <w:r w:rsidR="00E61632">
          <w:rPr>
            <w:webHidden/>
          </w:rPr>
          <w:tab/>
        </w:r>
        <w:r w:rsidR="00E61632">
          <w:rPr>
            <w:webHidden/>
          </w:rPr>
          <w:fldChar w:fldCharType="begin"/>
        </w:r>
        <w:r w:rsidR="00E61632">
          <w:rPr>
            <w:webHidden/>
          </w:rPr>
          <w:instrText xml:space="preserve"> PAGEREF _Toc22627721 \h </w:instrText>
        </w:r>
        <w:r w:rsidR="00E61632">
          <w:rPr>
            <w:webHidden/>
          </w:rPr>
        </w:r>
        <w:r w:rsidR="00E61632">
          <w:rPr>
            <w:webHidden/>
          </w:rPr>
          <w:fldChar w:fldCharType="separate"/>
        </w:r>
        <w:r w:rsidR="00022664">
          <w:rPr>
            <w:webHidden/>
          </w:rPr>
          <w:t>12</w:t>
        </w:r>
        <w:r w:rsidR="00E61632">
          <w:rPr>
            <w:webHidden/>
          </w:rPr>
          <w:fldChar w:fldCharType="end"/>
        </w:r>
      </w:hyperlink>
    </w:p>
    <w:p w14:paraId="005A375E" w14:textId="11E5846D" w:rsidR="00E61632" w:rsidRDefault="002E5535">
      <w:pPr>
        <w:pStyle w:val="TOC1"/>
        <w:rPr>
          <w:rFonts w:eastAsiaTheme="minorEastAsia"/>
          <w:caps w:val="0"/>
          <w:color w:val="auto"/>
          <w:sz w:val="24"/>
          <w:szCs w:val="24"/>
        </w:rPr>
      </w:pPr>
      <w:hyperlink w:anchor="_Toc22627722" w:history="1">
        <w:r w:rsidR="00E61632" w:rsidRPr="00400D8B">
          <w:rPr>
            <w:rStyle w:val="Hyperlink"/>
          </w:rPr>
          <w:t>EXECUTIVE SUMMARY</w:t>
        </w:r>
        <w:r w:rsidR="00E61632">
          <w:rPr>
            <w:webHidden/>
          </w:rPr>
          <w:tab/>
        </w:r>
        <w:r w:rsidR="00E61632">
          <w:rPr>
            <w:webHidden/>
          </w:rPr>
          <w:fldChar w:fldCharType="begin"/>
        </w:r>
        <w:r w:rsidR="00E61632">
          <w:rPr>
            <w:webHidden/>
          </w:rPr>
          <w:instrText xml:space="preserve"> PAGEREF _Toc22627722 \h </w:instrText>
        </w:r>
        <w:r w:rsidR="00E61632">
          <w:rPr>
            <w:webHidden/>
          </w:rPr>
        </w:r>
        <w:r w:rsidR="00E61632">
          <w:rPr>
            <w:webHidden/>
          </w:rPr>
          <w:fldChar w:fldCharType="separate"/>
        </w:r>
        <w:r w:rsidR="00022664">
          <w:rPr>
            <w:webHidden/>
          </w:rPr>
          <w:t>15</w:t>
        </w:r>
        <w:r w:rsidR="00E61632">
          <w:rPr>
            <w:webHidden/>
          </w:rPr>
          <w:fldChar w:fldCharType="end"/>
        </w:r>
      </w:hyperlink>
    </w:p>
    <w:p w14:paraId="200ABEDB" w14:textId="3F8F1418" w:rsidR="00E61632" w:rsidRDefault="002E5535">
      <w:pPr>
        <w:pStyle w:val="TOC1"/>
        <w:rPr>
          <w:rFonts w:eastAsiaTheme="minorEastAsia"/>
          <w:caps w:val="0"/>
          <w:color w:val="auto"/>
          <w:sz w:val="24"/>
          <w:szCs w:val="24"/>
        </w:rPr>
      </w:pPr>
      <w:hyperlink w:anchor="_Toc22627723" w:history="1">
        <w:r w:rsidR="00E61632" w:rsidRPr="00400D8B">
          <w:rPr>
            <w:rStyle w:val="Hyperlink"/>
            <w:rFonts w:ascii="Gotham Bold" w:hAnsi="Gotham Bold" w:cs="Gotham Book"/>
            <w:b/>
          </w:rPr>
          <w:t>1.</w:t>
        </w:r>
        <w:r w:rsidR="00E61632">
          <w:rPr>
            <w:rFonts w:eastAsiaTheme="minorEastAsia"/>
            <w:caps w:val="0"/>
            <w:color w:val="auto"/>
            <w:sz w:val="24"/>
            <w:szCs w:val="24"/>
          </w:rPr>
          <w:tab/>
        </w:r>
        <w:r w:rsidR="00E61632" w:rsidRPr="00400D8B">
          <w:rPr>
            <w:rStyle w:val="Hyperlink"/>
          </w:rPr>
          <w:t>Our investigation process</w:t>
        </w:r>
        <w:r w:rsidR="00E61632">
          <w:rPr>
            <w:webHidden/>
          </w:rPr>
          <w:tab/>
        </w:r>
        <w:r w:rsidR="00E61632">
          <w:rPr>
            <w:webHidden/>
          </w:rPr>
          <w:fldChar w:fldCharType="begin"/>
        </w:r>
        <w:r w:rsidR="00E61632">
          <w:rPr>
            <w:webHidden/>
          </w:rPr>
          <w:instrText xml:space="preserve"> PAGEREF _Toc22627723 \h </w:instrText>
        </w:r>
        <w:r w:rsidR="00E61632">
          <w:rPr>
            <w:webHidden/>
          </w:rPr>
        </w:r>
        <w:r w:rsidR="00E61632">
          <w:rPr>
            <w:webHidden/>
          </w:rPr>
          <w:fldChar w:fldCharType="separate"/>
        </w:r>
        <w:r w:rsidR="00022664">
          <w:rPr>
            <w:webHidden/>
          </w:rPr>
          <w:t>20</w:t>
        </w:r>
        <w:r w:rsidR="00E61632">
          <w:rPr>
            <w:webHidden/>
          </w:rPr>
          <w:fldChar w:fldCharType="end"/>
        </w:r>
      </w:hyperlink>
    </w:p>
    <w:p w14:paraId="5748A9C1" w14:textId="52C9C429" w:rsidR="00E61632" w:rsidRDefault="002E5535">
      <w:pPr>
        <w:pStyle w:val="TOC2"/>
        <w:rPr>
          <w:rFonts w:eastAsiaTheme="minorEastAsia"/>
          <w:sz w:val="24"/>
          <w:szCs w:val="24"/>
        </w:rPr>
      </w:pPr>
      <w:hyperlink w:anchor="_Toc22627724" w:history="1">
        <w:r w:rsidR="00E61632" w:rsidRPr="00400D8B">
          <w:rPr>
            <w:rStyle w:val="Hyperlink"/>
          </w:rPr>
          <w:t>1.1</w:t>
        </w:r>
        <w:r w:rsidR="00E61632">
          <w:rPr>
            <w:rFonts w:eastAsiaTheme="minorEastAsia"/>
            <w:sz w:val="24"/>
            <w:szCs w:val="24"/>
          </w:rPr>
          <w:tab/>
        </w:r>
        <w:r w:rsidR="00E61632" w:rsidRPr="00400D8B">
          <w:rPr>
            <w:rStyle w:val="Hyperlink"/>
          </w:rPr>
          <w:t>Initiation of Operation Tusket</w:t>
        </w:r>
        <w:r w:rsidR="00E61632">
          <w:rPr>
            <w:webHidden/>
          </w:rPr>
          <w:tab/>
        </w:r>
        <w:r w:rsidR="00E61632">
          <w:rPr>
            <w:webHidden/>
          </w:rPr>
          <w:fldChar w:fldCharType="begin"/>
        </w:r>
        <w:r w:rsidR="00E61632">
          <w:rPr>
            <w:webHidden/>
          </w:rPr>
          <w:instrText xml:space="preserve"> PAGEREF _Toc22627724 \h </w:instrText>
        </w:r>
        <w:r w:rsidR="00E61632">
          <w:rPr>
            <w:webHidden/>
          </w:rPr>
        </w:r>
        <w:r w:rsidR="00E61632">
          <w:rPr>
            <w:webHidden/>
          </w:rPr>
          <w:fldChar w:fldCharType="separate"/>
        </w:r>
        <w:r w:rsidR="00022664">
          <w:rPr>
            <w:webHidden/>
          </w:rPr>
          <w:t>21</w:t>
        </w:r>
        <w:r w:rsidR="00E61632">
          <w:rPr>
            <w:webHidden/>
          </w:rPr>
          <w:fldChar w:fldCharType="end"/>
        </w:r>
      </w:hyperlink>
    </w:p>
    <w:p w14:paraId="19A5434F" w14:textId="74E227F7" w:rsidR="00E61632" w:rsidRDefault="002E5535">
      <w:pPr>
        <w:pStyle w:val="TOC2"/>
        <w:rPr>
          <w:rFonts w:eastAsiaTheme="minorEastAsia"/>
          <w:sz w:val="24"/>
          <w:szCs w:val="24"/>
        </w:rPr>
      </w:pPr>
      <w:hyperlink w:anchor="_Toc22627725" w:history="1">
        <w:r w:rsidR="00E61632" w:rsidRPr="00400D8B">
          <w:rPr>
            <w:rStyle w:val="Hyperlink"/>
          </w:rPr>
          <w:t>1.2</w:t>
        </w:r>
        <w:r w:rsidR="00E61632">
          <w:rPr>
            <w:rFonts w:eastAsiaTheme="minorEastAsia"/>
            <w:sz w:val="24"/>
            <w:szCs w:val="24"/>
          </w:rPr>
          <w:tab/>
        </w:r>
        <w:r w:rsidR="00E61632" w:rsidRPr="00400D8B">
          <w:rPr>
            <w:rStyle w:val="Hyperlink"/>
          </w:rPr>
          <w:t>The scope of our investigation</w:t>
        </w:r>
        <w:r w:rsidR="00E61632">
          <w:rPr>
            <w:webHidden/>
          </w:rPr>
          <w:tab/>
        </w:r>
        <w:r w:rsidR="00E61632">
          <w:rPr>
            <w:webHidden/>
          </w:rPr>
          <w:fldChar w:fldCharType="begin"/>
        </w:r>
        <w:r w:rsidR="00E61632">
          <w:rPr>
            <w:webHidden/>
          </w:rPr>
          <w:instrText xml:space="preserve"> PAGEREF _Toc22627725 \h </w:instrText>
        </w:r>
        <w:r w:rsidR="00E61632">
          <w:rPr>
            <w:webHidden/>
          </w:rPr>
        </w:r>
        <w:r w:rsidR="00E61632">
          <w:rPr>
            <w:webHidden/>
          </w:rPr>
          <w:fldChar w:fldCharType="separate"/>
        </w:r>
        <w:r w:rsidR="00022664">
          <w:rPr>
            <w:webHidden/>
          </w:rPr>
          <w:t>22</w:t>
        </w:r>
        <w:r w:rsidR="00E61632">
          <w:rPr>
            <w:webHidden/>
          </w:rPr>
          <w:fldChar w:fldCharType="end"/>
        </w:r>
      </w:hyperlink>
    </w:p>
    <w:p w14:paraId="7413DA47" w14:textId="3E181959" w:rsidR="00E61632" w:rsidRDefault="002E5535">
      <w:pPr>
        <w:pStyle w:val="TOC2"/>
        <w:rPr>
          <w:rFonts w:eastAsiaTheme="minorEastAsia"/>
          <w:sz w:val="24"/>
          <w:szCs w:val="24"/>
        </w:rPr>
      </w:pPr>
      <w:hyperlink w:anchor="_Toc22627726" w:history="1">
        <w:r w:rsidR="00E61632" w:rsidRPr="00400D8B">
          <w:rPr>
            <w:rStyle w:val="Hyperlink"/>
          </w:rPr>
          <w:t>1.3</w:t>
        </w:r>
        <w:r w:rsidR="00E61632">
          <w:rPr>
            <w:rFonts w:eastAsiaTheme="minorEastAsia"/>
            <w:sz w:val="24"/>
            <w:szCs w:val="24"/>
          </w:rPr>
          <w:tab/>
        </w:r>
        <w:r w:rsidR="00E61632" w:rsidRPr="00400D8B">
          <w:rPr>
            <w:rStyle w:val="Hyperlink"/>
          </w:rPr>
          <w:t>Collaborative approach</w:t>
        </w:r>
        <w:r w:rsidR="00E61632">
          <w:rPr>
            <w:webHidden/>
          </w:rPr>
          <w:tab/>
        </w:r>
        <w:r w:rsidR="00E61632">
          <w:rPr>
            <w:webHidden/>
          </w:rPr>
          <w:fldChar w:fldCharType="begin"/>
        </w:r>
        <w:r w:rsidR="00E61632">
          <w:rPr>
            <w:webHidden/>
          </w:rPr>
          <w:instrText xml:space="preserve"> PAGEREF _Toc22627726 \h </w:instrText>
        </w:r>
        <w:r w:rsidR="00E61632">
          <w:rPr>
            <w:webHidden/>
          </w:rPr>
        </w:r>
        <w:r w:rsidR="00E61632">
          <w:rPr>
            <w:webHidden/>
          </w:rPr>
          <w:fldChar w:fldCharType="separate"/>
        </w:r>
        <w:r w:rsidR="00022664">
          <w:rPr>
            <w:webHidden/>
          </w:rPr>
          <w:t>22</w:t>
        </w:r>
        <w:r w:rsidR="00E61632">
          <w:rPr>
            <w:webHidden/>
          </w:rPr>
          <w:fldChar w:fldCharType="end"/>
        </w:r>
      </w:hyperlink>
    </w:p>
    <w:p w14:paraId="38A9D8EB" w14:textId="080666F2" w:rsidR="00E61632" w:rsidRDefault="002E5535">
      <w:pPr>
        <w:pStyle w:val="TOC2"/>
        <w:rPr>
          <w:rFonts w:eastAsiaTheme="minorEastAsia"/>
          <w:sz w:val="24"/>
          <w:szCs w:val="24"/>
        </w:rPr>
      </w:pPr>
      <w:hyperlink w:anchor="_Toc22627727" w:history="1">
        <w:r w:rsidR="00E61632" w:rsidRPr="00400D8B">
          <w:rPr>
            <w:rStyle w:val="Hyperlink"/>
          </w:rPr>
          <w:t>1.4</w:t>
        </w:r>
        <w:r w:rsidR="00E61632">
          <w:rPr>
            <w:rFonts w:eastAsiaTheme="minorEastAsia"/>
            <w:sz w:val="24"/>
            <w:szCs w:val="24"/>
          </w:rPr>
          <w:tab/>
        </w:r>
        <w:r w:rsidR="00E61632" w:rsidRPr="00400D8B">
          <w:rPr>
            <w:rStyle w:val="Hyperlink"/>
          </w:rPr>
          <w:t>NSW Police Force information</w:t>
        </w:r>
        <w:r w:rsidR="00E61632">
          <w:rPr>
            <w:webHidden/>
          </w:rPr>
          <w:tab/>
        </w:r>
        <w:r w:rsidR="00E61632">
          <w:rPr>
            <w:webHidden/>
          </w:rPr>
          <w:fldChar w:fldCharType="begin"/>
        </w:r>
        <w:r w:rsidR="00E61632">
          <w:rPr>
            <w:webHidden/>
          </w:rPr>
          <w:instrText xml:space="preserve"> PAGEREF _Toc22627727 \h </w:instrText>
        </w:r>
        <w:r w:rsidR="00E61632">
          <w:rPr>
            <w:webHidden/>
          </w:rPr>
        </w:r>
        <w:r w:rsidR="00E61632">
          <w:rPr>
            <w:webHidden/>
          </w:rPr>
          <w:fldChar w:fldCharType="separate"/>
        </w:r>
        <w:r w:rsidR="00022664">
          <w:rPr>
            <w:webHidden/>
          </w:rPr>
          <w:t>24</w:t>
        </w:r>
        <w:r w:rsidR="00E61632">
          <w:rPr>
            <w:webHidden/>
          </w:rPr>
          <w:fldChar w:fldCharType="end"/>
        </w:r>
      </w:hyperlink>
    </w:p>
    <w:p w14:paraId="66F3846A" w14:textId="62003232" w:rsidR="00E61632" w:rsidRDefault="002E5535">
      <w:pPr>
        <w:pStyle w:val="TOC2"/>
        <w:rPr>
          <w:rFonts w:eastAsiaTheme="minorEastAsia"/>
          <w:sz w:val="24"/>
          <w:szCs w:val="24"/>
        </w:rPr>
      </w:pPr>
      <w:hyperlink w:anchor="_Toc22627728" w:history="1">
        <w:r w:rsidR="00E61632" w:rsidRPr="00400D8B">
          <w:rPr>
            <w:rStyle w:val="Hyperlink"/>
          </w:rPr>
          <w:t>1.5</w:t>
        </w:r>
        <w:r w:rsidR="00E61632">
          <w:rPr>
            <w:rFonts w:eastAsiaTheme="minorEastAsia"/>
            <w:sz w:val="24"/>
            <w:szCs w:val="24"/>
          </w:rPr>
          <w:tab/>
        </w:r>
        <w:r w:rsidR="00E61632" w:rsidRPr="00400D8B">
          <w:rPr>
            <w:rStyle w:val="Hyperlink"/>
            <w:rFonts w:ascii="Gotham Book" w:hAnsi="Gotham Book"/>
          </w:rPr>
          <w:t>Legal research, analysis and literature review</w:t>
        </w:r>
        <w:r w:rsidR="00E61632">
          <w:rPr>
            <w:webHidden/>
          </w:rPr>
          <w:tab/>
        </w:r>
        <w:r w:rsidR="00E61632">
          <w:rPr>
            <w:webHidden/>
          </w:rPr>
          <w:fldChar w:fldCharType="begin"/>
        </w:r>
        <w:r w:rsidR="00E61632">
          <w:rPr>
            <w:webHidden/>
          </w:rPr>
          <w:instrText xml:space="preserve"> PAGEREF _Toc22627728 \h </w:instrText>
        </w:r>
        <w:r w:rsidR="00E61632">
          <w:rPr>
            <w:webHidden/>
          </w:rPr>
        </w:r>
        <w:r w:rsidR="00E61632">
          <w:rPr>
            <w:webHidden/>
          </w:rPr>
          <w:fldChar w:fldCharType="separate"/>
        </w:r>
        <w:r w:rsidR="00022664">
          <w:rPr>
            <w:webHidden/>
          </w:rPr>
          <w:t>24</w:t>
        </w:r>
        <w:r w:rsidR="00E61632">
          <w:rPr>
            <w:webHidden/>
          </w:rPr>
          <w:fldChar w:fldCharType="end"/>
        </w:r>
      </w:hyperlink>
    </w:p>
    <w:p w14:paraId="272BB691" w14:textId="5D9D5A7F" w:rsidR="00E61632" w:rsidRDefault="002E5535">
      <w:pPr>
        <w:pStyle w:val="TOC2"/>
        <w:rPr>
          <w:rFonts w:eastAsiaTheme="minorEastAsia"/>
          <w:sz w:val="24"/>
          <w:szCs w:val="24"/>
        </w:rPr>
      </w:pPr>
      <w:hyperlink w:anchor="_Toc22627729" w:history="1">
        <w:r w:rsidR="00E61632" w:rsidRPr="00400D8B">
          <w:rPr>
            <w:rStyle w:val="Hyperlink"/>
          </w:rPr>
          <w:t>1.6</w:t>
        </w:r>
        <w:r w:rsidR="00E61632">
          <w:rPr>
            <w:rFonts w:eastAsiaTheme="minorEastAsia"/>
            <w:sz w:val="24"/>
            <w:szCs w:val="24"/>
          </w:rPr>
          <w:tab/>
        </w:r>
        <w:r w:rsidR="00E61632" w:rsidRPr="00400D8B">
          <w:rPr>
            <w:rStyle w:val="Hyperlink"/>
            <w:rFonts w:ascii="Gotham Book" w:hAnsi="Gotham Book"/>
          </w:rPr>
          <w:t>Information from the NSW Bureau of Crime Statistics and Research</w:t>
        </w:r>
        <w:r w:rsidR="00E61632">
          <w:rPr>
            <w:webHidden/>
          </w:rPr>
          <w:tab/>
        </w:r>
        <w:r w:rsidR="00E61632">
          <w:rPr>
            <w:webHidden/>
          </w:rPr>
          <w:fldChar w:fldCharType="begin"/>
        </w:r>
        <w:r w:rsidR="00E61632">
          <w:rPr>
            <w:webHidden/>
          </w:rPr>
          <w:instrText xml:space="preserve"> PAGEREF _Toc22627729 \h </w:instrText>
        </w:r>
        <w:r w:rsidR="00E61632">
          <w:rPr>
            <w:webHidden/>
          </w:rPr>
        </w:r>
        <w:r w:rsidR="00E61632">
          <w:rPr>
            <w:webHidden/>
          </w:rPr>
          <w:fldChar w:fldCharType="separate"/>
        </w:r>
        <w:r w:rsidR="00022664">
          <w:rPr>
            <w:webHidden/>
          </w:rPr>
          <w:t>25</w:t>
        </w:r>
        <w:r w:rsidR="00E61632">
          <w:rPr>
            <w:webHidden/>
          </w:rPr>
          <w:fldChar w:fldCharType="end"/>
        </w:r>
      </w:hyperlink>
    </w:p>
    <w:p w14:paraId="5307AD45" w14:textId="05AE9287" w:rsidR="00E61632" w:rsidRDefault="002E5535">
      <w:pPr>
        <w:pStyle w:val="TOC2"/>
        <w:rPr>
          <w:rFonts w:eastAsiaTheme="minorEastAsia"/>
          <w:sz w:val="24"/>
          <w:szCs w:val="24"/>
        </w:rPr>
      </w:pPr>
      <w:hyperlink w:anchor="_Toc22627730" w:history="1">
        <w:r w:rsidR="00E61632" w:rsidRPr="00400D8B">
          <w:rPr>
            <w:rStyle w:val="Hyperlink"/>
            <w:rFonts w:ascii="Gotham Book" w:hAnsi="Gotham Book"/>
          </w:rPr>
          <w:t>1.7</w:t>
        </w:r>
        <w:r w:rsidR="00E61632">
          <w:rPr>
            <w:rFonts w:eastAsiaTheme="minorEastAsia"/>
            <w:sz w:val="24"/>
            <w:szCs w:val="24"/>
          </w:rPr>
          <w:tab/>
        </w:r>
        <w:r w:rsidR="00E61632" w:rsidRPr="00400D8B">
          <w:rPr>
            <w:rStyle w:val="Hyperlink"/>
            <w:rFonts w:ascii="Gotham Book" w:hAnsi="Gotham Book"/>
          </w:rPr>
          <w:t>Consultations</w:t>
        </w:r>
        <w:r w:rsidR="00E61632">
          <w:rPr>
            <w:webHidden/>
          </w:rPr>
          <w:tab/>
        </w:r>
        <w:r w:rsidR="00E61632">
          <w:rPr>
            <w:webHidden/>
          </w:rPr>
          <w:fldChar w:fldCharType="begin"/>
        </w:r>
        <w:r w:rsidR="00E61632">
          <w:rPr>
            <w:webHidden/>
          </w:rPr>
          <w:instrText xml:space="preserve"> PAGEREF _Toc22627730 \h </w:instrText>
        </w:r>
        <w:r w:rsidR="00E61632">
          <w:rPr>
            <w:webHidden/>
          </w:rPr>
        </w:r>
        <w:r w:rsidR="00E61632">
          <w:rPr>
            <w:webHidden/>
          </w:rPr>
          <w:fldChar w:fldCharType="separate"/>
        </w:r>
        <w:r w:rsidR="00022664">
          <w:rPr>
            <w:webHidden/>
          </w:rPr>
          <w:t>25</w:t>
        </w:r>
        <w:r w:rsidR="00E61632">
          <w:rPr>
            <w:webHidden/>
          </w:rPr>
          <w:fldChar w:fldCharType="end"/>
        </w:r>
      </w:hyperlink>
    </w:p>
    <w:p w14:paraId="688F0CAD" w14:textId="1EDE5CA5" w:rsidR="00E61632" w:rsidRDefault="002E5535">
      <w:pPr>
        <w:pStyle w:val="TOC2"/>
        <w:rPr>
          <w:rFonts w:eastAsiaTheme="minorEastAsia"/>
          <w:sz w:val="24"/>
          <w:szCs w:val="24"/>
        </w:rPr>
      </w:pPr>
      <w:hyperlink w:anchor="_Toc22627731" w:history="1">
        <w:r w:rsidR="00E61632" w:rsidRPr="00400D8B">
          <w:rPr>
            <w:rStyle w:val="Hyperlink"/>
          </w:rPr>
          <w:t>1.8</w:t>
        </w:r>
        <w:r w:rsidR="00E61632">
          <w:rPr>
            <w:rFonts w:eastAsiaTheme="minorEastAsia"/>
            <w:sz w:val="24"/>
            <w:szCs w:val="24"/>
          </w:rPr>
          <w:tab/>
        </w:r>
        <w:r w:rsidR="00E61632" w:rsidRPr="00400D8B">
          <w:rPr>
            <w:rStyle w:val="Hyperlink"/>
          </w:rPr>
          <w:t>Interim reports</w:t>
        </w:r>
        <w:r w:rsidR="00E61632">
          <w:rPr>
            <w:webHidden/>
          </w:rPr>
          <w:tab/>
        </w:r>
        <w:r w:rsidR="00E61632">
          <w:rPr>
            <w:webHidden/>
          </w:rPr>
          <w:fldChar w:fldCharType="begin"/>
        </w:r>
        <w:r w:rsidR="00E61632">
          <w:rPr>
            <w:webHidden/>
          </w:rPr>
          <w:instrText xml:space="preserve"> PAGEREF _Toc22627731 \h </w:instrText>
        </w:r>
        <w:r w:rsidR="00E61632">
          <w:rPr>
            <w:webHidden/>
          </w:rPr>
        </w:r>
        <w:r w:rsidR="00E61632">
          <w:rPr>
            <w:webHidden/>
          </w:rPr>
          <w:fldChar w:fldCharType="separate"/>
        </w:r>
        <w:r w:rsidR="00022664">
          <w:rPr>
            <w:webHidden/>
          </w:rPr>
          <w:t>26</w:t>
        </w:r>
        <w:r w:rsidR="00E61632">
          <w:rPr>
            <w:webHidden/>
          </w:rPr>
          <w:fldChar w:fldCharType="end"/>
        </w:r>
      </w:hyperlink>
    </w:p>
    <w:p w14:paraId="52E6362B" w14:textId="1550B6E7" w:rsidR="00E61632" w:rsidRDefault="002E5535">
      <w:pPr>
        <w:pStyle w:val="TOC3"/>
        <w:rPr>
          <w:rFonts w:eastAsiaTheme="minorEastAsia"/>
          <w:noProof/>
          <w:sz w:val="24"/>
          <w:szCs w:val="24"/>
        </w:rPr>
      </w:pPr>
      <w:hyperlink w:anchor="_Toc22627732" w:history="1">
        <w:r w:rsidR="00E61632" w:rsidRPr="00400D8B">
          <w:rPr>
            <w:rStyle w:val="Hyperlink"/>
            <w:noProof/>
          </w:rPr>
          <w:t>1.8.1</w:t>
        </w:r>
        <w:r w:rsidR="00E61632">
          <w:rPr>
            <w:rFonts w:eastAsiaTheme="minorEastAsia"/>
            <w:noProof/>
            <w:sz w:val="24"/>
            <w:szCs w:val="24"/>
          </w:rPr>
          <w:tab/>
        </w:r>
        <w:r w:rsidR="00E61632" w:rsidRPr="00400D8B">
          <w:rPr>
            <w:rStyle w:val="Hyperlink"/>
            <w:i/>
            <w:noProof/>
          </w:rPr>
          <w:t>Operation Tusket: Interim Report</w:t>
        </w:r>
        <w:r w:rsidR="00E61632" w:rsidRPr="00400D8B">
          <w:rPr>
            <w:rStyle w:val="Hyperlink"/>
            <w:noProof/>
          </w:rPr>
          <w:t>, August 2018</w:t>
        </w:r>
        <w:r w:rsidR="00E61632">
          <w:rPr>
            <w:noProof/>
            <w:webHidden/>
          </w:rPr>
          <w:tab/>
        </w:r>
        <w:r w:rsidR="00E61632">
          <w:rPr>
            <w:noProof/>
            <w:webHidden/>
          </w:rPr>
          <w:fldChar w:fldCharType="begin"/>
        </w:r>
        <w:r w:rsidR="00E61632">
          <w:rPr>
            <w:noProof/>
            <w:webHidden/>
          </w:rPr>
          <w:instrText xml:space="preserve"> PAGEREF _Toc22627732 \h </w:instrText>
        </w:r>
        <w:r w:rsidR="00E61632">
          <w:rPr>
            <w:noProof/>
            <w:webHidden/>
          </w:rPr>
        </w:r>
        <w:r w:rsidR="00E61632">
          <w:rPr>
            <w:noProof/>
            <w:webHidden/>
          </w:rPr>
          <w:fldChar w:fldCharType="separate"/>
        </w:r>
        <w:r w:rsidR="00022664">
          <w:rPr>
            <w:noProof/>
            <w:webHidden/>
          </w:rPr>
          <w:t>26</w:t>
        </w:r>
        <w:r w:rsidR="00E61632">
          <w:rPr>
            <w:noProof/>
            <w:webHidden/>
          </w:rPr>
          <w:fldChar w:fldCharType="end"/>
        </w:r>
      </w:hyperlink>
    </w:p>
    <w:p w14:paraId="64B8E9FC" w14:textId="1DB34B81" w:rsidR="00E61632" w:rsidRDefault="002E5535">
      <w:pPr>
        <w:pStyle w:val="TOC3"/>
        <w:rPr>
          <w:rFonts w:eastAsiaTheme="minorEastAsia"/>
          <w:noProof/>
          <w:sz w:val="24"/>
          <w:szCs w:val="24"/>
        </w:rPr>
      </w:pPr>
      <w:hyperlink w:anchor="_Toc22627733" w:history="1">
        <w:r w:rsidR="00E61632" w:rsidRPr="00400D8B">
          <w:rPr>
            <w:rStyle w:val="Hyperlink"/>
            <w:noProof/>
          </w:rPr>
          <w:t>1.8.2</w:t>
        </w:r>
        <w:r w:rsidR="00E61632">
          <w:rPr>
            <w:rFonts w:eastAsiaTheme="minorEastAsia"/>
            <w:noProof/>
            <w:sz w:val="24"/>
            <w:szCs w:val="24"/>
          </w:rPr>
          <w:tab/>
        </w:r>
        <w:r w:rsidR="00E61632" w:rsidRPr="00400D8B">
          <w:rPr>
            <w:rStyle w:val="Hyperlink"/>
            <w:noProof/>
          </w:rPr>
          <w:t>Consultation Briefing on issues with the</w:t>
        </w:r>
        <w:r w:rsidR="00E61632" w:rsidRPr="00400D8B">
          <w:rPr>
            <w:rStyle w:val="Hyperlink"/>
            <w:i/>
            <w:noProof/>
          </w:rPr>
          <w:t xml:space="preserve"> Child Protection (Offenders</w:t>
        </w:r>
        <w:r w:rsidR="0006759C">
          <w:rPr>
            <w:rStyle w:val="Hyperlink"/>
            <w:i/>
            <w:noProof/>
          </w:rPr>
          <w:t> </w:t>
        </w:r>
        <w:r w:rsidR="00E61632" w:rsidRPr="00400D8B">
          <w:rPr>
            <w:rStyle w:val="Hyperlink"/>
            <w:i/>
            <w:noProof/>
          </w:rPr>
          <w:t>Registration) Act 2000</w:t>
        </w:r>
        <w:r w:rsidR="00E61632" w:rsidRPr="00400D8B">
          <w:rPr>
            <w:rStyle w:val="Hyperlink"/>
            <w:noProof/>
          </w:rPr>
          <w:t xml:space="preserve"> (NSW), October 2018</w:t>
        </w:r>
        <w:r w:rsidR="00E61632">
          <w:rPr>
            <w:noProof/>
            <w:webHidden/>
          </w:rPr>
          <w:tab/>
        </w:r>
        <w:r w:rsidR="00E61632">
          <w:rPr>
            <w:noProof/>
            <w:webHidden/>
          </w:rPr>
          <w:fldChar w:fldCharType="begin"/>
        </w:r>
        <w:r w:rsidR="00E61632">
          <w:rPr>
            <w:noProof/>
            <w:webHidden/>
          </w:rPr>
          <w:instrText xml:space="preserve"> PAGEREF _Toc22627733 \h </w:instrText>
        </w:r>
        <w:r w:rsidR="00E61632">
          <w:rPr>
            <w:noProof/>
            <w:webHidden/>
          </w:rPr>
        </w:r>
        <w:r w:rsidR="00E61632">
          <w:rPr>
            <w:noProof/>
            <w:webHidden/>
          </w:rPr>
          <w:fldChar w:fldCharType="separate"/>
        </w:r>
        <w:r w:rsidR="00022664">
          <w:rPr>
            <w:noProof/>
            <w:webHidden/>
          </w:rPr>
          <w:t>26</w:t>
        </w:r>
        <w:r w:rsidR="00E61632">
          <w:rPr>
            <w:noProof/>
            <w:webHidden/>
          </w:rPr>
          <w:fldChar w:fldCharType="end"/>
        </w:r>
      </w:hyperlink>
    </w:p>
    <w:p w14:paraId="24F544A3" w14:textId="5E844A15" w:rsidR="00E61632" w:rsidRDefault="002E5535">
      <w:pPr>
        <w:pStyle w:val="TOC2"/>
        <w:rPr>
          <w:rFonts w:eastAsiaTheme="minorEastAsia"/>
          <w:sz w:val="24"/>
          <w:szCs w:val="24"/>
        </w:rPr>
      </w:pPr>
      <w:hyperlink w:anchor="_Toc22627734" w:history="1">
        <w:r w:rsidR="00E61632" w:rsidRPr="00400D8B">
          <w:rPr>
            <w:rStyle w:val="Hyperlink"/>
          </w:rPr>
          <w:t>1.9</w:t>
        </w:r>
        <w:r w:rsidR="00E61632">
          <w:rPr>
            <w:rFonts w:eastAsiaTheme="minorEastAsia"/>
            <w:sz w:val="24"/>
            <w:szCs w:val="24"/>
          </w:rPr>
          <w:tab/>
        </w:r>
        <w:r w:rsidR="00E61632" w:rsidRPr="00400D8B">
          <w:rPr>
            <w:rStyle w:val="Hyperlink"/>
          </w:rPr>
          <w:t>Final report on Operation Tusket</w:t>
        </w:r>
        <w:r w:rsidR="00E61632">
          <w:rPr>
            <w:webHidden/>
          </w:rPr>
          <w:tab/>
        </w:r>
        <w:r w:rsidR="00E61632">
          <w:rPr>
            <w:webHidden/>
          </w:rPr>
          <w:fldChar w:fldCharType="begin"/>
        </w:r>
        <w:r w:rsidR="00E61632">
          <w:rPr>
            <w:webHidden/>
          </w:rPr>
          <w:instrText xml:space="preserve"> PAGEREF _Toc22627734 \h </w:instrText>
        </w:r>
        <w:r w:rsidR="00E61632">
          <w:rPr>
            <w:webHidden/>
          </w:rPr>
        </w:r>
        <w:r w:rsidR="00E61632">
          <w:rPr>
            <w:webHidden/>
          </w:rPr>
          <w:fldChar w:fldCharType="separate"/>
        </w:r>
        <w:r w:rsidR="00022664">
          <w:rPr>
            <w:webHidden/>
          </w:rPr>
          <w:t>27</w:t>
        </w:r>
        <w:r w:rsidR="00E61632">
          <w:rPr>
            <w:webHidden/>
          </w:rPr>
          <w:fldChar w:fldCharType="end"/>
        </w:r>
      </w:hyperlink>
    </w:p>
    <w:p w14:paraId="7056DDC1" w14:textId="698FFB81" w:rsidR="00E61632" w:rsidRDefault="002E5535">
      <w:pPr>
        <w:pStyle w:val="TOC1"/>
        <w:rPr>
          <w:rFonts w:eastAsiaTheme="minorEastAsia"/>
          <w:caps w:val="0"/>
          <w:color w:val="auto"/>
          <w:sz w:val="24"/>
          <w:szCs w:val="24"/>
        </w:rPr>
      </w:pPr>
      <w:hyperlink w:anchor="_Toc22627735" w:history="1">
        <w:r w:rsidR="00E61632" w:rsidRPr="00400D8B">
          <w:rPr>
            <w:rStyle w:val="Hyperlink"/>
            <w:rFonts w:ascii="Gotham Bold" w:hAnsi="Gotham Bold" w:cs="Gotham Book"/>
            <w:b/>
          </w:rPr>
          <w:t>2.</w:t>
        </w:r>
        <w:r w:rsidR="00E61632">
          <w:rPr>
            <w:rFonts w:eastAsiaTheme="minorEastAsia"/>
            <w:caps w:val="0"/>
            <w:color w:val="auto"/>
            <w:sz w:val="24"/>
            <w:szCs w:val="24"/>
          </w:rPr>
          <w:tab/>
        </w:r>
        <w:r w:rsidR="00E61632" w:rsidRPr="00400D8B">
          <w:rPr>
            <w:rStyle w:val="Hyperlink"/>
          </w:rPr>
          <w:t>The NSW Child Protection Register</w:t>
        </w:r>
        <w:r w:rsidR="00E61632">
          <w:rPr>
            <w:webHidden/>
          </w:rPr>
          <w:tab/>
        </w:r>
        <w:r w:rsidR="00E61632">
          <w:rPr>
            <w:webHidden/>
          </w:rPr>
          <w:fldChar w:fldCharType="begin"/>
        </w:r>
        <w:r w:rsidR="00E61632">
          <w:rPr>
            <w:webHidden/>
          </w:rPr>
          <w:instrText xml:space="preserve"> PAGEREF _Toc22627735 \h </w:instrText>
        </w:r>
        <w:r w:rsidR="00E61632">
          <w:rPr>
            <w:webHidden/>
          </w:rPr>
        </w:r>
        <w:r w:rsidR="00E61632">
          <w:rPr>
            <w:webHidden/>
          </w:rPr>
          <w:fldChar w:fldCharType="separate"/>
        </w:r>
        <w:r w:rsidR="00022664">
          <w:rPr>
            <w:webHidden/>
          </w:rPr>
          <w:t>28</w:t>
        </w:r>
        <w:r w:rsidR="00E61632">
          <w:rPr>
            <w:webHidden/>
          </w:rPr>
          <w:fldChar w:fldCharType="end"/>
        </w:r>
      </w:hyperlink>
    </w:p>
    <w:p w14:paraId="4F862C53" w14:textId="323DDA96" w:rsidR="00E61632" w:rsidRDefault="002E5535">
      <w:pPr>
        <w:pStyle w:val="TOC2"/>
        <w:rPr>
          <w:rFonts w:eastAsiaTheme="minorEastAsia"/>
          <w:sz w:val="24"/>
          <w:szCs w:val="24"/>
        </w:rPr>
      </w:pPr>
      <w:hyperlink w:anchor="_Toc22627736" w:history="1">
        <w:r w:rsidR="00E61632" w:rsidRPr="00400D8B">
          <w:rPr>
            <w:rStyle w:val="Hyperlink"/>
          </w:rPr>
          <w:t>2.1</w:t>
        </w:r>
        <w:r w:rsidR="00E61632">
          <w:rPr>
            <w:rFonts w:eastAsiaTheme="minorEastAsia"/>
            <w:sz w:val="24"/>
            <w:szCs w:val="24"/>
          </w:rPr>
          <w:tab/>
        </w:r>
        <w:r w:rsidR="00E61632" w:rsidRPr="00400D8B">
          <w:rPr>
            <w:rStyle w:val="Hyperlink"/>
          </w:rPr>
          <w:t>Introduction</w:t>
        </w:r>
        <w:r w:rsidR="00E61632">
          <w:rPr>
            <w:webHidden/>
          </w:rPr>
          <w:tab/>
        </w:r>
        <w:r w:rsidR="00E61632">
          <w:rPr>
            <w:webHidden/>
          </w:rPr>
          <w:fldChar w:fldCharType="begin"/>
        </w:r>
        <w:r w:rsidR="00E61632">
          <w:rPr>
            <w:webHidden/>
          </w:rPr>
          <w:instrText xml:space="preserve"> PAGEREF _Toc22627736 \h </w:instrText>
        </w:r>
        <w:r w:rsidR="00E61632">
          <w:rPr>
            <w:webHidden/>
          </w:rPr>
        </w:r>
        <w:r w:rsidR="00E61632">
          <w:rPr>
            <w:webHidden/>
          </w:rPr>
          <w:fldChar w:fldCharType="separate"/>
        </w:r>
        <w:r w:rsidR="00022664">
          <w:rPr>
            <w:webHidden/>
          </w:rPr>
          <w:t>29</w:t>
        </w:r>
        <w:r w:rsidR="00E61632">
          <w:rPr>
            <w:webHidden/>
          </w:rPr>
          <w:fldChar w:fldCharType="end"/>
        </w:r>
      </w:hyperlink>
    </w:p>
    <w:p w14:paraId="695F45B1" w14:textId="76E9680F" w:rsidR="00E61632" w:rsidRDefault="002E5535">
      <w:pPr>
        <w:pStyle w:val="TOC2"/>
        <w:rPr>
          <w:rFonts w:eastAsiaTheme="minorEastAsia"/>
          <w:sz w:val="24"/>
          <w:szCs w:val="24"/>
        </w:rPr>
      </w:pPr>
      <w:hyperlink w:anchor="_Toc22627737" w:history="1">
        <w:r w:rsidR="00E61632" w:rsidRPr="00400D8B">
          <w:rPr>
            <w:rStyle w:val="Hyperlink"/>
            <w:rFonts w:ascii="Gotham Book" w:hAnsi="Gotham Book"/>
          </w:rPr>
          <w:t>2.2</w:t>
        </w:r>
        <w:r w:rsidR="00E61632">
          <w:rPr>
            <w:rFonts w:eastAsiaTheme="minorEastAsia"/>
            <w:sz w:val="24"/>
            <w:szCs w:val="24"/>
          </w:rPr>
          <w:tab/>
        </w:r>
        <w:r w:rsidR="00E61632" w:rsidRPr="00400D8B">
          <w:rPr>
            <w:rStyle w:val="Hyperlink"/>
            <w:rFonts w:ascii="Gotham Book" w:hAnsi="Gotham Book"/>
          </w:rPr>
          <w:t>Key elements of the Child Protection Register</w:t>
        </w:r>
        <w:r w:rsidR="00E61632">
          <w:rPr>
            <w:webHidden/>
          </w:rPr>
          <w:tab/>
        </w:r>
        <w:r w:rsidR="00E61632">
          <w:rPr>
            <w:webHidden/>
          </w:rPr>
          <w:fldChar w:fldCharType="begin"/>
        </w:r>
        <w:r w:rsidR="00E61632">
          <w:rPr>
            <w:webHidden/>
          </w:rPr>
          <w:instrText xml:space="preserve"> PAGEREF _Toc22627737 \h </w:instrText>
        </w:r>
        <w:r w:rsidR="00E61632">
          <w:rPr>
            <w:webHidden/>
          </w:rPr>
        </w:r>
        <w:r w:rsidR="00E61632">
          <w:rPr>
            <w:webHidden/>
          </w:rPr>
          <w:fldChar w:fldCharType="separate"/>
        </w:r>
        <w:r w:rsidR="00022664">
          <w:rPr>
            <w:webHidden/>
          </w:rPr>
          <w:t>29</w:t>
        </w:r>
        <w:r w:rsidR="00E61632">
          <w:rPr>
            <w:webHidden/>
          </w:rPr>
          <w:fldChar w:fldCharType="end"/>
        </w:r>
      </w:hyperlink>
    </w:p>
    <w:p w14:paraId="07017377" w14:textId="777C6136" w:rsidR="00E61632" w:rsidRDefault="002E5535">
      <w:pPr>
        <w:pStyle w:val="TOC3"/>
        <w:rPr>
          <w:rFonts w:eastAsiaTheme="minorEastAsia"/>
          <w:noProof/>
          <w:sz w:val="24"/>
          <w:szCs w:val="24"/>
        </w:rPr>
      </w:pPr>
      <w:hyperlink w:anchor="_Toc22627738" w:history="1">
        <w:r w:rsidR="00E61632" w:rsidRPr="00400D8B">
          <w:rPr>
            <w:rStyle w:val="Hyperlink"/>
            <w:noProof/>
          </w:rPr>
          <w:t>2.2.1</w:t>
        </w:r>
        <w:r w:rsidR="00E61632">
          <w:rPr>
            <w:rFonts w:eastAsiaTheme="minorEastAsia"/>
            <w:noProof/>
            <w:sz w:val="24"/>
            <w:szCs w:val="24"/>
          </w:rPr>
          <w:tab/>
        </w:r>
        <w:r w:rsidR="00E61632" w:rsidRPr="00400D8B">
          <w:rPr>
            <w:rStyle w:val="Hyperlink"/>
            <w:noProof/>
          </w:rPr>
          <w:t>Offenders sentenced for ‘registrable offences’ ar</w:t>
        </w:r>
        <w:r w:rsidR="00E61632" w:rsidRPr="00A30707">
          <w:rPr>
            <w:rStyle w:val="Hyperlink"/>
            <w:noProof/>
          </w:rPr>
          <w:t>e ‘registrable persons’</w:t>
        </w:r>
        <w:r w:rsidR="00E61632">
          <w:rPr>
            <w:noProof/>
            <w:webHidden/>
          </w:rPr>
          <w:tab/>
        </w:r>
        <w:r w:rsidR="00E61632">
          <w:rPr>
            <w:noProof/>
            <w:webHidden/>
          </w:rPr>
          <w:fldChar w:fldCharType="begin"/>
        </w:r>
        <w:r w:rsidR="00E61632">
          <w:rPr>
            <w:noProof/>
            <w:webHidden/>
          </w:rPr>
          <w:instrText xml:space="preserve"> PAGEREF _Toc22627738 \h </w:instrText>
        </w:r>
        <w:r w:rsidR="00E61632">
          <w:rPr>
            <w:noProof/>
            <w:webHidden/>
          </w:rPr>
        </w:r>
        <w:r w:rsidR="00E61632">
          <w:rPr>
            <w:noProof/>
            <w:webHidden/>
          </w:rPr>
          <w:fldChar w:fldCharType="separate"/>
        </w:r>
        <w:r w:rsidR="00022664">
          <w:rPr>
            <w:noProof/>
            <w:webHidden/>
          </w:rPr>
          <w:t>29</w:t>
        </w:r>
        <w:r w:rsidR="00E61632">
          <w:rPr>
            <w:noProof/>
            <w:webHidden/>
          </w:rPr>
          <w:fldChar w:fldCharType="end"/>
        </w:r>
      </w:hyperlink>
    </w:p>
    <w:p w14:paraId="5DB75FBD" w14:textId="15655AF9" w:rsidR="00E61632" w:rsidRDefault="002E5535">
      <w:pPr>
        <w:pStyle w:val="TOC3"/>
        <w:rPr>
          <w:rFonts w:eastAsiaTheme="minorEastAsia"/>
          <w:noProof/>
          <w:sz w:val="24"/>
          <w:szCs w:val="24"/>
        </w:rPr>
      </w:pPr>
      <w:hyperlink w:anchor="_Toc22627739" w:history="1">
        <w:r w:rsidR="00E61632" w:rsidRPr="00400D8B">
          <w:rPr>
            <w:rStyle w:val="Hyperlink"/>
            <w:noProof/>
          </w:rPr>
          <w:t>2.2.2</w:t>
        </w:r>
        <w:r w:rsidR="00E61632">
          <w:rPr>
            <w:rFonts w:eastAsiaTheme="minorEastAsia"/>
            <w:noProof/>
            <w:sz w:val="24"/>
            <w:szCs w:val="24"/>
          </w:rPr>
          <w:tab/>
        </w:r>
        <w:r w:rsidR="00E61632" w:rsidRPr="00400D8B">
          <w:rPr>
            <w:rStyle w:val="Hyperlink"/>
            <w:noProof/>
          </w:rPr>
          <w:t>Registrable persons are required to report their personal information</w:t>
        </w:r>
        <w:r w:rsidR="0006759C">
          <w:rPr>
            <w:rStyle w:val="Hyperlink"/>
            <w:noProof/>
          </w:rPr>
          <w:t> </w:t>
        </w:r>
        <w:r w:rsidR="00E61632" w:rsidRPr="00400D8B">
          <w:rPr>
            <w:rStyle w:val="Hyperlink"/>
            <w:noProof/>
          </w:rPr>
          <w:t>to police</w:t>
        </w:r>
        <w:r w:rsidR="00E61632">
          <w:rPr>
            <w:noProof/>
            <w:webHidden/>
          </w:rPr>
          <w:tab/>
        </w:r>
        <w:r w:rsidR="00E61632">
          <w:rPr>
            <w:noProof/>
            <w:webHidden/>
          </w:rPr>
          <w:fldChar w:fldCharType="begin"/>
        </w:r>
        <w:r w:rsidR="00E61632">
          <w:rPr>
            <w:noProof/>
            <w:webHidden/>
          </w:rPr>
          <w:instrText xml:space="preserve"> PAGEREF _Toc22627739 \h </w:instrText>
        </w:r>
        <w:r w:rsidR="00E61632">
          <w:rPr>
            <w:noProof/>
            <w:webHidden/>
          </w:rPr>
        </w:r>
        <w:r w:rsidR="00E61632">
          <w:rPr>
            <w:noProof/>
            <w:webHidden/>
          </w:rPr>
          <w:fldChar w:fldCharType="separate"/>
        </w:r>
        <w:r w:rsidR="00022664">
          <w:rPr>
            <w:noProof/>
            <w:webHidden/>
          </w:rPr>
          <w:t>30</w:t>
        </w:r>
        <w:r w:rsidR="00E61632">
          <w:rPr>
            <w:noProof/>
            <w:webHidden/>
          </w:rPr>
          <w:fldChar w:fldCharType="end"/>
        </w:r>
      </w:hyperlink>
    </w:p>
    <w:p w14:paraId="5EE0C8C0" w14:textId="2E54E930" w:rsidR="00E61632" w:rsidRDefault="002E5535">
      <w:pPr>
        <w:pStyle w:val="TOC3"/>
        <w:rPr>
          <w:rFonts w:eastAsiaTheme="minorEastAsia"/>
          <w:noProof/>
          <w:sz w:val="24"/>
          <w:szCs w:val="24"/>
        </w:rPr>
      </w:pPr>
      <w:hyperlink w:anchor="_Toc22627740" w:history="1">
        <w:r w:rsidR="00E61632" w:rsidRPr="00400D8B">
          <w:rPr>
            <w:rStyle w:val="Hyperlink"/>
            <w:noProof/>
          </w:rPr>
          <w:t>2.2.3</w:t>
        </w:r>
        <w:r w:rsidR="00E61632">
          <w:rPr>
            <w:rFonts w:eastAsiaTheme="minorEastAsia"/>
            <w:noProof/>
            <w:sz w:val="24"/>
            <w:szCs w:val="24"/>
          </w:rPr>
          <w:tab/>
        </w:r>
        <w:r w:rsidR="00E61632" w:rsidRPr="00400D8B">
          <w:rPr>
            <w:rStyle w:val="Hyperlink"/>
            <w:noProof/>
          </w:rPr>
          <w:t>Calculation of registrable persons’ ‘reporting periods’</w:t>
        </w:r>
        <w:r w:rsidR="00E61632">
          <w:rPr>
            <w:noProof/>
            <w:webHidden/>
          </w:rPr>
          <w:tab/>
        </w:r>
        <w:r w:rsidR="00E61632">
          <w:rPr>
            <w:noProof/>
            <w:webHidden/>
          </w:rPr>
          <w:fldChar w:fldCharType="begin"/>
        </w:r>
        <w:r w:rsidR="00E61632">
          <w:rPr>
            <w:noProof/>
            <w:webHidden/>
          </w:rPr>
          <w:instrText xml:space="preserve"> PAGEREF _Toc22627740 \h </w:instrText>
        </w:r>
        <w:r w:rsidR="00E61632">
          <w:rPr>
            <w:noProof/>
            <w:webHidden/>
          </w:rPr>
        </w:r>
        <w:r w:rsidR="00E61632">
          <w:rPr>
            <w:noProof/>
            <w:webHidden/>
          </w:rPr>
          <w:fldChar w:fldCharType="separate"/>
        </w:r>
        <w:r w:rsidR="00022664">
          <w:rPr>
            <w:noProof/>
            <w:webHidden/>
          </w:rPr>
          <w:t>31</w:t>
        </w:r>
        <w:r w:rsidR="00E61632">
          <w:rPr>
            <w:noProof/>
            <w:webHidden/>
          </w:rPr>
          <w:fldChar w:fldCharType="end"/>
        </w:r>
      </w:hyperlink>
    </w:p>
    <w:p w14:paraId="70824796" w14:textId="51137816" w:rsidR="00E61632" w:rsidRDefault="002E5535">
      <w:pPr>
        <w:pStyle w:val="TOC3"/>
        <w:rPr>
          <w:rFonts w:eastAsiaTheme="minorEastAsia"/>
          <w:noProof/>
          <w:sz w:val="24"/>
          <w:szCs w:val="24"/>
        </w:rPr>
      </w:pPr>
      <w:hyperlink w:anchor="_Toc22627741" w:history="1">
        <w:r w:rsidR="00E61632" w:rsidRPr="00400D8B">
          <w:rPr>
            <w:rStyle w:val="Hyperlink"/>
            <w:noProof/>
          </w:rPr>
          <w:t>2.2.4</w:t>
        </w:r>
        <w:r w:rsidR="00E61632">
          <w:rPr>
            <w:rFonts w:eastAsiaTheme="minorEastAsia"/>
            <w:noProof/>
            <w:sz w:val="24"/>
            <w:szCs w:val="24"/>
          </w:rPr>
          <w:tab/>
        </w:r>
        <w:r w:rsidR="00E61632" w:rsidRPr="00400D8B">
          <w:rPr>
            <w:rStyle w:val="Hyperlink"/>
            <w:noProof/>
          </w:rPr>
          <w:t xml:space="preserve">Other restrictions and obligations applicable to </w:t>
        </w:r>
        <w:r w:rsidR="0006759C">
          <w:rPr>
            <w:rStyle w:val="Hyperlink"/>
            <w:noProof/>
          </w:rPr>
          <w:br/>
        </w:r>
        <w:r w:rsidR="00E61632" w:rsidRPr="00400D8B">
          <w:rPr>
            <w:rStyle w:val="Hyperlink"/>
            <w:noProof/>
          </w:rPr>
          <w:t>registrable persons</w:t>
        </w:r>
        <w:r w:rsidR="00E61632">
          <w:rPr>
            <w:noProof/>
            <w:webHidden/>
          </w:rPr>
          <w:tab/>
        </w:r>
        <w:r w:rsidR="00E61632">
          <w:rPr>
            <w:noProof/>
            <w:webHidden/>
          </w:rPr>
          <w:fldChar w:fldCharType="begin"/>
        </w:r>
        <w:r w:rsidR="00E61632">
          <w:rPr>
            <w:noProof/>
            <w:webHidden/>
          </w:rPr>
          <w:instrText xml:space="preserve"> PAGEREF _Toc22627741 \h </w:instrText>
        </w:r>
        <w:r w:rsidR="00E61632">
          <w:rPr>
            <w:noProof/>
            <w:webHidden/>
          </w:rPr>
        </w:r>
        <w:r w:rsidR="00E61632">
          <w:rPr>
            <w:noProof/>
            <w:webHidden/>
          </w:rPr>
          <w:fldChar w:fldCharType="separate"/>
        </w:r>
        <w:r w:rsidR="00022664">
          <w:rPr>
            <w:noProof/>
            <w:webHidden/>
          </w:rPr>
          <w:t>32</w:t>
        </w:r>
        <w:r w:rsidR="00E61632">
          <w:rPr>
            <w:noProof/>
            <w:webHidden/>
          </w:rPr>
          <w:fldChar w:fldCharType="end"/>
        </w:r>
      </w:hyperlink>
    </w:p>
    <w:p w14:paraId="51013D87" w14:textId="680A07C9" w:rsidR="00E61632" w:rsidRDefault="002E5535">
      <w:pPr>
        <w:pStyle w:val="TOC2"/>
        <w:rPr>
          <w:rFonts w:eastAsiaTheme="minorEastAsia"/>
          <w:sz w:val="24"/>
          <w:szCs w:val="24"/>
        </w:rPr>
      </w:pPr>
      <w:hyperlink w:anchor="_Toc22627742" w:history="1">
        <w:r w:rsidR="00E61632" w:rsidRPr="00400D8B">
          <w:rPr>
            <w:rStyle w:val="Hyperlink"/>
            <w:rFonts w:ascii="Gotham Book" w:hAnsi="Gotham Book"/>
          </w:rPr>
          <w:t>2.3</w:t>
        </w:r>
        <w:r w:rsidR="00E61632">
          <w:rPr>
            <w:rFonts w:eastAsiaTheme="minorEastAsia"/>
            <w:sz w:val="24"/>
            <w:szCs w:val="24"/>
          </w:rPr>
          <w:tab/>
        </w:r>
        <w:r w:rsidR="00E61632" w:rsidRPr="00400D8B">
          <w:rPr>
            <w:rStyle w:val="Hyperlink"/>
            <w:rFonts w:ascii="Gotham Book" w:hAnsi="Gotham Book"/>
          </w:rPr>
          <w:t>Purposes of the Child Protection Register</w:t>
        </w:r>
        <w:r w:rsidR="00E61632">
          <w:rPr>
            <w:webHidden/>
          </w:rPr>
          <w:tab/>
        </w:r>
        <w:r w:rsidR="00E61632">
          <w:rPr>
            <w:webHidden/>
          </w:rPr>
          <w:fldChar w:fldCharType="begin"/>
        </w:r>
        <w:r w:rsidR="00E61632">
          <w:rPr>
            <w:webHidden/>
          </w:rPr>
          <w:instrText xml:space="preserve"> PAGEREF _Toc22627742 \h </w:instrText>
        </w:r>
        <w:r w:rsidR="00E61632">
          <w:rPr>
            <w:webHidden/>
          </w:rPr>
        </w:r>
        <w:r w:rsidR="00E61632">
          <w:rPr>
            <w:webHidden/>
          </w:rPr>
          <w:fldChar w:fldCharType="separate"/>
        </w:r>
        <w:r w:rsidR="00022664">
          <w:rPr>
            <w:webHidden/>
          </w:rPr>
          <w:t>33</w:t>
        </w:r>
        <w:r w:rsidR="00E61632">
          <w:rPr>
            <w:webHidden/>
          </w:rPr>
          <w:fldChar w:fldCharType="end"/>
        </w:r>
      </w:hyperlink>
    </w:p>
    <w:p w14:paraId="37A23D95" w14:textId="2F89A835" w:rsidR="00E61632" w:rsidRDefault="002E5535">
      <w:pPr>
        <w:pStyle w:val="TOC2"/>
        <w:rPr>
          <w:rFonts w:eastAsiaTheme="minorEastAsia"/>
          <w:sz w:val="24"/>
          <w:szCs w:val="24"/>
        </w:rPr>
      </w:pPr>
      <w:hyperlink w:anchor="_Toc22627743" w:history="1">
        <w:r w:rsidR="00E61632" w:rsidRPr="00400D8B">
          <w:rPr>
            <w:rStyle w:val="Hyperlink"/>
            <w:rFonts w:ascii="Gotham Book" w:hAnsi="Gotham Book"/>
          </w:rPr>
          <w:t>2.4</w:t>
        </w:r>
        <w:r w:rsidR="00E61632">
          <w:rPr>
            <w:rFonts w:eastAsiaTheme="minorEastAsia"/>
            <w:sz w:val="24"/>
            <w:szCs w:val="24"/>
          </w:rPr>
          <w:tab/>
        </w:r>
        <w:r w:rsidR="00E61632" w:rsidRPr="00400D8B">
          <w:rPr>
            <w:rStyle w:val="Hyperlink"/>
          </w:rPr>
          <w:t xml:space="preserve">Statutory </w:t>
        </w:r>
        <w:r w:rsidR="00E61632" w:rsidRPr="00400D8B">
          <w:rPr>
            <w:rStyle w:val="Hyperlink"/>
            <w:rFonts w:ascii="Gotham Book" w:hAnsi="Gotham Book"/>
          </w:rPr>
          <w:t>responsibility for implementing the Register</w:t>
        </w:r>
        <w:r w:rsidR="00E61632">
          <w:rPr>
            <w:webHidden/>
          </w:rPr>
          <w:tab/>
        </w:r>
        <w:r w:rsidR="00E61632">
          <w:rPr>
            <w:webHidden/>
          </w:rPr>
          <w:fldChar w:fldCharType="begin"/>
        </w:r>
        <w:r w:rsidR="00E61632">
          <w:rPr>
            <w:webHidden/>
          </w:rPr>
          <w:instrText xml:space="preserve"> PAGEREF _Toc22627743 \h </w:instrText>
        </w:r>
        <w:r w:rsidR="00E61632">
          <w:rPr>
            <w:webHidden/>
          </w:rPr>
        </w:r>
        <w:r w:rsidR="00E61632">
          <w:rPr>
            <w:webHidden/>
          </w:rPr>
          <w:fldChar w:fldCharType="separate"/>
        </w:r>
        <w:r w:rsidR="00022664">
          <w:rPr>
            <w:webHidden/>
          </w:rPr>
          <w:t>33</w:t>
        </w:r>
        <w:r w:rsidR="00E61632">
          <w:rPr>
            <w:webHidden/>
          </w:rPr>
          <w:fldChar w:fldCharType="end"/>
        </w:r>
      </w:hyperlink>
    </w:p>
    <w:p w14:paraId="6621594A" w14:textId="54BD474D" w:rsidR="00E61632" w:rsidRDefault="002E5535">
      <w:pPr>
        <w:pStyle w:val="TOC2"/>
        <w:rPr>
          <w:rFonts w:eastAsiaTheme="minorEastAsia"/>
          <w:sz w:val="24"/>
          <w:szCs w:val="24"/>
        </w:rPr>
      </w:pPr>
      <w:hyperlink w:anchor="_Toc22627744" w:history="1">
        <w:r w:rsidR="00E61632" w:rsidRPr="00400D8B">
          <w:rPr>
            <w:rStyle w:val="Hyperlink"/>
            <w:rFonts w:ascii="Gotham Book" w:hAnsi="Gotham Book"/>
          </w:rPr>
          <w:t>2.5</w:t>
        </w:r>
        <w:r w:rsidR="00E61632">
          <w:rPr>
            <w:rFonts w:eastAsiaTheme="minorEastAsia"/>
            <w:sz w:val="24"/>
            <w:szCs w:val="24"/>
          </w:rPr>
          <w:tab/>
        </w:r>
        <w:r w:rsidR="00E61632" w:rsidRPr="00400D8B">
          <w:rPr>
            <w:rStyle w:val="Hyperlink"/>
            <w:rFonts w:ascii="Gotham Book" w:hAnsi="Gotham Book"/>
          </w:rPr>
          <w:t>The NSW Police Force Child Protection Registry</w:t>
        </w:r>
        <w:r w:rsidR="00E61632">
          <w:rPr>
            <w:webHidden/>
          </w:rPr>
          <w:tab/>
        </w:r>
        <w:r w:rsidR="00E61632">
          <w:rPr>
            <w:webHidden/>
          </w:rPr>
          <w:fldChar w:fldCharType="begin"/>
        </w:r>
        <w:r w:rsidR="00E61632">
          <w:rPr>
            <w:webHidden/>
          </w:rPr>
          <w:instrText xml:space="preserve"> PAGEREF _Toc22627744 \h </w:instrText>
        </w:r>
        <w:r w:rsidR="00E61632">
          <w:rPr>
            <w:webHidden/>
          </w:rPr>
        </w:r>
        <w:r w:rsidR="00E61632">
          <w:rPr>
            <w:webHidden/>
          </w:rPr>
          <w:fldChar w:fldCharType="separate"/>
        </w:r>
        <w:r w:rsidR="00022664">
          <w:rPr>
            <w:webHidden/>
          </w:rPr>
          <w:t>34</w:t>
        </w:r>
        <w:r w:rsidR="00E61632">
          <w:rPr>
            <w:webHidden/>
          </w:rPr>
          <w:fldChar w:fldCharType="end"/>
        </w:r>
      </w:hyperlink>
    </w:p>
    <w:p w14:paraId="286B55C2" w14:textId="54428AE2" w:rsidR="00E61632" w:rsidRDefault="002E5535">
      <w:pPr>
        <w:pStyle w:val="TOC2"/>
        <w:rPr>
          <w:rFonts w:eastAsiaTheme="minorEastAsia"/>
          <w:sz w:val="24"/>
          <w:szCs w:val="24"/>
        </w:rPr>
      </w:pPr>
      <w:hyperlink w:anchor="_Toc22627745" w:history="1">
        <w:r w:rsidR="00E61632" w:rsidRPr="00400D8B">
          <w:rPr>
            <w:rStyle w:val="Hyperlink"/>
            <w:rFonts w:ascii="Gotham Book" w:hAnsi="Gotham Book"/>
          </w:rPr>
          <w:t>2.6</w:t>
        </w:r>
        <w:r w:rsidR="00E61632">
          <w:rPr>
            <w:rFonts w:eastAsiaTheme="minorEastAsia"/>
            <w:sz w:val="24"/>
            <w:szCs w:val="24"/>
          </w:rPr>
          <w:tab/>
        </w:r>
        <w:r w:rsidR="00E61632" w:rsidRPr="00400D8B">
          <w:rPr>
            <w:rStyle w:val="Hyperlink"/>
            <w:rFonts w:ascii="Gotham Book" w:hAnsi="Gotham Book"/>
          </w:rPr>
          <w:t xml:space="preserve">Roles and responsibilities of officers in NSW Police Force </w:t>
        </w:r>
        <w:r w:rsidR="0006759C">
          <w:rPr>
            <w:rStyle w:val="Hyperlink"/>
            <w:rFonts w:ascii="Gotham Book" w:hAnsi="Gotham Book"/>
          </w:rPr>
          <w:br/>
        </w:r>
        <w:r w:rsidR="00E61632" w:rsidRPr="00400D8B">
          <w:rPr>
            <w:rStyle w:val="Hyperlink"/>
            <w:rFonts w:ascii="Gotham Book" w:hAnsi="Gotham Book"/>
          </w:rPr>
          <w:t>local commands</w:t>
        </w:r>
        <w:r w:rsidR="00E61632">
          <w:rPr>
            <w:webHidden/>
          </w:rPr>
          <w:tab/>
        </w:r>
        <w:r w:rsidR="00E61632">
          <w:rPr>
            <w:webHidden/>
          </w:rPr>
          <w:fldChar w:fldCharType="begin"/>
        </w:r>
        <w:r w:rsidR="00E61632">
          <w:rPr>
            <w:webHidden/>
          </w:rPr>
          <w:instrText xml:space="preserve"> PAGEREF _Toc22627745 \h </w:instrText>
        </w:r>
        <w:r w:rsidR="00E61632">
          <w:rPr>
            <w:webHidden/>
          </w:rPr>
        </w:r>
        <w:r w:rsidR="00E61632">
          <w:rPr>
            <w:webHidden/>
          </w:rPr>
          <w:fldChar w:fldCharType="separate"/>
        </w:r>
        <w:r w:rsidR="00022664">
          <w:rPr>
            <w:webHidden/>
          </w:rPr>
          <w:t>34</w:t>
        </w:r>
        <w:r w:rsidR="00E61632">
          <w:rPr>
            <w:webHidden/>
          </w:rPr>
          <w:fldChar w:fldCharType="end"/>
        </w:r>
      </w:hyperlink>
    </w:p>
    <w:p w14:paraId="38C5C034" w14:textId="2B3124AB" w:rsidR="00E61632" w:rsidRDefault="002E5535">
      <w:pPr>
        <w:pStyle w:val="TOC2"/>
        <w:rPr>
          <w:rFonts w:eastAsiaTheme="minorEastAsia"/>
          <w:sz w:val="24"/>
          <w:szCs w:val="24"/>
        </w:rPr>
      </w:pPr>
      <w:hyperlink w:anchor="_Toc22627746" w:history="1">
        <w:r w:rsidR="00E61632" w:rsidRPr="00400D8B">
          <w:rPr>
            <w:rStyle w:val="Hyperlink"/>
          </w:rPr>
          <w:t>2.7</w:t>
        </w:r>
        <w:r w:rsidR="00E61632">
          <w:rPr>
            <w:rFonts w:eastAsiaTheme="minorEastAsia"/>
            <w:sz w:val="24"/>
            <w:szCs w:val="24"/>
          </w:rPr>
          <w:tab/>
        </w:r>
        <w:r w:rsidR="00E61632" w:rsidRPr="00400D8B">
          <w:rPr>
            <w:rStyle w:val="Hyperlink"/>
          </w:rPr>
          <w:t>Part of a national approach to registration of child sex offenders</w:t>
        </w:r>
        <w:r w:rsidR="00E61632">
          <w:rPr>
            <w:webHidden/>
          </w:rPr>
          <w:tab/>
        </w:r>
        <w:r w:rsidR="00E61632">
          <w:rPr>
            <w:webHidden/>
          </w:rPr>
          <w:fldChar w:fldCharType="begin"/>
        </w:r>
        <w:r w:rsidR="00E61632">
          <w:rPr>
            <w:webHidden/>
          </w:rPr>
          <w:instrText xml:space="preserve"> PAGEREF _Toc22627746 \h </w:instrText>
        </w:r>
        <w:r w:rsidR="00E61632">
          <w:rPr>
            <w:webHidden/>
          </w:rPr>
        </w:r>
        <w:r w:rsidR="00E61632">
          <w:rPr>
            <w:webHidden/>
          </w:rPr>
          <w:fldChar w:fldCharType="separate"/>
        </w:r>
        <w:r w:rsidR="00022664">
          <w:rPr>
            <w:webHidden/>
          </w:rPr>
          <w:t>35</w:t>
        </w:r>
        <w:r w:rsidR="00E61632">
          <w:rPr>
            <w:webHidden/>
          </w:rPr>
          <w:fldChar w:fldCharType="end"/>
        </w:r>
      </w:hyperlink>
    </w:p>
    <w:p w14:paraId="156B64BC" w14:textId="3A0336C8" w:rsidR="00E61632" w:rsidRDefault="002E5535">
      <w:pPr>
        <w:pStyle w:val="TOC1"/>
        <w:rPr>
          <w:rFonts w:eastAsiaTheme="minorEastAsia"/>
          <w:caps w:val="0"/>
          <w:color w:val="auto"/>
          <w:sz w:val="24"/>
          <w:szCs w:val="24"/>
        </w:rPr>
      </w:pPr>
      <w:hyperlink w:anchor="_Toc22627747" w:history="1">
        <w:r w:rsidR="00E61632" w:rsidRPr="00400D8B">
          <w:rPr>
            <w:rStyle w:val="Hyperlink"/>
            <w:rFonts w:ascii="Gotham Bold" w:hAnsi="Gotham Bold" w:cs="Gotham Book"/>
            <w:b/>
          </w:rPr>
          <w:t>3.</w:t>
        </w:r>
        <w:r w:rsidR="00E61632">
          <w:rPr>
            <w:rFonts w:eastAsiaTheme="minorEastAsia"/>
            <w:caps w:val="0"/>
            <w:color w:val="auto"/>
            <w:sz w:val="24"/>
            <w:szCs w:val="24"/>
          </w:rPr>
          <w:tab/>
        </w:r>
        <w:r w:rsidR="00E61632" w:rsidRPr="00400D8B">
          <w:rPr>
            <w:rStyle w:val="Hyperlink"/>
          </w:rPr>
          <w:t>Nature, extent and impact of Errors in the RegisteR</w:t>
        </w:r>
        <w:r w:rsidR="00E61632">
          <w:rPr>
            <w:webHidden/>
          </w:rPr>
          <w:tab/>
        </w:r>
        <w:r w:rsidR="00E61632">
          <w:rPr>
            <w:webHidden/>
          </w:rPr>
          <w:fldChar w:fldCharType="begin"/>
        </w:r>
        <w:r w:rsidR="00E61632">
          <w:rPr>
            <w:webHidden/>
          </w:rPr>
          <w:instrText xml:space="preserve"> PAGEREF _Toc22627747 \h </w:instrText>
        </w:r>
        <w:r w:rsidR="00E61632">
          <w:rPr>
            <w:webHidden/>
          </w:rPr>
        </w:r>
        <w:r w:rsidR="00E61632">
          <w:rPr>
            <w:webHidden/>
          </w:rPr>
          <w:fldChar w:fldCharType="separate"/>
        </w:r>
        <w:r w:rsidR="00022664">
          <w:rPr>
            <w:webHidden/>
          </w:rPr>
          <w:t>37</w:t>
        </w:r>
        <w:r w:rsidR="00E61632">
          <w:rPr>
            <w:webHidden/>
          </w:rPr>
          <w:fldChar w:fldCharType="end"/>
        </w:r>
      </w:hyperlink>
    </w:p>
    <w:p w14:paraId="54042B9B" w14:textId="0B967A4B" w:rsidR="00E61632" w:rsidRDefault="002E5535">
      <w:pPr>
        <w:pStyle w:val="TOC2"/>
        <w:rPr>
          <w:rFonts w:eastAsiaTheme="minorEastAsia"/>
          <w:sz w:val="24"/>
          <w:szCs w:val="24"/>
        </w:rPr>
      </w:pPr>
      <w:hyperlink w:anchor="_Toc22627748" w:history="1">
        <w:r w:rsidR="00E61632" w:rsidRPr="00400D8B">
          <w:rPr>
            <w:rStyle w:val="Hyperlink"/>
          </w:rPr>
          <w:t>3.1</w:t>
        </w:r>
        <w:r w:rsidR="00E61632">
          <w:rPr>
            <w:rFonts w:eastAsiaTheme="minorEastAsia"/>
            <w:sz w:val="24"/>
            <w:szCs w:val="24"/>
          </w:rPr>
          <w:tab/>
        </w:r>
        <w:r w:rsidR="00E61632" w:rsidRPr="00400D8B">
          <w:rPr>
            <w:rStyle w:val="Hyperlink"/>
          </w:rPr>
          <w:t>Introduction</w:t>
        </w:r>
        <w:r w:rsidR="00E61632">
          <w:rPr>
            <w:webHidden/>
          </w:rPr>
          <w:tab/>
        </w:r>
        <w:r w:rsidR="00E61632">
          <w:rPr>
            <w:webHidden/>
          </w:rPr>
          <w:fldChar w:fldCharType="begin"/>
        </w:r>
        <w:r w:rsidR="00E61632">
          <w:rPr>
            <w:webHidden/>
          </w:rPr>
          <w:instrText xml:space="preserve"> PAGEREF _Toc22627748 \h </w:instrText>
        </w:r>
        <w:r w:rsidR="00E61632">
          <w:rPr>
            <w:webHidden/>
          </w:rPr>
        </w:r>
        <w:r w:rsidR="00E61632">
          <w:rPr>
            <w:webHidden/>
          </w:rPr>
          <w:fldChar w:fldCharType="separate"/>
        </w:r>
        <w:r w:rsidR="00022664">
          <w:rPr>
            <w:webHidden/>
          </w:rPr>
          <w:t>38</w:t>
        </w:r>
        <w:r w:rsidR="00E61632">
          <w:rPr>
            <w:webHidden/>
          </w:rPr>
          <w:fldChar w:fldCharType="end"/>
        </w:r>
      </w:hyperlink>
    </w:p>
    <w:p w14:paraId="3F09B2B3" w14:textId="38423E6A" w:rsidR="00E61632" w:rsidRDefault="002E5535">
      <w:pPr>
        <w:pStyle w:val="TOC2"/>
        <w:rPr>
          <w:rFonts w:eastAsiaTheme="minorEastAsia"/>
          <w:sz w:val="24"/>
          <w:szCs w:val="24"/>
        </w:rPr>
      </w:pPr>
      <w:hyperlink w:anchor="_Toc22627749" w:history="1">
        <w:r w:rsidR="00E61632" w:rsidRPr="00400D8B">
          <w:rPr>
            <w:rStyle w:val="Hyperlink"/>
          </w:rPr>
          <w:t>3.2</w:t>
        </w:r>
        <w:r w:rsidR="00E61632">
          <w:rPr>
            <w:rFonts w:eastAsiaTheme="minorEastAsia"/>
            <w:sz w:val="24"/>
            <w:szCs w:val="24"/>
          </w:rPr>
          <w:tab/>
        </w:r>
        <w:r w:rsidR="00E61632" w:rsidRPr="00400D8B">
          <w:rPr>
            <w:rStyle w:val="Hyperlink"/>
          </w:rPr>
          <w:t>Internal reports by Registry officers</w:t>
        </w:r>
        <w:r w:rsidR="00E61632">
          <w:rPr>
            <w:webHidden/>
          </w:rPr>
          <w:tab/>
        </w:r>
        <w:r w:rsidR="00E61632">
          <w:rPr>
            <w:webHidden/>
          </w:rPr>
          <w:fldChar w:fldCharType="begin"/>
        </w:r>
        <w:r w:rsidR="00E61632">
          <w:rPr>
            <w:webHidden/>
          </w:rPr>
          <w:instrText xml:space="preserve"> PAGEREF _Toc22627749 \h </w:instrText>
        </w:r>
        <w:r w:rsidR="00E61632">
          <w:rPr>
            <w:webHidden/>
          </w:rPr>
        </w:r>
        <w:r w:rsidR="00E61632">
          <w:rPr>
            <w:webHidden/>
          </w:rPr>
          <w:fldChar w:fldCharType="separate"/>
        </w:r>
        <w:r w:rsidR="00022664">
          <w:rPr>
            <w:webHidden/>
          </w:rPr>
          <w:t>39</w:t>
        </w:r>
        <w:r w:rsidR="00E61632">
          <w:rPr>
            <w:webHidden/>
          </w:rPr>
          <w:fldChar w:fldCharType="end"/>
        </w:r>
      </w:hyperlink>
    </w:p>
    <w:p w14:paraId="72194B40" w14:textId="0C07BB5B" w:rsidR="00E61632" w:rsidRDefault="002E5535">
      <w:pPr>
        <w:pStyle w:val="TOC3"/>
        <w:rPr>
          <w:rFonts w:eastAsiaTheme="minorEastAsia"/>
          <w:noProof/>
          <w:sz w:val="24"/>
          <w:szCs w:val="24"/>
        </w:rPr>
      </w:pPr>
      <w:hyperlink w:anchor="_Toc22627750" w:history="1">
        <w:r w:rsidR="00E61632" w:rsidRPr="00400D8B">
          <w:rPr>
            <w:rStyle w:val="Hyperlink"/>
            <w:noProof/>
          </w:rPr>
          <w:t>3.2.1</w:t>
        </w:r>
        <w:r w:rsidR="00E61632">
          <w:rPr>
            <w:rFonts w:eastAsiaTheme="minorEastAsia"/>
            <w:noProof/>
            <w:sz w:val="24"/>
            <w:szCs w:val="24"/>
          </w:rPr>
          <w:tab/>
        </w:r>
        <w:r w:rsidR="00E61632" w:rsidRPr="00400D8B">
          <w:rPr>
            <w:rStyle w:val="Hyperlink"/>
            <w:noProof/>
          </w:rPr>
          <w:t>Report of problems with electronic systems identifying when a</w:t>
        </w:r>
        <w:r w:rsidR="0006759C">
          <w:rPr>
            <w:rStyle w:val="Hyperlink"/>
            <w:noProof/>
          </w:rPr>
          <w:t> </w:t>
        </w:r>
        <w:r w:rsidR="00E61632" w:rsidRPr="00400D8B">
          <w:rPr>
            <w:rStyle w:val="Hyperlink"/>
            <w:noProof/>
          </w:rPr>
          <w:t>registrable person was released from prison</w:t>
        </w:r>
        <w:r w:rsidR="00E61632">
          <w:rPr>
            <w:noProof/>
            <w:webHidden/>
          </w:rPr>
          <w:tab/>
        </w:r>
        <w:r w:rsidR="00E61632">
          <w:rPr>
            <w:noProof/>
            <w:webHidden/>
          </w:rPr>
          <w:fldChar w:fldCharType="begin"/>
        </w:r>
        <w:r w:rsidR="00E61632">
          <w:rPr>
            <w:noProof/>
            <w:webHidden/>
          </w:rPr>
          <w:instrText xml:space="preserve"> PAGEREF _Toc22627750 \h </w:instrText>
        </w:r>
        <w:r w:rsidR="00E61632">
          <w:rPr>
            <w:noProof/>
            <w:webHidden/>
          </w:rPr>
        </w:r>
        <w:r w:rsidR="00E61632">
          <w:rPr>
            <w:noProof/>
            <w:webHidden/>
          </w:rPr>
          <w:fldChar w:fldCharType="separate"/>
        </w:r>
        <w:r w:rsidR="00022664">
          <w:rPr>
            <w:noProof/>
            <w:webHidden/>
          </w:rPr>
          <w:t>40</w:t>
        </w:r>
        <w:r w:rsidR="00E61632">
          <w:rPr>
            <w:noProof/>
            <w:webHidden/>
          </w:rPr>
          <w:fldChar w:fldCharType="end"/>
        </w:r>
      </w:hyperlink>
    </w:p>
    <w:p w14:paraId="4F68C85D" w14:textId="08D6A79A" w:rsidR="00E61632" w:rsidRDefault="002E5535">
      <w:pPr>
        <w:pStyle w:val="TOC3"/>
        <w:rPr>
          <w:rFonts w:eastAsiaTheme="minorEastAsia"/>
          <w:noProof/>
          <w:sz w:val="24"/>
          <w:szCs w:val="24"/>
        </w:rPr>
      </w:pPr>
      <w:hyperlink w:anchor="_Toc22627751" w:history="1">
        <w:r w:rsidR="00E61632" w:rsidRPr="00400D8B">
          <w:rPr>
            <w:rStyle w:val="Hyperlink"/>
            <w:noProof/>
          </w:rPr>
          <w:t>3.2.2</w:t>
        </w:r>
        <w:r w:rsidR="00E61632">
          <w:rPr>
            <w:rFonts w:eastAsiaTheme="minorEastAsia"/>
            <w:noProof/>
            <w:sz w:val="24"/>
            <w:szCs w:val="24"/>
          </w:rPr>
          <w:tab/>
        </w:r>
        <w:r w:rsidR="00E61632" w:rsidRPr="00400D8B">
          <w:rPr>
            <w:rStyle w:val="Hyperlink"/>
            <w:noProof/>
          </w:rPr>
          <w:t>Report on errors of legal interpretation since start of the Register,</w:t>
        </w:r>
        <w:r w:rsidR="0006759C">
          <w:rPr>
            <w:rStyle w:val="Hyperlink"/>
            <w:noProof/>
          </w:rPr>
          <w:t> </w:t>
        </w:r>
        <w:r w:rsidR="00E61632" w:rsidRPr="00400D8B">
          <w:rPr>
            <w:rStyle w:val="Hyperlink"/>
            <w:noProof/>
          </w:rPr>
          <w:t>and</w:t>
        </w:r>
        <w:r w:rsidR="0006759C">
          <w:rPr>
            <w:rStyle w:val="Hyperlink"/>
            <w:noProof/>
          </w:rPr>
          <w:t> </w:t>
        </w:r>
        <w:r w:rsidR="00E61632" w:rsidRPr="00400D8B">
          <w:rPr>
            <w:rStyle w:val="Hyperlink"/>
            <w:noProof/>
          </w:rPr>
          <w:t>lack of quality assurance</w:t>
        </w:r>
        <w:r w:rsidR="00E61632">
          <w:rPr>
            <w:noProof/>
            <w:webHidden/>
          </w:rPr>
          <w:tab/>
        </w:r>
        <w:r w:rsidR="00E61632">
          <w:rPr>
            <w:noProof/>
            <w:webHidden/>
          </w:rPr>
          <w:fldChar w:fldCharType="begin"/>
        </w:r>
        <w:r w:rsidR="00E61632">
          <w:rPr>
            <w:noProof/>
            <w:webHidden/>
          </w:rPr>
          <w:instrText xml:space="preserve"> PAGEREF _Toc22627751 \h </w:instrText>
        </w:r>
        <w:r w:rsidR="00E61632">
          <w:rPr>
            <w:noProof/>
            <w:webHidden/>
          </w:rPr>
        </w:r>
        <w:r w:rsidR="00E61632">
          <w:rPr>
            <w:noProof/>
            <w:webHidden/>
          </w:rPr>
          <w:fldChar w:fldCharType="separate"/>
        </w:r>
        <w:r w:rsidR="00022664">
          <w:rPr>
            <w:noProof/>
            <w:webHidden/>
          </w:rPr>
          <w:t>40</w:t>
        </w:r>
        <w:r w:rsidR="00E61632">
          <w:rPr>
            <w:noProof/>
            <w:webHidden/>
          </w:rPr>
          <w:fldChar w:fldCharType="end"/>
        </w:r>
      </w:hyperlink>
    </w:p>
    <w:p w14:paraId="01DB8A34" w14:textId="475283BD" w:rsidR="00E61632" w:rsidRDefault="002E5535">
      <w:pPr>
        <w:pStyle w:val="TOC3"/>
        <w:rPr>
          <w:rFonts w:eastAsiaTheme="minorEastAsia"/>
          <w:noProof/>
          <w:sz w:val="24"/>
          <w:szCs w:val="24"/>
        </w:rPr>
      </w:pPr>
      <w:hyperlink w:anchor="_Toc22627752" w:history="1">
        <w:r w:rsidR="00E61632" w:rsidRPr="00400D8B">
          <w:rPr>
            <w:rStyle w:val="Hyperlink"/>
            <w:noProof/>
          </w:rPr>
          <w:t>3.2.3</w:t>
        </w:r>
        <w:r w:rsidR="00E61632">
          <w:rPr>
            <w:rFonts w:eastAsiaTheme="minorEastAsia"/>
            <w:noProof/>
            <w:sz w:val="24"/>
            <w:szCs w:val="24"/>
          </w:rPr>
          <w:tab/>
        </w:r>
        <w:r w:rsidR="00E61632" w:rsidRPr="00400D8B">
          <w:rPr>
            <w:rStyle w:val="Hyperlink"/>
            <w:noProof/>
          </w:rPr>
          <w:t>Report of ‘serious concerns’ regarding incorrect finalisation of</w:t>
        </w:r>
        <w:r w:rsidR="0006759C">
          <w:rPr>
            <w:rStyle w:val="Hyperlink"/>
            <w:noProof/>
          </w:rPr>
          <w:t> </w:t>
        </w:r>
        <w:r w:rsidR="00E61632" w:rsidRPr="00400D8B">
          <w:rPr>
            <w:rStyle w:val="Hyperlink"/>
            <w:noProof/>
          </w:rPr>
          <w:t>Register</w:t>
        </w:r>
        <w:r w:rsidR="0006759C">
          <w:rPr>
            <w:rStyle w:val="Hyperlink"/>
            <w:noProof/>
          </w:rPr>
          <w:t> </w:t>
        </w:r>
        <w:r w:rsidR="00E61632" w:rsidRPr="00400D8B">
          <w:rPr>
            <w:rStyle w:val="Hyperlink"/>
            <w:noProof/>
          </w:rPr>
          <w:t>cases, resulting in need for review of all cases</w:t>
        </w:r>
        <w:r w:rsidR="00E61632">
          <w:rPr>
            <w:noProof/>
            <w:webHidden/>
          </w:rPr>
          <w:tab/>
        </w:r>
        <w:r w:rsidR="00E61632">
          <w:rPr>
            <w:noProof/>
            <w:webHidden/>
          </w:rPr>
          <w:fldChar w:fldCharType="begin"/>
        </w:r>
        <w:r w:rsidR="00E61632">
          <w:rPr>
            <w:noProof/>
            <w:webHidden/>
          </w:rPr>
          <w:instrText xml:space="preserve"> PAGEREF _Toc22627752 \h </w:instrText>
        </w:r>
        <w:r w:rsidR="00E61632">
          <w:rPr>
            <w:noProof/>
            <w:webHidden/>
          </w:rPr>
        </w:r>
        <w:r w:rsidR="00E61632">
          <w:rPr>
            <w:noProof/>
            <w:webHidden/>
          </w:rPr>
          <w:fldChar w:fldCharType="separate"/>
        </w:r>
        <w:r w:rsidR="00022664">
          <w:rPr>
            <w:noProof/>
            <w:webHidden/>
          </w:rPr>
          <w:t>41</w:t>
        </w:r>
        <w:r w:rsidR="00E61632">
          <w:rPr>
            <w:noProof/>
            <w:webHidden/>
          </w:rPr>
          <w:fldChar w:fldCharType="end"/>
        </w:r>
      </w:hyperlink>
    </w:p>
    <w:p w14:paraId="5E51AE60" w14:textId="3AE3B0C7" w:rsidR="00E61632" w:rsidRDefault="002E5535">
      <w:pPr>
        <w:pStyle w:val="TOC2"/>
        <w:rPr>
          <w:rFonts w:eastAsiaTheme="minorEastAsia"/>
          <w:sz w:val="24"/>
          <w:szCs w:val="24"/>
        </w:rPr>
      </w:pPr>
      <w:hyperlink w:anchor="_Toc22627753" w:history="1">
        <w:r w:rsidR="00E61632" w:rsidRPr="00400D8B">
          <w:rPr>
            <w:rStyle w:val="Hyperlink"/>
          </w:rPr>
          <w:t>3.3</w:t>
        </w:r>
        <w:r w:rsidR="00E61632">
          <w:rPr>
            <w:rFonts w:eastAsiaTheme="minorEastAsia"/>
            <w:sz w:val="24"/>
            <w:szCs w:val="24"/>
          </w:rPr>
          <w:tab/>
        </w:r>
        <w:r w:rsidR="00E61632" w:rsidRPr="00400D8B">
          <w:rPr>
            <w:rStyle w:val="Hyperlink"/>
          </w:rPr>
          <w:t>Errors identified by the NSW Police Force CPR case review</w:t>
        </w:r>
        <w:r w:rsidR="00E61632">
          <w:rPr>
            <w:webHidden/>
          </w:rPr>
          <w:tab/>
        </w:r>
        <w:r w:rsidR="00E61632">
          <w:rPr>
            <w:webHidden/>
          </w:rPr>
          <w:fldChar w:fldCharType="begin"/>
        </w:r>
        <w:r w:rsidR="00E61632">
          <w:rPr>
            <w:webHidden/>
          </w:rPr>
          <w:instrText xml:space="preserve"> PAGEREF _Toc22627753 \h </w:instrText>
        </w:r>
        <w:r w:rsidR="00E61632">
          <w:rPr>
            <w:webHidden/>
          </w:rPr>
        </w:r>
        <w:r w:rsidR="00E61632">
          <w:rPr>
            <w:webHidden/>
          </w:rPr>
          <w:fldChar w:fldCharType="separate"/>
        </w:r>
        <w:r w:rsidR="00022664">
          <w:rPr>
            <w:webHidden/>
          </w:rPr>
          <w:t>43</w:t>
        </w:r>
        <w:r w:rsidR="00E61632">
          <w:rPr>
            <w:webHidden/>
          </w:rPr>
          <w:fldChar w:fldCharType="end"/>
        </w:r>
      </w:hyperlink>
    </w:p>
    <w:p w14:paraId="7E9B8FA3" w14:textId="764B04F3" w:rsidR="00E61632" w:rsidRDefault="002E5535">
      <w:pPr>
        <w:pStyle w:val="TOC2"/>
        <w:rPr>
          <w:rFonts w:eastAsiaTheme="minorEastAsia"/>
          <w:sz w:val="24"/>
          <w:szCs w:val="24"/>
        </w:rPr>
      </w:pPr>
      <w:hyperlink w:anchor="_Toc22627754" w:history="1">
        <w:r w:rsidR="00E61632" w:rsidRPr="00400D8B">
          <w:rPr>
            <w:rStyle w:val="Hyperlink"/>
          </w:rPr>
          <w:t>3.4</w:t>
        </w:r>
        <w:r w:rsidR="00E61632">
          <w:rPr>
            <w:rFonts w:eastAsiaTheme="minorEastAsia"/>
            <w:sz w:val="24"/>
            <w:szCs w:val="24"/>
          </w:rPr>
          <w:tab/>
        </w:r>
        <w:r w:rsidR="00E61632" w:rsidRPr="00400D8B">
          <w:rPr>
            <w:rStyle w:val="Hyperlink"/>
          </w:rPr>
          <w:t>Missing registrable persons identified as a result of the Commission’s</w:t>
        </w:r>
        <w:r w:rsidR="0006759C">
          <w:rPr>
            <w:rStyle w:val="Hyperlink"/>
          </w:rPr>
          <w:t> </w:t>
        </w:r>
        <w:r w:rsidR="00E61632" w:rsidRPr="00400D8B">
          <w:rPr>
            <w:rStyle w:val="Hyperlink"/>
          </w:rPr>
          <w:t>investigation</w:t>
        </w:r>
        <w:r w:rsidR="00E61632">
          <w:rPr>
            <w:webHidden/>
          </w:rPr>
          <w:tab/>
        </w:r>
        <w:r w:rsidR="00E61632">
          <w:rPr>
            <w:webHidden/>
          </w:rPr>
          <w:fldChar w:fldCharType="begin"/>
        </w:r>
        <w:r w:rsidR="00E61632">
          <w:rPr>
            <w:webHidden/>
          </w:rPr>
          <w:instrText xml:space="preserve"> PAGEREF _Toc22627754 \h </w:instrText>
        </w:r>
        <w:r w:rsidR="00E61632">
          <w:rPr>
            <w:webHidden/>
          </w:rPr>
        </w:r>
        <w:r w:rsidR="00E61632">
          <w:rPr>
            <w:webHidden/>
          </w:rPr>
          <w:fldChar w:fldCharType="separate"/>
        </w:r>
        <w:r w:rsidR="00022664">
          <w:rPr>
            <w:webHidden/>
          </w:rPr>
          <w:t>44</w:t>
        </w:r>
        <w:r w:rsidR="00E61632">
          <w:rPr>
            <w:webHidden/>
          </w:rPr>
          <w:fldChar w:fldCharType="end"/>
        </w:r>
      </w:hyperlink>
    </w:p>
    <w:p w14:paraId="30E24D3D" w14:textId="0F8F331C" w:rsidR="00E61632" w:rsidRDefault="002E5535">
      <w:pPr>
        <w:pStyle w:val="TOC2"/>
        <w:rPr>
          <w:rFonts w:eastAsiaTheme="minorEastAsia"/>
          <w:sz w:val="24"/>
          <w:szCs w:val="24"/>
        </w:rPr>
      </w:pPr>
      <w:hyperlink w:anchor="_Toc22627755" w:history="1">
        <w:r w:rsidR="00E61632" w:rsidRPr="00400D8B">
          <w:rPr>
            <w:rStyle w:val="Hyperlink"/>
          </w:rPr>
          <w:t>3.5</w:t>
        </w:r>
        <w:r w:rsidR="00E61632">
          <w:rPr>
            <w:rFonts w:eastAsiaTheme="minorEastAsia"/>
            <w:sz w:val="24"/>
            <w:szCs w:val="24"/>
          </w:rPr>
          <w:tab/>
        </w:r>
        <w:r w:rsidR="00E61632" w:rsidRPr="00400D8B">
          <w:rPr>
            <w:rStyle w:val="Hyperlink"/>
          </w:rPr>
          <w:t>Consequences of the errors in the Register</w:t>
        </w:r>
        <w:r w:rsidR="00E61632">
          <w:rPr>
            <w:webHidden/>
          </w:rPr>
          <w:tab/>
        </w:r>
        <w:r w:rsidR="00E61632">
          <w:rPr>
            <w:webHidden/>
          </w:rPr>
          <w:fldChar w:fldCharType="begin"/>
        </w:r>
        <w:r w:rsidR="00E61632">
          <w:rPr>
            <w:webHidden/>
          </w:rPr>
          <w:instrText xml:space="preserve"> PAGEREF _Toc22627755 \h </w:instrText>
        </w:r>
        <w:r w:rsidR="00E61632">
          <w:rPr>
            <w:webHidden/>
          </w:rPr>
        </w:r>
        <w:r w:rsidR="00E61632">
          <w:rPr>
            <w:webHidden/>
          </w:rPr>
          <w:fldChar w:fldCharType="separate"/>
        </w:r>
        <w:r w:rsidR="00022664">
          <w:rPr>
            <w:webHidden/>
          </w:rPr>
          <w:t>45</w:t>
        </w:r>
        <w:r w:rsidR="00E61632">
          <w:rPr>
            <w:webHidden/>
          </w:rPr>
          <w:fldChar w:fldCharType="end"/>
        </w:r>
      </w:hyperlink>
    </w:p>
    <w:p w14:paraId="74B9DBB9" w14:textId="6D9F6205" w:rsidR="00E61632" w:rsidRDefault="002E5535">
      <w:pPr>
        <w:pStyle w:val="TOC3"/>
        <w:rPr>
          <w:rFonts w:eastAsiaTheme="minorEastAsia"/>
          <w:noProof/>
          <w:sz w:val="24"/>
          <w:szCs w:val="24"/>
        </w:rPr>
      </w:pPr>
      <w:hyperlink w:anchor="_Toc22627756" w:history="1">
        <w:r w:rsidR="00E61632" w:rsidRPr="00400D8B">
          <w:rPr>
            <w:rStyle w:val="Hyperlink"/>
            <w:noProof/>
          </w:rPr>
          <w:t>3.5.1</w:t>
        </w:r>
        <w:r w:rsidR="00E61632">
          <w:rPr>
            <w:rFonts w:eastAsiaTheme="minorEastAsia"/>
            <w:noProof/>
            <w:sz w:val="24"/>
            <w:szCs w:val="24"/>
          </w:rPr>
          <w:tab/>
        </w:r>
        <w:r w:rsidR="00E61632" w:rsidRPr="00400D8B">
          <w:rPr>
            <w:rStyle w:val="Hyperlink"/>
            <w:noProof/>
          </w:rPr>
          <w:t>NSW Police Force left registrable persons off the Register</w:t>
        </w:r>
        <w:r w:rsidR="00E61632">
          <w:rPr>
            <w:noProof/>
            <w:webHidden/>
          </w:rPr>
          <w:tab/>
        </w:r>
        <w:r w:rsidR="00E61632">
          <w:rPr>
            <w:noProof/>
            <w:webHidden/>
          </w:rPr>
          <w:fldChar w:fldCharType="begin"/>
        </w:r>
        <w:r w:rsidR="00E61632">
          <w:rPr>
            <w:noProof/>
            <w:webHidden/>
          </w:rPr>
          <w:instrText xml:space="preserve"> PAGEREF _Toc22627756 \h </w:instrText>
        </w:r>
        <w:r w:rsidR="00E61632">
          <w:rPr>
            <w:noProof/>
            <w:webHidden/>
          </w:rPr>
        </w:r>
        <w:r w:rsidR="00E61632">
          <w:rPr>
            <w:noProof/>
            <w:webHidden/>
          </w:rPr>
          <w:fldChar w:fldCharType="separate"/>
        </w:r>
        <w:r w:rsidR="00022664">
          <w:rPr>
            <w:noProof/>
            <w:webHidden/>
          </w:rPr>
          <w:t>45</w:t>
        </w:r>
        <w:r w:rsidR="00E61632">
          <w:rPr>
            <w:noProof/>
            <w:webHidden/>
          </w:rPr>
          <w:fldChar w:fldCharType="end"/>
        </w:r>
      </w:hyperlink>
    </w:p>
    <w:p w14:paraId="192F3BC0" w14:textId="52F67B90" w:rsidR="00E61632" w:rsidRDefault="002E5535">
      <w:pPr>
        <w:pStyle w:val="TOC3"/>
        <w:rPr>
          <w:rFonts w:eastAsiaTheme="minorEastAsia"/>
          <w:noProof/>
          <w:sz w:val="24"/>
          <w:szCs w:val="24"/>
        </w:rPr>
      </w:pPr>
      <w:hyperlink w:anchor="_Toc22627757" w:history="1">
        <w:r w:rsidR="00E61632" w:rsidRPr="00400D8B">
          <w:rPr>
            <w:rStyle w:val="Hyperlink"/>
            <w:noProof/>
          </w:rPr>
          <w:t>3.5.2</w:t>
        </w:r>
        <w:r w:rsidR="00E61632">
          <w:rPr>
            <w:rFonts w:eastAsiaTheme="minorEastAsia"/>
            <w:noProof/>
            <w:sz w:val="24"/>
            <w:szCs w:val="24"/>
          </w:rPr>
          <w:tab/>
        </w:r>
        <w:r w:rsidR="00E61632" w:rsidRPr="00400D8B">
          <w:rPr>
            <w:rStyle w:val="Hyperlink"/>
            <w:noProof/>
          </w:rPr>
          <w:t>NSW Police Force calculated persons’ reporting periods as being</w:t>
        </w:r>
        <w:r w:rsidR="0006759C">
          <w:rPr>
            <w:rStyle w:val="Hyperlink"/>
            <w:noProof/>
          </w:rPr>
          <w:t> </w:t>
        </w:r>
        <w:r w:rsidR="00E61632" w:rsidRPr="00400D8B">
          <w:rPr>
            <w:rStyle w:val="Hyperlink"/>
            <w:noProof/>
          </w:rPr>
          <w:t>shorter than legally required</w:t>
        </w:r>
        <w:r w:rsidR="00E61632">
          <w:rPr>
            <w:noProof/>
            <w:webHidden/>
          </w:rPr>
          <w:tab/>
        </w:r>
        <w:r w:rsidR="00E61632">
          <w:rPr>
            <w:noProof/>
            <w:webHidden/>
          </w:rPr>
          <w:fldChar w:fldCharType="begin"/>
        </w:r>
        <w:r w:rsidR="00E61632">
          <w:rPr>
            <w:noProof/>
            <w:webHidden/>
          </w:rPr>
          <w:instrText xml:space="preserve"> PAGEREF _Toc22627757 \h </w:instrText>
        </w:r>
        <w:r w:rsidR="00E61632">
          <w:rPr>
            <w:noProof/>
            <w:webHidden/>
          </w:rPr>
        </w:r>
        <w:r w:rsidR="00E61632">
          <w:rPr>
            <w:noProof/>
            <w:webHidden/>
          </w:rPr>
          <w:fldChar w:fldCharType="separate"/>
        </w:r>
        <w:r w:rsidR="00022664">
          <w:rPr>
            <w:noProof/>
            <w:webHidden/>
          </w:rPr>
          <w:t>46</w:t>
        </w:r>
        <w:r w:rsidR="00E61632">
          <w:rPr>
            <w:noProof/>
            <w:webHidden/>
          </w:rPr>
          <w:fldChar w:fldCharType="end"/>
        </w:r>
      </w:hyperlink>
    </w:p>
    <w:p w14:paraId="4413EBD3" w14:textId="7588C3F7" w:rsidR="00E61632" w:rsidRDefault="002E5535">
      <w:pPr>
        <w:pStyle w:val="TOC3"/>
        <w:rPr>
          <w:rFonts w:eastAsiaTheme="minorEastAsia"/>
          <w:noProof/>
          <w:sz w:val="24"/>
          <w:szCs w:val="24"/>
        </w:rPr>
      </w:pPr>
      <w:hyperlink w:anchor="_Toc22627758" w:history="1">
        <w:r w:rsidR="00E61632" w:rsidRPr="00400D8B">
          <w:rPr>
            <w:rStyle w:val="Hyperlink"/>
            <w:noProof/>
          </w:rPr>
          <w:t>3.5.3</w:t>
        </w:r>
        <w:r w:rsidR="00E61632">
          <w:rPr>
            <w:rFonts w:eastAsiaTheme="minorEastAsia"/>
            <w:noProof/>
            <w:sz w:val="24"/>
            <w:szCs w:val="24"/>
          </w:rPr>
          <w:tab/>
        </w:r>
        <w:r w:rsidR="00E61632" w:rsidRPr="00400D8B">
          <w:rPr>
            <w:rStyle w:val="Hyperlink"/>
            <w:noProof/>
          </w:rPr>
          <w:t>NSW Police Force placed individuals who were not registrable</w:t>
        </w:r>
        <w:r w:rsidR="0006759C">
          <w:rPr>
            <w:rStyle w:val="Hyperlink"/>
            <w:noProof/>
          </w:rPr>
          <w:t> </w:t>
        </w:r>
        <w:r w:rsidR="00E61632" w:rsidRPr="00400D8B">
          <w:rPr>
            <w:rStyle w:val="Hyperlink"/>
            <w:noProof/>
          </w:rPr>
          <w:t>persons</w:t>
        </w:r>
        <w:r w:rsidR="0006759C">
          <w:rPr>
            <w:rStyle w:val="Hyperlink"/>
            <w:noProof/>
          </w:rPr>
          <w:t> </w:t>
        </w:r>
        <w:r w:rsidR="00E61632" w:rsidRPr="00400D8B">
          <w:rPr>
            <w:rStyle w:val="Hyperlink"/>
            <w:noProof/>
          </w:rPr>
          <w:t>on the Register</w:t>
        </w:r>
        <w:r w:rsidR="00E61632">
          <w:rPr>
            <w:noProof/>
            <w:webHidden/>
          </w:rPr>
          <w:tab/>
        </w:r>
        <w:r w:rsidR="00E61632">
          <w:rPr>
            <w:noProof/>
            <w:webHidden/>
          </w:rPr>
          <w:fldChar w:fldCharType="begin"/>
        </w:r>
        <w:r w:rsidR="00E61632">
          <w:rPr>
            <w:noProof/>
            <w:webHidden/>
          </w:rPr>
          <w:instrText xml:space="preserve"> PAGEREF _Toc22627758 \h </w:instrText>
        </w:r>
        <w:r w:rsidR="00E61632">
          <w:rPr>
            <w:noProof/>
            <w:webHidden/>
          </w:rPr>
        </w:r>
        <w:r w:rsidR="00E61632">
          <w:rPr>
            <w:noProof/>
            <w:webHidden/>
          </w:rPr>
          <w:fldChar w:fldCharType="separate"/>
        </w:r>
        <w:r w:rsidR="00022664">
          <w:rPr>
            <w:noProof/>
            <w:webHidden/>
          </w:rPr>
          <w:t>49</w:t>
        </w:r>
        <w:r w:rsidR="00E61632">
          <w:rPr>
            <w:noProof/>
            <w:webHidden/>
          </w:rPr>
          <w:fldChar w:fldCharType="end"/>
        </w:r>
      </w:hyperlink>
    </w:p>
    <w:p w14:paraId="4B4AC489" w14:textId="240C4CAF" w:rsidR="00E61632" w:rsidRDefault="002E5535">
      <w:pPr>
        <w:pStyle w:val="TOC3"/>
        <w:rPr>
          <w:rFonts w:eastAsiaTheme="minorEastAsia"/>
          <w:noProof/>
          <w:sz w:val="24"/>
          <w:szCs w:val="24"/>
        </w:rPr>
      </w:pPr>
      <w:hyperlink w:anchor="_Toc22627759" w:history="1">
        <w:r w:rsidR="00E61632" w:rsidRPr="00400D8B">
          <w:rPr>
            <w:rStyle w:val="Hyperlink"/>
            <w:noProof/>
          </w:rPr>
          <w:t>3.5.4</w:t>
        </w:r>
        <w:r w:rsidR="00E61632">
          <w:rPr>
            <w:rFonts w:eastAsiaTheme="minorEastAsia"/>
            <w:noProof/>
            <w:sz w:val="24"/>
            <w:szCs w:val="24"/>
          </w:rPr>
          <w:tab/>
        </w:r>
        <w:r w:rsidR="00E61632" w:rsidRPr="00400D8B">
          <w:rPr>
            <w:rStyle w:val="Hyperlink"/>
            <w:noProof/>
          </w:rPr>
          <w:t>NSW Police Force calculated persons’ reporting periods as being</w:t>
        </w:r>
        <w:r w:rsidR="0006759C">
          <w:rPr>
            <w:rStyle w:val="Hyperlink"/>
            <w:noProof/>
          </w:rPr>
          <w:t> </w:t>
        </w:r>
        <w:r w:rsidR="00E61632" w:rsidRPr="00400D8B">
          <w:rPr>
            <w:rStyle w:val="Hyperlink"/>
            <w:noProof/>
          </w:rPr>
          <w:t>longer than legally permitted</w:t>
        </w:r>
        <w:r w:rsidR="00E61632">
          <w:rPr>
            <w:noProof/>
            <w:webHidden/>
          </w:rPr>
          <w:tab/>
        </w:r>
        <w:r w:rsidR="00E61632">
          <w:rPr>
            <w:noProof/>
            <w:webHidden/>
          </w:rPr>
          <w:fldChar w:fldCharType="begin"/>
        </w:r>
        <w:r w:rsidR="00E61632">
          <w:rPr>
            <w:noProof/>
            <w:webHidden/>
          </w:rPr>
          <w:instrText xml:space="preserve"> PAGEREF _Toc22627759 \h </w:instrText>
        </w:r>
        <w:r w:rsidR="00E61632">
          <w:rPr>
            <w:noProof/>
            <w:webHidden/>
          </w:rPr>
        </w:r>
        <w:r w:rsidR="00E61632">
          <w:rPr>
            <w:noProof/>
            <w:webHidden/>
          </w:rPr>
          <w:fldChar w:fldCharType="separate"/>
        </w:r>
        <w:r w:rsidR="00022664">
          <w:rPr>
            <w:noProof/>
            <w:webHidden/>
          </w:rPr>
          <w:t>51</w:t>
        </w:r>
        <w:r w:rsidR="00E61632">
          <w:rPr>
            <w:noProof/>
            <w:webHidden/>
          </w:rPr>
          <w:fldChar w:fldCharType="end"/>
        </w:r>
      </w:hyperlink>
    </w:p>
    <w:p w14:paraId="0E628F2B" w14:textId="5594A45A" w:rsidR="00E61632" w:rsidRDefault="002E5535">
      <w:pPr>
        <w:pStyle w:val="TOC2"/>
        <w:rPr>
          <w:rFonts w:eastAsiaTheme="minorEastAsia"/>
          <w:sz w:val="24"/>
          <w:szCs w:val="24"/>
        </w:rPr>
      </w:pPr>
      <w:hyperlink w:anchor="_Toc22627760" w:history="1">
        <w:r w:rsidR="00E61632" w:rsidRPr="00400D8B">
          <w:rPr>
            <w:rStyle w:val="Hyperlink"/>
          </w:rPr>
          <w:t>3.6</w:t>
        </w:r>
        <w:r w:rsidR="00E61632">
          <w:rPr>
            <w:rFonts w:eastAsiaTheme="minorEastAsia"/>
            <w:sz w:val="24"/>
            <w:szCs w:val="24"/>
          </w:rPr>
          <w:tab/>
        </w:r>
        <w:r w:rsidR="00E61632" w:rsidRPr="00400D8B">
          <w:rPr>
            <w:rStyle w:val="Hyperlink"/>
          </w:rPr>
          <w:t>Conclusions as to the extent, nature and impact of errors in the Register</w:t>
        </w:r>
        <w:r w:rsidR="00E61632">
          <w:rPr>
            <w:webHidden/>
          </w:rPr>
          <w:tab/>
        </w:r>
        <w:r w:rsidR="00E61632">
          <w:rPr>
            <w:webHidden/>
          </w:rPr>
          <w:fldChar w:fldCharType="begin"/>
        </w:r>
        <w:r w:rsidR="00E61632">
          <w:rPr>
            <w:webHidden/>
          </w:rPr>
          <w:instrText xml:space="preserve"> PAGEREF _Toc22627760 \h </w:instrText>
        </w:r>
        <w:r w:rsidR="00E61632">
          <w:rPr>
            <w:webHidden/>
          </w:rPr>
        </w:r>
        <w:r w:rsidR="00E61632">
          <w:rPr>
            <w:webHidden/>
          </w:rPr>
          <w:fldChar w:fldCharType="separate"/>
        </w:r>
        <w:r w:rsidR="00022664">
          <w:rPr>
            <w:webHidden/>
          </w:rPr>
          <w:t>54</w:t>
        </w:r>
        <w:r w:rsidR="00E61632">
          <w:rPr>
            <w:webHidden/>
          </w:rPr>
          <w:fldChar w:fldCharType="end"/>
        </w:r>
      </w:hyperlink>
    </w:p>
    <w:p w14:paraId="761B1E76" w14:textId="261748C4" w:rsidR="00E61632" w:rsidRDefault="002E5535">
      <w:pPr>
        <w:pStyle w:val="TOC2"/>
        <w:rPr>
          <w:rFonts w:eastAsiaTheme="minorEastAsia"/>
          <w:sz w:val="24"/>
          <w:szCs w:val="24"/>
        </w:rPr>
      </w:pPr>
      <w:hyperlink w:anchor="_Toc22627761" w:history="1">
        <w:r w:rsidR="00E61632" w:rsidRPr="00400D8B">
          <w:rPr>
            <w:rStyle w:val="Hyperlink"/>
          </w:rPr>
          <w:t>3.7</w:t>
        </w:r>
        <w:r w:rsidR="00E61632">
          <w:rPr>
            <w:rFonts w:eastAsiaTheme="minorEastAsia"/>
            <w:sz w:val="24"/>
            <w:szCs w:val="24"/>
          </w:rPr>
          <w:tab/>
        </w:r>
        <w:r w:rsidR="00E61632" w:rsidRPr="00400D8B">
          <w:rPr>
            <w:rStyle w:val="Hyperlink"/>
          </w:rPr>
          <w:t>NSW Police Force response to the draft final report</w:t>
        </w:r>
        <w:r w:rsidR="00E61632">
          <w:rPr>
            <w:webHidden/>
          </w:rPr>
          <w:tab/>
        </w:r>
        <w:r w:rsidR="00E61632">
          <w:rPr>
            <w:webHidden/>
          </w:rPr>
          <w:fldChar w:fldCharType="begin"/>
        </w:r>
        <w:r w:rsidR="00E61632">
          <w:rPr>
            <w:webHidden/>
          </w:rPr>
          <w:instrText xml:space="preserve"> PAGEREF _Toc22627761 \h </w:instrText>
        </w:r>
        <w:r w:rsidR="00E61632">
          <w:rPr>
            <w:webHidden/>
          </w:rPr>
        </w:r>
        <w:r w:rsidR="00E61632">
          <w:rPr>
            <w:webHidden/>
          </w:rPr>
          <w:fldChar w:fldCharType="separate"/>
        </w:r>
        <w:r w:rsidR="00022664">
          <w:rPr>
            <w:webHidden/>
          </w:rPr>
          <w:t>56</w:t>
        </w:r>
        <w:r w:rsidR="00E61632">
          <w:rPr>
            <w:webHidden/>
          </w:rPr>
          <w:fldChar w:fldCharType="end"/>
        </w:r>
      </w:hyperlink>
    </w:p>
    <w:p w14:paraId="096C9DC4" w14:textId="08D89365" w:rsidR="00E61632" w:rsidRDefault="002E5535">
      <w:pPr>
        <w:pStyle w:val="TOC2"/>
        <w:rPr>
          <w:rFonts w:eastAsiaTheme="minorEastAsia"/>
          <w:sz w:val="24"/>
          <w:szCs w:val="24"/>
        </w:rPr>
      </w:pPr>
      <w:hyperlink w:anchor="_Toc22627762" w:history="1">
        <w:r w:rsidR="00E61632" w:rsidRPr="00400D8B">
          <w:rPr>
            <w:rStyle w:val="Hyperlink"/>
          </w:rPr>
          <w:t>3.8</w:t>
        </w:r>
        <w:r w:rsidR="00E61632">
          <w:rPr>
            <w:rFonts w:eastAsiaTheme="minorEastAsia"/>
            <w:sz w:val="24"/>
            <w:szCs w:val="24"/>
          </w:rPr>
          <w:tab/>
        </w:r>
        <w:r w:rsidR="00E61632" w:rsidRPr="00400D8B">
          <w:rPr>
            <w:rStyle w:val="Hyperlink"/>
          </w:rPr>
          <w:t>Findings</w:t>
        </w:r>
        <w:r w:rsidR="00E61632">
          <w:rPr>
            <w:webHidden/>
          </w:rPr>
          <w:tab/>
        </w:r>
        <w:r w:rsidR="0006759C">
          <w:rPr>
            <w:webHidden/>
          </w:rPr>
          <w:tab/>
        </w:r>
        <w:r w:rsidR="00E61632">
          <w:rPr>
            <w:webHidden/>
          </w:rPr>
          <w:fldChar w:fldCharType="begin"/>
        </w:r>
        <w:r w:rsidR="00E61632">
          <w:rPr>
            <w:webHidden/>
          </w:rPr>
          <w:instrText xml:space="preserve"> PAGEREF _Toc22627762 \h </w:instrText>
        </w:r>
        <w:r w:rsidR="00E61632">
          <w:rPr>
            <w:webHidden/>
          </w:rPr>
        </w:r>
        <w:r w:rsidR="00E61632">
          <w:rPr>
            <w:webHidden/>
          </w:rPr>
          <w:fldChar w:fldCharType="separate"/>
        </w:r>
        <w:r w:rsidR="00022664">
          <w:rPr>
            <w:webHidden/>
          </w:rPr>
          <w:t>57</w:t>
        </w:r>
        <w:r w:rsidR="00E61632">
          <w:rPr>
            <w:webHidden/>
          </w:rPr>
          <w:fldChar w:fldCharType="end"/>
        </w:r>
      </w:hyperlink>
    </w:p>
    <w:p w14:paraId="26ED1649" w14:textId="1A07C67A" w:rsidR="00E61632" w:rsidRDefault="002E5535">
      <w:pPr>
        <w:pStyle w:val="TOC3"/>
        <w:rPr>
          <w:rFonts w:eastAsiaTheme="minorEastAsia"/>
          <w:noProof/>
          <w:sz w:val="24"/>
          <w:szCs w:val="24"/>
        </w:rPr>
      </w:pPr>
      <w:hyperlink w:anchor="_Toc22627763" w:history="1">
        <w:r w:rsidR="00E61632" w:rsidRPr="00400D8B">
          <w:rPr>
            <w:rStyle w:val="Hyperlink"/>
            <w:noProof/>
          </w:rPr>
          <w:t>3.8.1</w:t>
        </w:r>
        <w:r w:rsidR="00E61632">
          <w:rPr>
            <w:rFonts w:eastAsiaTheme="minorEastAsia"/>
            <w:noProof/>
            <w:sz w:val="24"/>
            <w:szCs w:val="24"/>
          </w:rPr>
          <w:tab/>
        </w:r>
        <w:r w:rsidR="00E61632" w:rsidRPr="00400D8B">
          <w:rPr>
            <w:rStyle w:val="Hyperlink"/>
            <w:noProof/>
          </w:rPr>
          <w:t>Incorrect decisions about who were registrable persons and the</w:t>
        </w:r>
        <w:r w:rsidR="0006759C">
          <w:rPr>
            <w:rStyle w:val="Hyperlink"/>
            <w:noProof/>
          </w:rPr>
          <w:t> </w:t>
        </w:r>
        <w:r w:rsidR="00E61632" w:rsidRPr="00400D8B">
          <w:rPr>
            <w:rStyle w:val="Hyperlink"/>
            <w:noProof/>
          </w:rPr>
          <w:t>length</w:t>
        </w:r>
        <w:r w:rsidR="0006759C">
          <w:rPr>
            <w:rStyle w:val="Hyperlink"/>
            <w:noProof/>
          </w:rPr>
          <w:t> </w:t>
        </w:r>
        <w:r w:rsidR="00E61632" w:rsidRPr="00400D8B">
          <w:rPr>
            <w:rStyle w:val="Hyperlink"/>
            <w:noProof/>
          </w:rPr>
          <w:t>of reporting periods</w:t>
        </w:r>
        <w:r w:rsidR="00E61632">
          <w:rPr>
            <w:noProof/>
            <w:webHidden/>
          </w:rPr>
          <w:tab/>
        </w:r>
        <w:r w:rsidR="00E61632">
          <w:rPr>
            <w:noProof/>
            <w:webHidden/>
          </w:rPr>
          <w:fldChar w:fldCharType="begin"/>
        </w:r>
        <w:r w:rsidR="00E61632">
          <w:rPr>
            <w:noProof/>
            <w:webHidden/>
          </w:rPr>
          <w:instrText xml:space="preserve"> PAGEREF _Toc22627763 \h </w:instrText>
        </w:r>
        <w:r w:rsidR="00E61632">
          <w:rPr>
            <w:noProof/>
            <w:webHidden/>
          </w:rPr>
        </w:r>
        <w:r w:rsidR="00E61632">
          <w:rPr>
            <w:noProof/>
            <w:webHidden/>
          </w:rPr>
          <w:fldChar w:fldCharType="separate"/>
        </w:r>
        <w:r w:rsidR="00022664">
          <w:rPr>
            <w:noProof/>
            <w:webHidden/>
          </w:rPr>
          <w:t>57</w:t>
        </w:r>
        <w:r w:rsidR="00E61632">
          <w:rPr>
            <w:noProof/>
            <w:webHidden/>
          </w:rPr>
          <w:fldChar w:fldCharType="end"/>
        </w:r>
      </w:hyperlink>
    </w:p>
    <w:p w14:paraId="707CBD31" w14:textId="76DCFE6F" w:rsidR="00E61632" w:rsidRDefault="002E5535">
      <w:pPr>
        <w:pStyle w:val="TOC3"/>
        <w:rPr>
          <w:rFonts w:eastAsiaTheme="minorEastAsia"/>
          <w:noProof/>
          <w:sz w:val="24"/>
          <w:szCs w:val="24"/>
        </w:rPr>
      </w:pPr>
      <w:hyperlink w:anchor="_Toc22627764" w:history="1">
        <w:r w:rsidR="00E61632" w:rsidRPr="00400D8B">
          <w:rPr>
            <w:rStyle w:val="Hyperlink"/>
            <w:noProof/>
          </w:rPr>
          <w:t>3.8.2</w:t>
        </w:r>
        <w:r w:rsidR="00E61632">
          <w:rPr>
            <w:rFonts w:eastAsiaTheme="minorEastAsia"/>
            <w:noProof/>
            <w:sz w:val="24"/>
            <w:szCs w:val="24"/>
          </w:rPr>
          <w:tab/>
        </w:r>
        <w:r w:rsidR="00E61632" w:rsidRPr="00400D8B">
          <w:rPr>
            <w:rStyle w:val="Hyperlink"/>
            <w:noProof/>
          </w:rPr>
          <w:t>Unlawful or unjust actions taken on the basis of the incorrect information in the Register</w:t>
        </w:r>
        <w:r w:rsidR="00E61632">
          <w:rPr>
            <w:noProof/>
            <w:webHidden/>
          </w:rPr>
          <w:tab/>
        </w:r>
        <w:r w:rsidR="00E61632">
          <w:rPr>
            <w:noProof/>
            <w:webHidden/>
          </w:rPr>
          <w:fldChar w:fldCharType="begin"/>
        </w:r>
        <w:r w:rsidR="00E61632">
          <w:rPr>
            <w:noProof/>
            <w:webHidden/>
          </w:rPr>
          <w:instrText xml:space="preserve"> PAGEREF _Toc22627764 \h </w:instrText>
        </w:r>
        <w:r w:rsidR="00E61632">
          <w:rPr>
            <w:noProof/>
            <w:webHidden/>
          </w:rPr>
        </w:r>
        <w:r w:rsidR="00E61632">
          <w:rPr>
            <w:noProof/>
            <w:webHidden/>
          </w:rPr>
          <w:fldChar w:fldCharType="separate"/>
        </w:r>
        <w:r w:rsidR="00022664">
          <w:rPr>
            <w:noProof/>
            <w:webHidden/>
          </w:rPr>
          <w:t>59</w:t>
        </w:r>
        <w:r w:rsidR="00E61632">
          <w:rPr>
            <w:noProof/>
            <w:webHidden/>
          </w:rPr>
          <w:fldChar w:fldCharType="end"/>
        </w:r>
      </w:hyperlink>
    </w:p>
    <w:p w14:paraId="7C72F65C" w14:textId="547F3CE1" w:rsidR="00E61632" w:rsidRDefault="002E5535">
      <w:pPr>
        <w:pStyle w:val="TOC2"/>
        <w:rPr>
          <w:rFonts w:eastAsiaTheme="minorEastAsia"/>
          <w:sz w:val="24"/>
          <w:szCs w:val="24"/>
        </w:rPr>
      </w:pPr>
      <w:hyperlink w:anchor="_Toc22627765" w:history="1">
        <w:r w:rsidR="00E61632" w:rsidRPr="00400D8B">
          <w:rPr>
            <w:rStyle w:val="Hyperlink"/>
          </w:rPr>
          <w:t>3.9</w:t>
        </w:r>
        <w:r w:rsidR="00E61632">
          <w:rPr>
            <w:rFonts w:eastAsiaTheme="minorEastAsia"/>
            <w:sz w:val="24"/>
            <w:szCs w:val="24"/>
          </w:rPr>
          <w:tab/>
        </w:r>
        <w:r w:rsidR="00E61632" w:rsidRPr="00400D8B">
          <w:rPr>
            <w:rStyle w:val="Hyperlink"/>
          </w:rPr>
          <w:t>Improvements in the administration of the Register since 2016</w:t>
        </w:r>
        <w:r w:rsidR="00E61632">
          <w:rPr>
            <w:webHidden/>
          </w:rPr>
          <w:tab/>
        </w:r>
        <w:r w:rsidR="00E61632">
          <w:rPr>
            <w:webHidden/>
          </w:rPr>
          <w:fldChar w:fldCharType="begin"/>
        </w:r>
        <w:r w:rsidR="00E61632">
          <w:rPr>
            <w:webHidden/>
          </w:rPr>
          <w:instrText xml:space="preserve"> PAGEREF _Toc22627765 \h </w:instrText>
        </w:r>
        <w:r w:rsidR="00E61632">
          <w:rPr>
            <w:webHidden/>
          </w:rPr>
        </w:r>
        <w:r w:rsidR="00E61632">
          <w:rPr>
            <w:webHidden/>
          </w:rPr>
          <w:fldChar w:fldCharType="separate"/>
        </w:r>
        <w:r w:rsidR="00022664">
          <w:rPr>
            <w:webHidden/>
          </w:rPr>
          <w:t>63</w:t>
        </w:r>
        <w:r w:rsidR="00E61632">
          <w:rPr>
            <w:webHidden/>
          </w:rPr>
          <w:fldChar w:fldCharType="end"/>
        </w:r>
      </w:hyperlink>
    </w:p>
    <w:p w14:paraId="61622779" w14:textId="727A8944" w:rsidR="00E61632" w:rsidRDefault="002E5535">
      <w:pPr>
        <w:pStyle w:val="TOC1"/>
        <w:rPr>
          <w:rFonts w:eastAsiaTheme="minorEastAsia"/>
          <w:caps w:val="0"/>
          <w:color w:val="auto"/>
          <w:sz w:val="24"/>
          <w:szCs w:val="24"/>
        </w:rPr>
      </w:pPr>
      <w:hyperlink w:anchor="_Toc22627766" w:history="1">
        <w:r w:rsidR="00E61632" w:rsidRPr="00400D8B">
          <w:rPr>
            <w:rStyle w:val="Hyperlink"/>
            <w:rFonts w:ascii="Gotham Bold" w:hAnsi="Gotham Bold" w:cs="Gotham Book"/>
            <w:b/>
          </w:rPr>
          <w:t>4.</w:t>
        </w:r>
        <w:r w:rsidR="00E61632">
          <w:rPr>
            <w:rFonts w:eastAsiaTheme="minorEastAsia"/>
            <w:caps w:val="0"/>
            <w:color w:val="auto"/>
            <w:sz w:val="24"/>
            <w:szCs w:val="24"/>
          </w:rPr>
          <w:tab/>
        </w:r>
        <w:r w:rsidR="00E61632" w:rsidRPr="00400D8B">
          <w:rPr>
            <w:rStyle w:val="Hyperlink"/>
          </w:rPr>
          <w:t xml:space="preserve">Responses to persons subjected to unlawful or </w:t>
        </w:r>
        <w:r w:rsidR="0006759C">
          <w:rPr>
            <w:rStyle w:val="Hyperlink"/>
          </w:rPr>
          <w:br/>
        </w:r>
        <w:r w:rsidR="00E61632" w:rsidRPr="00400D8B">
          <w:rPr>
            <w:rStyle w:val="Hyperlink"/>
          </w:rPr>
          <w:t>unjust actions</w:t>
        </w:r>
        <w:r w:rsidR="00E61632">
          <w:rPr>
            <w:webHidden/>
          </w:rPr>
          <w:tab/>
        </w:r>
        <w:r w:rsidR="00E61632">
          <w:rPr>
            <w:webHidden/>
          </w:rPr>
          <w:fldChar w:fldCharType="begin"/>
        </w:r>
        <w:r w:rsidR="00E61632">
          <w:rPr>
            <w:webHidden/>
          </w:rPr>
          <w:instrText xml:space="preserve"> PAGEREF _Toc22627766 \h </w:instrText>
        </w:r>
        <w:r w:rsidR="00E61632">
          <w:rPr>
            <w:webHidden/>
          </w:rPr>
        </w:r>
        <w:r w:rsidR="00E61632">
          <w:rPr>
            <w:webHidden/>
          </w:rPr>
          <w:fldChar w:fldCharType="separate"/>
        </w:r>
        <w:r w:rsidR="00022664">
          <w:rPr>
            <w:webHidden/>
          </w:rPr>
          <w:t>65</w:t>
        </w:r>
        <w:r w:rsidR="00E61632">
          <w:rPr>
            <w:webHidden/>
          </w:rPr>
          <w:fldChar w:fldCharType="end"/>
        </w:r>
      </w:hyperlink>
    </w:p>
    <w:p w14:paraId="0D913722" w14:textId="74A93081" w:rsidR="00E61632" w:rsidRDefault="002E5535">
      <w:pPr>
        <w:pStyle w:val="TOC2"/>
        <w:rPr>
          <w:rFonts w:eastAsiaTheme="minorEastAsia"/>
          <w:sz w:val="24"/>
          <w:szCs w:val="24"/>
        </w:rPr>
      </w:pPr>
      <w:hyperlink w:anchor="_Toc22627767" w:history="1">
        <w:r w:rsidR="00E61632" w:rsidRPr="00400D8B">
          <w:rPr>
            <w:rStyle w:val="Hyperlink"/>
          </w:rPr>
          <w:t>4.1</w:t>
        </w:r>
        <w:r w:rsidR="00E61632">
          <w:rPr>
            <w:rFonts w:eastAsiaTheme="minorEastAsia"/>
            <w:sz w:val="24"/>
            <w:szCs w:val="24"/>
          </w:rPr>
          <w:tab/>
        </w:r>
        <w:r w:rsidR="00E61632" w:rsidRPr="00400D8B">
          <w:rPr>
            <w:rStyle w:val="Hyperlink"/>
          </w:rPr>
          <w:t>Introduction</w:t>
        </w:r>
        <w:r w:rsidR="00E61632">
          <w:rPr>
            <w:webHidden/>
          </w:rPr>
          <w:tab/>
        </w:r>
        <w:r w:rsidR="00E61632">
          <w:rPr>
            <w:webHidden/>
          </w:rPr>
          <w:fldChar w:fldCharType="begin"/>
        </w:r>
        <w:r w:rsidR="00E61632">
          <w:rPr>
            <w:webHidden/>
          </w:rPr>
          <w:instrText xml:space="preserve"> PAGEREF _Toc22627767 \h </w:instrText>
        </w:r>
        <w:r w:rsidR="00E61632">
          <w:rPr>
            <w:webHidden/>
          </w:rPr>
        </w:r>
        <w:r w:rsidR="00E61632">
          <w:rPr>
            <w:webHidden/>
          </w:rPr>
          <w:fldChar w:fldCharType="separate"/>
        </w:r>
        <w:r w:rsidR="00022664">
          <w:rPr>
            <w:webHidden/>
          </w:rPr>
          <w:t>66</w:t>
        </w:r>
        <w:r w:rsidR="00E61632">
          <w:rPr>
            <w:webHidden/>
          </w:rPr>
          <w:fldChar w:fldCharType="end"/>
        </w:r>
      </w:hyperlink>
    </w:p>
    <w:p w14:paraId="16FCD597" w14:textId="12F81768" w:rsidR="00E61632" w:rsidRDefault="002E5535">
      <w:pPr>
        <w:pStyle w:val="TOC2"/>
        <w:rPr>
          <w:rFonts w:eastAsiaTheme="minorEastAsia"/>
          <w:sz w:val="24"/>
          <w:szCs w:val="24"/>
        </w:rPr>
      </w:pPr>
      <w:hyperlink w:anchor="_Toc22627768" w:history="1">
        <w:r w:rsidR="00E61632" w:rsidRPr="00400D8B">
          <w:rPr>
            <w:rStyle w:val="Hyperlink"/>
          </w:rPr>
          <w:t>4.2</w:t>
        </w:r>
        <w:r w:rsidR="00E61632">
          <w:rPr>
            <w:rFonts w:eastAsiaTheme="minorEastAsia"/>
            <w:sz w:val="24"/>
            <w:szCs w:val="24"/>
          </w:rPr>
          <w:tab/>
        </w:r>
        <w:r w:rsidR="00E61632" w:rsidRPr="00400D8B">
          <w:rPr>
            <w:rStyle w:val="Hyperlink"/>
          </w:rPr>
          <w:t>NSW Police Force applied for annulments of wrongful convictions under</w:t>
        </w:r>
        <w:r w:rsidR="0006759C">
          <w:rPr>
            <w:rStyle w:val="Hyperlink"/>
          </w:rPr>
          <w:t> </w:t>
        </w:r>
        <w:r w:rsidR="00E61632" w:rsidRPr="00400D8B">
          <w:rPr>
            <w:rStyle w:val="Hyperlink"/>
          </w:rPr>
          <w:t>the</w:t>
        </w:r>
        <w:r w:rsidR="0006759C">
          <w:rPr>
            <w:rStyle w:val="Hyperlink"/>
          </w:rPr>
          <w:t> </w:t>
        </w:r>
        <w:r w:rsidR="00E61632" w:rsidRPr="00400D8B">
          <w:rPr>
            <w:rStyle w:val="Hyperlink"/>
          </w:rPr>
          <w:t>CPOR Act</w:t>
        </w:r>
        <w:r w:rsidR="00E61632">
          <w:rPr>
            <w:webHidden/>
          </w:rPr>
          <w:tab/>
        </w:r>
        <w:r w:rsidR="00E61632">
          <w:rPr>
            <w:webHidden/>
          </w:rPr>
          <w:fldChar w:fldCharType="begin"/>
        </w:r>
        <w:r w:rsidR="00E61632">
          <w:rPr>
            <w:webHidden/>
          </w:rPr>
          <w:instrText xml:space="preserve"> PAGEREF _Toc22627768 \h </w:instrText>
        </w:r>
        <w:r w:rsidR="00E61632">
          <w:rPr>
            <w:webHidden/>
          </w:rPr>
        </w:r>
        <w:r w:rsidR="00E61632">
          <w:rPr>
            <w:webHidden/>
          </w:rPr>
          <w:fldChar w:fldCharType="separate"/>
        </w:r>
        <w:r w:rsidR="00022664">
          <w:rPr>
            <w:webHidden/>
          </w:rPr>
          <w:t>67</w:t>
        </w:r>
        <w:r w:rsidR="00E61632">
          <w:rPr>
            <w:webHidden/>
          </w:rPr>
          <w:fldChar w:fldCharType="end"/>
        </w:r>
      </w:hyperlink>
    </w:p>
    <w:p w14:paraId="7C9ACB35" w14:textId="5FE3D388" w:rsidR="00E61632" w:rsidRDefault="002E5535">
      <w:pPr>
        <w:pStyle w:val="TOC2"/>
        <w:rPr>
          <w:rFonts w:eastAsiaTheme="minorEastAsia"/>
          <w:sz w:val="24"/>
          <w:szCs w:val="24"/>
        </w:rPr>
      </w:pPr>
      <w:hyperlink w:anchor="_Toc22627769" w:history="1">
        <w:r w:rsidR="00E61632" w:rsidRPr="00400D8B">
          <w:rPr>
            <w:rStyle w:val="Hyperlink"/>
          </w:rPr>
          <w:t>4.3</w:t>
        </w:r>
        <w:r w:rsidR="00E61632">
          <w:rPr>
            <w:rFonts w:eastAsiaTheme="minorEastAsia"/>
            <w:sz w:val="24"/>
            <w:szCs w:val="24"/>
          </w:rPr>
          <w:tab/>
        </w:r>
        <w:r w:rsidR="00E61632" w:rsidRPr="00400D8B">
          <w:rPr>
            <w:rStyle w:val="Hyperlink"/>
          </w:rPr>
          <w:t>NSW Police Force decided not to notify persons of errors which resulted</w:t>
        </w:r>
        <w:r w:rsidR="0006759C">
          <w:rPr>
            <w:rStyle w:val="Hyperlink"/>
          </w:rPr>
          <w:t> </w:t>
        </w:r>
        <w:r w:rsidR="00E61632" w:rsidRPr="00400D8B">
          <w:rPr>
            <w:rStyle w:val="Hyperlink"/>
          </w:rPr>
          <w:t>in</w:t>
        </w:r>
        <w:r w:rsidR="0006759C">
          <w:rPr>
            <w:rStyle w:val="Hyperlink"/>
          </w:rPr>
          <w:t> </w:t>
        </w:r>
        <w:r w:rsidR="00E61632" w:rsidRPr="00400D8B">
          <w:rPr>
            <w:rStyle w:val="Hyperlink"/>
          </w:rPr>
          <w:t>unlawful or unjust actions</w:t>
        </w:r>
        <w:r w:rsidR="00E61632">
          <w:rPr>
            <w:webHidden/>
          </w:rPr>
          <w:tab/>
        </w:r>
        <w:r w:rsidR="00E61632">
          <w:rPr>
            <w:webHidden/>
          </w:rPr>
          <w:fldChar w:fldCharType="begin"/>
        </w:r>
        <w:r w:rsidR="00E61632">
          <w:rPr>
            <w:webHidden/>
          </w:rPr>
          <w:instrText xml:space="preserve"> PAGEREF _Toc22627769 \h </w:instrText>
        </w:r>
        <w:r w:rsidR="00E61632">
          <w:rPr>
            <w:webHidden/>
          </w:rPr>
        </w:r>
        <w:r w:rsidR="00E61632">
          <w:rPr>
            <w:webHidden/>
          </w:rPr>
          <w:fldChar w:fldCharType="separate"/>
        </w:r>
        <w:r w:rsidR="00022664">
          <w:rPr>
            <w:webHidden/>
          </w:rPr>
          <w:t>69</w:t>
        </w:r>
        <w:r w:rsidR="00E61632">
          <w:rPr>
            <w:webHidden/>
          </w:rPr>
          <w:fldChar w:fldCharType="end"/>
        </w:r>
      </w:hyperlink>
    </w:p>
    <w:p w14:paraId="5972A9C9" w14:textId="52219390" w:rsidR="00E61632" w:rsidRDefault="002E5535">
      <w:pPr>
        <w:pStyle w:val="TOC3"/>
        <w:rPr>
          <w:rFonts w:eastAsiaTheme="minorEastAsia"/>
          <w:noProof/>
          <w:sz w:val="24"/>
          <w:szCs w:val="24"/>
        </w:rPr>
      </w:pPr>
      <w:hyperlink w:anchor="_Toc22627770" w:history="1">
        <w:r w:rsidR="00E61632" w:rsidRPr="00400D8B">
          <w:rPr>
            <w:rStyle w:val="Hyperlink"/>
            <w:noProof/>
          </w:rPr>
          <w:t>4.3.1</w:t>
        </w:r>
        <w:r w:rsidR="00E61632">
          <w:rPr>
            <w:rFonts w:eastAsiaTheme="minorEastAsia"/>
            <w:noProof/>
            <w:sz w:val="24"/>
            <w:szCs w:val="24"/>
          </w:rPr>
          <w:tab/>
        </w:r>
        <w:r w:rsidR="00E61632" w:rsidRPr="00400D8B">
          <w:rPr>
            <w:rStyle w:val="Hyperlink"/>
            <w:noProof/>
          </w:rPr>
          <w:t>Internal discussions about the language to be used in the letters</w:t>
        </w:r>
        <w:r w:rsidR="00E61632">
          <w:rPr>
            <w:noProof/>
            <w:webHidden/>
          </w:rPr>
          <w:tab/>
        </w:r>
        <w:r w:rsidR="00E61632">
          <w:rPr>
            <w:noProof/>
            <w:webHidden/>
          </w:rPr>
          <w:fldChar w:fldCharType="begin"/>
        </w:r>
        <w:r w:rsidR="00E61632">
          <w:rPr>
            <w:noProof/>
            <w:webHidden/>
          </w:rPr>
          <w:instrText xml:space="preserve"> PAGEREF _Toc22627770 \h </w:instrText>
        </w:r>
        <w:r w:rsidR="00E61632">
          <w:rPr>
            <w:noProof/>
            <w:webHidden/>
          </w:rPr>
        </w:r>
        <w:r w:rsidR="00E61632">
          <w:rPr>
            <w:noProof/>
            <w:webHidden/>
          </w:rPr>
          <w:fldChar w:fldCharType="separate"/>
        </w:r>
        <w:r w:rsidR="00022664">
          <w:rPr>
            <w:noProof/>
            <w:webHidden/>
          </w:rPr>
          <w:t>70</w:t>
        </w:r>
        <w:r w:rsidR="00E61632">
          <w:rPr>
            <w:noProof/>
            <w:webHidden/>
          </w:rPr>
          <w:fldChar w:fldCharType="end"/>
        </w:r>
      </w:hyperlink>
    </w:p>
    <w:p w14:paraId="1EE875D7" w14:textId="056D2F1D" w:rsidR="00E61632" w:rsidRDefault="002E5535">
      <w:pPr>
        <w:pStyle w:val="TOC3"/>
        <w:rPr>
          <w:rFonts w:eastAsiaTheme="minorEastAsia"/>
          <w:noProof/>
          <w:sz w:val="24"/>
          <w:szCs w:val="24"/>
        </w:rPr>
      </w:pPr>
      <w:hyperlink w:anchor="_Toc22627771" w:history="1">
        <w:r w:rsidR="00E61632" w:rsidRPr="00400D8B">
          <w:rPr>
            <w:rStyle w:val="Hyperlink"/>
            <w:noProof/>
          </w:rPr>
          <w:t>4.3.2</w:t>
        </w:r>
        <w:r w:rsidR="00E61632">
          <w:rPr>
            <w:rFonts w:eastAsiaTheme="minorEastAsia"/>
            <w:noProof/>
            <w:sz w:val="24"/>
            <w:szCs w:val="24"/>
          </w:rPr>
          <w:tab/>
        </w:r>
        <w:r w:rsidR="00E61632" w:rsidRPr="00400D8B">
          <w:rPr>
            <w:rStyle w:val="Hyperlink"/>
            <w:noProof/>
          </w:rPr>
          <w:t>Letters sent to persons who had been subjected to unlawful reporting</w:t>
        </w:r>
        <w:r w:rsidR="0006759C">
          <w:rPr>
            <w:rStyle w:val="Hyperlink"/>
            <w:noProof/>
          </w:rPr>
          <w:t> </w:t>
        </w:r>
        <w:r w:rsidR="00E61632" w:rsidRPr="00400D8B">
          <w:rPr>
            <w:rStyle w:val="Hyperlink"/>
            <w:noProof/>
          </w:rPr>
          <w:t>requirements</w:t>
        </w:r>
        <w:r w:rsidR="00E61632">
          <w:rPr>
            <w:noProof/>
            <w:webHidden/>
          </w:rPr>
          <w:tab/>
        </w:r>
        <w:r w:rsidR="00E61632">
          <w:rPr>
            <w:noProof/>
            <w:webHidden/>
          </w:rPr>
          <w:fldChar w:fldCharType="begin"/>
        </w:r>
        <w:r w:rsidR="00E61632">
          <w:rPr>
            <w:noProof/>
            <w:webHidden/>
          </w:rPr>
          <w:instrText xml:space="preserve"> PAGEREF _Toc22627771 \h </w:instrText>
        </w:r>
        <w:r w:rsidR="00E61632">
          <w:rPr>
            <w:noProof/>
            <w:webHidden/>
          </w:rPr>
        </w:r>
        <w:r w:rsidR="00E61632">
          <w:rPr>
            <w:noProof/>
            <w:webHidden/>
          </w:rPr>
          <w:fldChar w:fldCharType="separate"/>
        </w:r>
        <w:r w:rsidR="00022664">
          <w:rPr>
            <w:noProof/>
            <w:webHidden/>
          </w:rPr>
          <w:t>75</w:t>
        </w:r>
        <w:r w:rsidR="00E61632">
          <w:rPr>
            <w:noProof/>
            <w:webHidden/>
          </w:rPr>
          <w:fldChar w:fldCharType="end"/>
        </w:r>
      </w:hyperlink>
    </w:p>
    <w:p w14:paraId="56FD6935" w14:textId="64C7668A" w:rsidR="00E61632" w:rsidRDefault="002E5535">
      <w:pPr>
        <w:pStyle w:val="TOC3"/>
        <w:rPr>
          <w:rFonts w:eastAsiaTheme="minorEastAsia"/>
          <w:noProof/>
          <w:sz w:val="24"/>
          <w:szCs w:val="24"/>
        </w:rPr>
      </w:pPr>
      <w:hyperlink w:anchor="_Toc22627772" w:history="1">
        <w:r w:rsidR="00E61632" w:rsidRPr="00400D8B">
          <w:rPr>
            <w:rStyle w:val="Hyperlink"/>
            <w:noProof/>
          </w:rPr>
          <w:t>4.3.3</w:t>
        </w:r>
        <w:r w:rsidR="00E61632">
          <w:rPr>
            <w:rFonts w:eastAsiaTheme="minorEastAsia"/>
            <w:noProof/>
            <w:sz w:val="24"/>
            <w:szCs w:val="24"/>
          </w:rPr>
          <w:tab/>
        </w:r>
        <w:r w:rsidR="00E61632" w:rsidRPr="00400D8B">
          <w:rPr>
            <w:rStyle w:val="Hyperlink"/>
            <w:noProof/>
          </w:rPr>
          <w:t>Comparison with other letters sent by the NSW Police Force</w:t>
        </w:r>
        <w:r w:rsidR="00E61632">
          <w:rPr>
            <w:noProof/>
            <w:webHidden/>
          </w:rPr>
          <w:tab/>
        </w:r>
        <w:r w:rsidR="00E61632">
          <w:rPr>
            <w:noProof/>
            <w:webHidden/>
          </w:rPr>
          <w:fldChar w:fldCharType="begin"/>
        </w:r>
        <w:r w:rsidR="00E61632">
          <w:rPr>
            <w:noProof/>
            <w:webHidden/>
          </w:rPr>
          <w:instrText xml:space="preserve"> PAGEREF _Toc22627772 \h </w:instrText>
        </w:r>
        <w:r w:rsidR="00E61632">
          <w:rPr>
            <w:noProof/>
            <w:webHidden/>
          </w:rPr>
        </w:r>
        <w:r w:rsidR="00E61632">
          <w:rPr>
            <w:noProof/>
            <w:webHidden/>
          </w:rPr>
          <w:fldChar w:fldCharType="separate"/>
        </w:r>
        <w:r w:rsidR="00022664">
          <w:rPr>
            <w:noProof/>
            <w:webHidden/>
          </w:rPr>
          <w:t>78</w:t>
        </w:r>
        <w:r w:rsidR="00E61632">
          <w:rPr>
            <w:noProof/>
            <w:webHidden/>
          </w:rPr>
          <w:fldChar w:fldCharType="end"/>
        </w:r>
      </w:hyperlink>
    </w:p>
    <w:p w14:paraId="52BA079F" w14:textId="64779E66" w:rsidR="00E61632" w:rsidRDefault="002E5535">
      <w:pPr>
        <w:pStyle w:val="TOC3"/>
        <w:rPr>
          <w:rFonts w:eastAsiaTheme="minorEastAsia"/>
          <w:noProof/>
          <w:sz w:val="24"/>
          <w:szCs w:val="24"/>
        </w:rPr>
      </w:pPr>
      <w:hyperlink w:anchor="_Toc22627773" w:history="1">
        <w:r w:rsidR="00E61632" w:rsidRPr="00400D8B">
          <w:rPr>
            <w:rStyle w:val="Hyperlink"/>
            <w:noProof/>
          </w:rPr>
          <w:t>4.3.4</w:t>
        </w:r>
        <w:r w:rsidR="00E61632">
          <w:rPr>
            <w:rFonts w:eastAsiaTheme="minorEastAsia"/>
            <w:noProof/>
            <w:sz w:val="24"/>
            <w:szCs w:val="24"/>
          </w:rPr>
          <w:tab/>
        </w:r>
        <w:r w:rsidR="00E61632" w:rsidRPr="00400D8B">
          <w:rPr>
            <w:rStyle w:val="Hyperlink"/>
            <w:noProof/>
          </w:rPr>
          <w:t>Decision not to notify persons no longer on the Register</w:t>
        </w:r>
        <w:r w:rsidR="0006759C">
          <w:rPr>
            <w:rStyle w:val="Hyperlink"/>
            <w:noProof/>
          </w:rPr>
          <w:t xml:space="preserve"> </w:t>
        </w:r>
        <w:r w:rsidR="0006759C">
          <w:rPr>
            <w:rStyle w:val="Hyperlink"/>
            <w:noProof/>
          </w:rPr>
          <w:br/>
        </w:r>
        <w:r w:rsidR="00E61632" w:rsidRPr="00400D8B">
          <w:rPr>
            <w:rStyle w:val="Hyperlink"/>
            <w:noProof/>
          </w:rPr>
          <w:t>in</w:t>
        </w:r>
        <w:r w:rsidR="0006759C">
          <w:rPr>
            <w:rStyle w:val="Hyperlink"/>
            <w:noProof/>
          </w:rPr>
          <w:t> </w:t>
        </w:r>
        <w:r w:rsidR="00E61632" w:rsidRPr="00400D8B">
          <w:rPr>
            <w:rStyle w:val="Hyperlink"/>
            <w:noProof/>
          </w:rPr>
          <w:t>July</w:t>
        </w:r>
        <w:r w:rsidR="0006759C">
          <w:rPr>
            <w:rStyle w:val="Hyperlink"/>
            <w:noProof/>
          </w:rPr>
          <w:t> </w:t>
        </w:r>
        <w:r w:rsidR="00E61632" w:rsidRPr="00400D8B">
          <w:rPr>
            <w:rStyle w:val="Hyperlink"/>
            <w:noProof/>
          </w:rPr>
          <w:t>2016</w:t>
        </w:r>
        <w:r w:rsidR="00E61632">
          <w:rPr>
            <w:noProof/>
            <w:webHidden/>
          </w:rPr>
          <w:tab/>
        </w:r>
        <w:r w:rsidR="00E61632">
          <w:rPr>
            <w:noProof/>
            <w:webHidden/>
          </w:rPr>
          <w:fldChar w:fldCharType="begin"/>
        </w:r>
        <w:r w:rsidR="00E61632">
          <w:rPr>
            <w:noProof/>
            <w:webHidden/>
          </w:rPr>
          <w:instrText xml:space="preserve"> PAGEREF _Toc22627773 \h </w:instrText>
        </w:r>
        <w:r w:rsidR="00E61632">
          <w:rPr>
            <w:noProof/>
            <w:webHidden/>
          </w:rPr>
        </w:r>
        <w:r w:rsidR="00E61632">
          <w:rPr>
            <w:noProof/>
            <w:webHidden/>
          </w:rPr>
          <w:fldChar w:fldCharType="separate"/>
        </w:r>
        <w:r w:rsidR="00022664">
          <w:rPr>
            <w:noProof/>
            <w:webHidden/>
          </w:rPr>
          <w:t>79</w:t>
        </w:r>
        <w:r w:rsidR="00E61632">
          <w:rPr>
            <w:noProof/>
            <w:webHidden/>
          </w:rPr>
          <w:fldChar w:fldCharType="end"/>
        </w:r>
      </w:hyperlink>
    </w:p>
    <w:p w14:paraId="45C331C8" w14:textId="37C7AB0D" w:rsidR="00E61632" w:rsidRDefault="002E5535">
      <w:pPr>
        <w:pStyle w:val="TOC2"/>
        <w:rPr>
          <w:rFonts w:eastAsiaTheme="minorEastAsia"/>
          <w:sz w:val="24"/>
          <w:szCs w:val="24"/>
        </w:rPr>
      </w:pPr>
      <w:hyperlink w:anchor="_Toc22627774" w:history="1">
        <w:r w:rsidR="00E61632" w:rsidRPr="00400D8B">
          <w:rPr>
            <w:rStyle w:val="Hyperlink"/>
          </w:rPr>
          <w:t>4.4</w:t>
        </w:r>
        <w:r w:rsidR="00E61632">
          <w:rPr>
            <w:rFonts w:eastAsiaTheme="minorEastAsia"/>
            <w:sz w:val="24"/>
            <w:szCs w:val="24"/>
          </w:rPr>
          <w:tab/>
        </w:r>
        <w:r w:rsidR="00E61632" w:rsidRPr="00400D8B">
          <w:rPr>
            <w:rStyle w:val="Hyperlink"/>
          </w:rPr>
          <w:t>NSW Police Force obligation to notify persons of errors</w:t>
        </w:r>
        <w:r w:rsidR="00E61632">
          <w:rPr>
            <w:webHidden/>
          </w:rPr>
          <w:tab/>
        </w:r>
        <w:r w:rsidR="00E61632">
          <w:rPr>
            <w:webHidden/>
          </w:rPr>
          <w:fldChar w:fldCharType="begin"/>
        </w:r>
        <w:r w:rsidR="00E61632">
          <w:rPr>
            <w:webHidden/>
          </w:rPr>
          <w:instrText xml:space="preserve"> PAGEREF _Toc22627774 \h </w:instrText>
        </w:r>
        <w:r w:rsidR="00E61632">
          <w:rPr>
            <w:webHidden/>
          </w:rPr>
        </w:r>
        <w:r w:rsidR="00E61632">
          <w:rPr>
            <w:webHidden/>
          </w:rPr>
          <w:fldChar w:fldCharType="separate"/>
        </w:r>
        <w:r w:rsidR="00022664">
          <w:rPr>
            <w:webHidden/>
          </w:rPr>
          <w:t>80</w:t>
        </w:r>
        <w:r w:rsidR="00E61632">
          <w:rPr>
            <w:webHidden/>
          </w:rPr>
          <w:fldChar w:fldCharType="end"/>
        </w:r>
      </w:hyperlink>
    </w:p>
    <w:p w14:paraId="6C59A962" w14:textId="694AE1F3" w:rsidR="00E61632" w:rsidRDefault="002E5535">
      <w:pPr>
        <w:pStyle w:val="TOC2"/>
        <w:rPr>
          <w:rFonts w:eastAsiaTheme="minorEastAsia"/>
          <w:sz w:val="24"/>
          <w:szCs w:val="24"/>
        </w:rPr>
      </w:pPr>
      <w:hyperlink w:anchor="_Toc22627775" w:history="1">
        <w:r w:rsidR="00E61632" w:rsidRPr="00400D8B">
          <w:rPr>
            <w:rStyle w:val="Hyperlink"/>
          </w:rPr>
          <w:t>4.5</w:t>
        </w:r>
        <w:r w:rsidR="00E61632">
          <w:rPr>
            <w:rFonts w:eastAsiaTheme="minorEastAsia"/>
            <w:sz w:val="24"/>
            <w:szCs w:val="24"/>
          </w:rPr>
          <w:tab/>
        </w:r>
        <w:r w:rsidR="00E61632" w:rsidRPr="00400D8B">
          <w:rPr>
            <w:rStyle w:val="Hyperlink"/>
          </w:rPr>
          <w:t>Responses to the draft final report</w:t>
        </w:r>
        <w:r w:rsidR="00E61632">
          <w:rPr>
            <w:webHidden/>
          </w:rPr>
          <w:tab/>
        </w:r>
        <w:r w:rsidR="00E61632">
          <w:rPr>
            <w:webHidden/>
          </w:rPr>
          <w:fldChar w:fldCharType="begin"/>
        </w:r>
        <w:r w:rsidR="00E61632">
          <w:rPr>
            <w:webHidden/>
          </w:rPr>
          <w:instrText xml:space="preserve"> PAGEREF _Toc22627775 \h </w:instrText>
        </w:r>
        <w:r w:rsidR="00E61632">
          <w:rPr>
            <w:webHidden/>
          </w:rPr>
        </w:r>
        <w:r w:rsidR="00E61632">
          <w:rPr>
            <w:webHidden/>
          </w:rPr>
          <w:fldChar w:fldCharType="separate"/>
        </w:r>
        <w:r w:rsidR="00022664">
          <w:rPr>
            <w:webHidden/>
          </w:rPr>
          <w:t>82</w:t>
        </w:r>
        <w:r w:rsidR="00E61632">
          <w:rPr>
            <w:webHidden/>
          </w:rPr>
          <w:fldChar w:fldCharType="end"/>
        </w:r>
      </w:hyperlink>
    </w:p>
    <w:p w14:paraId="46C40BBD" w14:textId="25013EFF" w:rsidR="00E61632" w:rsidRDefault="002E5535">
      <w:pPr>
        <w:pStyle w:val="TOC2"/>
        <w:rPr>
          <w:rFonts w:eastAsiaTheme="minorEastAsia"/>
          <w:sz w:val="24"/>
          <w:szCs w:val="24"/>
        </w:rPr>
      </w:pPr>
      <w:hyperlink w:anchor="_Toc22627776" w:history="1">
        <w:r w:rsidR="00E61632" w:rsidRPr="00400D8B">
          <w:rPr>
            <w:rStyle w:val="Hyperlink"/>
          </w:rPr>
          <w:t>4.6</w:t>
        </w:r>
        <w:r w:rsidR="00E61632">
          <w:rPr>
            <w:rFonts w:eastAsiaTheme="minorEastAsia"/>
            <w:sz w:val="24"/>
            <w:szCs w:val="24"/>
          </w:rPr>
          <w:tab/>
        </w:r>
        <w:r w:rsidR="00E61632" w:rsidRPr="00400D8B">
          <w:rPr>
            <w:rStyle w:val="Hyperlink"/>
          </w:rPr>
          <w:t>Commission’s analysis</w:t>
        </w:r>
        <w:r w:rsidR="00E61632">
          <w:rPr>
            <w:webHidden/>
          </w:rPr>
          <w:tab/>
        </w:r>
        <w:r w:rsidR="00E61632">
          <w:rPr>
            <w:webHidden/>
          </w:rPr>
          <w:fldChar w:fldCharType="begin"/>
        </w:r>
        <w:r w:rsidR="00E61632">
          <w:rPr>
            <w:webHidden/>
          </w:rPr>
          <w:instrText xml:space="preserve"> PAGEREF _Toc22627776 \h </w:instrText>
        </w:r>
        <w:r w:rsidR="00E61632">
          <w:rPr>
            <w:webHidden/>
          </w:rPr>
        </w:r>
        <w:r w:rsidR="00E61632">
          <w:rPr>
            <w:webHidden/>
          </w:rPr>
          <w:fldChar w:fldCharType="separate"/>
        </w:r>
        <w:r w:rsidR="00022664">
          <w:rPr>
            <w:webHidden/>
          </w:rPr>
          <w:t>84</w:t>
        </w:r>
        <w:r w:rsidR="00E61632">
          <w:rPr>
            <w:webHidden/>
          </w:rPr>
          <w:fldChar w:fldCharType="end"/>
        </w:r>
      </w:hyperlink>
    </w:p>
    <w:p w14:paraId="6A03244E" w14:textId="4B921A94" w:rsidR="00E61632" w:rsidRDefault="002E5535">
      <w:pPr>
        <w:pStyle w:val="TOC2"/>
        <w:rPr>
          <w:rFonts w:eastAsiaTheme="minorEastAsia"/>
          <w:sz w:val="24"/>
          <w:szCs w:val="24"/>
        </w:rPr>
      </w:pPr>
      <w:hyperlink w:anchor="_Toc22627777" w:history="1">
        <w:r w:rsidR="00E61632" w:rsidRPr="00400D8B">
          <w:rPr>
            <w:rStyle w:val="Hyperlink"/>
          </w:rPr>
          <w:t>4.7</w:t>
        </w:r>
        <w:r w:rsidR="00E61632">
          <w:rPr>
            <w:rFonts w:eastAsiaTheme="minorEastAsia"/>
            <w:sz w:val="24"/>
            <w:szCs w:val="24"/>
          </w:rPr>
          <w:tab/>
        </w:r>
        <w:r w:rsidR="00E61632" w:rsidRPr="00400D8B">
          <w:rPr>
            <w:rStyle w:val="Hyperlink"/>
          </w:rPr>
          <w:t>Findings</w:t>
        </w:r>
        <w:r w:rsidR="00E61632">
          <w:rPr>
            <w:webHidden/>
          </w:rPr>
          <w:tab/>
        </w:r>
        <w:r w:rsidR="0006759C">
          <w:rPr>
            <w:webHidden/>
          </w:rPr>
          <w:tab/>
        </w:r>
        <w:r w:rsidR="00E61632">
          <w:rPr>
            <w:webHidden/>
          </w:rPr>
          <w:fldChar w:fldCharType="begin"/>
        </w:r>
        <w:r w:rsidR="00E61632">
          <w:rPr>
            <w:webHidden/>
          </w:rPr>
          <w:instrText xml:space="preserve"> PAGEREF _Toc22627777 \h </w:instrText>
        </w:r>
        <w:r w:rsidR="00E61632">
          <w:rPr>
            <w:webHidden/>
          </w:rPr>
        </w:r>
        <w:r w:rsidR="00E61632">
          <w:rPr>
            <w:webHidden/>
          </w:rPr>
          <w:fldChar w:fldCharType="separate"/>
        </w:r>
        <w:r w:rsidR="00022664">
          <w:rPr>
            <w:webHidden/>
          </w:rPr>
          <w:t>85</w:t>
        </w:r>
        <w:r w:rsidR="00E61632">
          <w:rPr>
            <w:webHidden/>
          </w:rPr>
          <w:fldChar w:fldCharType="end"/>
        </w:r>
      </w:hyperlink>
    </w:p>
    <w:p w14:paraId="1594AB97" w14:textId="439937ED" w:rsidR="00E61632" w:rsidRDefault="002E5535">
      <w:pPr>
        <w:pStyle w:val="TOC2"/>
        <w:rPr>
          <w:rFonts w:eastAsiaTheme="minorEastAsia"/>
          <w:sz w:val="24"/>
          <w:szCs w:val="24"/>
        </w:rPr>
      </w:pPr>
      <w:hyperlink w:anchor="_Toc22627778" w:history="1">
        <w:r w:rsidR="00E61632" w:rsidRPr="00400D8B">
          <w:rPr>
            <w:rStyle w:val="Hyperlink"/>
            <w:rFonts w:ascii="Gotham Book" w:hAnsi="Gotham Book"/>
          </w:rPr>
          <w:t>4.8</w:t>
        </w:r>
        <w:r w:rsidR="00E61632">
          <w:rPr>
            <w:rFonts w:eastAsiaTheme="minorEastAsia"/>
            <w:sz w:val="24"/>
            <w:szCs w:val="24"/>
          </w:rPr>
          <w:tab/>
        </w:r>
        <w:r w:rsidR="00E61632" w:rsidRPr="00400D8B">
          <w:rPr>
            <w:rStyle w:val="Hyperlink"/>
          </w:rPr>
          <w:t>Remedial action</w:t>
        </w:r>
        <w:r w:rsidR="00E61632" w:rsidRPr="00400D8B">
          <w:rPr>
            <w:rStyle w:val="Hyperlink"/>
            <w:rFonts w:ascii="Gotham Book" w:hAnsi="Gotham Book"/>
          </w:rPr>
          <w:t xml:space="preserve"> for those subjected to unlawful or unjust actions</w:t>
        </w:r>
        <w:r w:rsidR="00E61632">
          <w:rPr>
            <w:webHidden/>
          </w:rPr>
          <w:tab/>
        </w:r>
        <w:r w:rsidR="00E61632">
          <w:rPr>
            <w:webHidden/>
          </w:rPr>
          <w:fldChar w:fldCharType="begin"/>
        </w:r>
        <w:r w:rsidR="00E61632">
          <w:rPr>
            <w:webHidden/>
          </w:rPr>
          <w:instrText xml:space="preserve"> PAGEREF _Toc22627778 \h </w:instrText>
        </w:r>
        <w:r w:rsidR="00E61632">
          <w:rPr>
            <w:webHidden/>
          </w:rPr>
        </w:r>
        <w:r w:rsidR="00E61632">
          <w:rPr>
            <w:webHidden/>
          </w:rPr>
          <w:fldChar w:fldCharType="separate"/>
        </w:r>
        <w:r w:rsidR="00022664">
          <w:rPr>
            <w:webHidden/>
          </w:rPr>
          <w:t>86</w:t>
        </w:r>
        <w:r w:rsidR="00E61632">
          <w:rPr>
            <w:webHidden/>
          </w:rPr>
          <w:fldChar w:fldCharType="end"/>
        </w:r>
      </w:hyperlink>
    </w:p>
    <w:p w14:paraId="03877EE0" w14:textId="6629A1D2" w:rsidR="00E61632" w:rsidRDefault="002E5535">
      <w:pPr>
        <w:pStyle w:val="TOC2"/>
        <w:rPr>
          <w:rFonts w:eastAsiaTheme="minorEastAsia"/>
          <w:sz w:val="24"/>
          <w:szCs w:val="24"/>
        </w:rPr>
      </w:pPr>
      <w:hyperlink w:anchor="_Toc22627779" w:history="1">
        <w:r w:rsidR="00E61632" w:rsidRPr="00400D8B">
          <w:rPr>
            <w:rStyle w:val="Hyperlink"/>
          </w:rPr>
          <w:t>4.9</w:t>
        </w:r>
        <w:r w:rsidR="00E61632">
          <w:rPr>
            <w:rFonts w:eastAsiaTheme="minorEastAsia"/>
            <w:sz w:val="24"/>
            <w:szCs w:val="24"/>
          </w:rPr>
          <w:tab/>
        </w:r>
        <w:r w:rsidR="00E61632" w:rsidRPr="00400D8B">
          <w:rPr>
            <w:rStyle w:val="Hyperlink"/>
          </w:rPr>
          <w:t>NSW Police Force response to the draft final report</w:t>
        </w:r>
        <w:r w:rsidR="00E61632">
          <w:rPr>
            <w:webHidden/>
          </w:rPr>
          <w:tab/>
        </w:r>
        <w:r w:rsidR="00E61632">
          <w:rPr>
            <w:webHidden/>
          </w:rPr>
          <w:fldChar w:fldCharType="begin"/>
        </w:r>
        <w:r w:rsidR="00E61632">
          <w:rPr>
            <w:webHidden/>
          </w:rPr>
          <w:instrText xml:space="preserve"> PAGEREF _Toc22627779 \h </w:instrText>
        </w:r>
        <w:r w:rsidR="00E61632">
          <w:rPr>
            <w:webHidden/>
          </w:rPr>
        </w:r>
        <w:r w:rsidR="00E61632">
          <w:rPr>
            <w:webHidden/>
          </w:rPr>
          <w:fldChar w:fldCharType="separate"/>
        </w:r>
        <w:r w:rsidR="00022664">
          <w:rPr>
            <w:webHidden/>
          </w:rPr>
          <w:t>88</w:t>
        </w:r>
        <w:r w:rsidR="00E61632">
          <w:rPr>
            <w:webHidden/>
          </w:rPr>
          <w:fldChar w:fldCharType="end"/>
        </w:r>
      </w:hyperlink>
    </w:p>
    <w:p w14:paraId="001B01A4" w14:textId="2114A8F4" w:rsidR="00E61632" w:rsidRDefault="002E5535">
      <w:pPr>
        <w:pStyle w:val="TOC2"/>
        <w:rPr>
          <w:rFonts w:eastAsiaTheme="minorEastAsia"/>
          <w:sz w:val="24"/>
          <w:szCs w:val="24"/>
        </w:rPr>
      </w:pPr>
      <w:hyperlink w:anchor="_Toc22627780" w:history="1">
        <w:r w:rsidR="00E61632" w:rsidRPr="00400D8B">
          <w:rPr>
            <w:rStyle w:val="Hyperlink"/>
          </w:rPr>
          <w:t>4.10</w:t>
        </w:r>
        <w:r w:rsidR="00E61632">
          <w:rPr>
            <w:rFonts w:eastAsiaTheme="minorEastAsia"/>
            <w:sz w:val="24"/>
            <w:szCs w:val="24"/>
          </w:rPr>
          <w:tab/>
        </w:r>
        <w:r w:rsidR="00E61632" w:rsidRPr="00400D8B">
          <w:rPr>
            <w:rStyle w:val="Hyperlink"/>
          </w:rPr>
          <w:t>Commission’s analysis and recommendation</w:t>
        </w:r>
        <w:r w:rsidR="00E61632">
          <w:rPr>
            <w:webHidden/>
          </w:rPr>
          <w:tab/>
        </w:r>
        <w:r w:rsidR="00E61632">
          <w:rPr>
            <w:webHidden/>
          </w:rPr>
          <w:fldChar w:fldCharType="begin"/>
        </w:r>
        <w:r w:rsidR="00E61632">
          <w:rPr>
            <w:webHidden/>
          </w:rPr>
          <w:instrText xml:space="preserve"> PAGEREF _Toc22627780 \h </w:instrText>
        </w:r>
        <w:r w:rsidR="00E61632">
          <w:rPr>
            <w:webHidden/>
          </w:rPr>
        </w:r>
        <w:r w:rsidR="00E61632">
          <w:rPr>
            <w:webHidden/>
          </w:rPr>
          <w:fldChar w:fldCharType="separate"/>
        </w:r>
        <w:r w:rsidR="00022664">
          <w:rPr>
            <w:webHidden/>
          </w:rPr>
          <w:t>89</w:t>
        </w:r>
        <w:r w:rsidR="00E61632">
          <w:rPr>
            <w:webHidden/>
          </w:rPr>
          <w:fldChar w:fldCharType="end"/>
        </w:r>
      </w:hyperlink>
    </w:p>
    <w:p w14:paraId="271A8EC7" w14:textId="60C444BC" w:rsidR="00E61632" w:rsidRDefault="002E5535">
      <w:pPr>
        <w:pStyle w:val="TOC1"/>
        <w:rPr>
          <w:rFonts w:eastAsiaTheme="minorEastAsia"/>
          <w:caps w:val="0"/>
          <w:color w:val="auto"/>
          <w:sz w:val="24"/>
          <w:szCs w:val="24"/>
        </w:rPr>
      </w:pPr>
      <w:hyperlink w:anchor="_Toc22627781" w:history="1">
        <w:r w:rsidR="00E61632" w:rsidRPr="00400D8B">
          <w:rPr>
            <w:rStyle w:val="Hyperlink"/>
            <w:rFonts w:ascii="Gotham Bold" w:hAnsi="Gotham Bold" w:cs="Gotham Book"/>
            <w:b/>
          </w:rPr>
          <w:t>5.</w:t>
        </w:r>
        <w:r w:rsidR="00E61632">
          <w:rPr>
            <w:rFonts w:eastAsiaTheme="minorEastAsia"/>
            <w:caps w:val="0"/>
            <w:color w:val="auto"/>
            <w:sz w:val="24"/>
            <w:szCs w:val="24"/>
          </w:rPr>
          <w:tab/>
        </w:r>
        <w:r w:rsidR="00E61632" w:rsidRPr="00400D8B">
          <w:rPr>
            <w:rStyle w:val="Hyperlink"/>
          </w:rPr>
          <w:t>Workload of the NSW PolIcE Force Child Protection Registry</w:t>
        </w:r>
        <w:r w:rsidR="00E61632">
          <w:rPr>
            <w:webHidden/>
          </w:rPr>
          <w:tab/>
        </w:r>
        <w:r w:rsidR="00E61632">
          <w:rPr>
            <w:webHidden/>
          </w:rPr>
          <w:fldChar w:fldCharType="begin"/>
        </w:r>
        <w:r w:rsidR="00E61632">
          <w:rPr>
            <w:webHidden/>
          </w:rPr>
          <w:instrText xml:space="preserve"> PAGEREF _Toc22627781 \h </w:instrText>
        </w:r>
        <w:r w:rsidR="00E61632">
          <w:rPr>
            <w:webHidden/>
          </w:rPr>
        </w:r>
        <w:r w:rsidR="00E61632">
          <w:rPr>
            <w:webHidden/>
          </w:rPr>
          <w:fldChar w:fldCharType="separate"/>
        </w:r>
        <w:r w:rsidR="00022664">
          <w:rPr>
            <w:webHidden/>
          </w:rPr>
          <w:t>92</w:t>
        </w:r>
        <w:r w:rsidR="00E61632">
          <w:rPr>
            <w:webHidden/>
          </w:rPr>
          <w:fldChar w:fldCharType="end"/>
        </w:r>
      </w:hyperlink>
    </w:p>
    <w:p w14:paraId="40E4237D" w14:textId="315AA6A4" w:rsidR="00E61632" w:rsidRDefault="002E5535">
      <w:pPr>
        <w:pStyle w:val="TOC2"/>
        <w:rPr>
          <w:rFonts w:eastAsiaTheme="minorEastAsia"/>
          <w:sz w:val="24"/>
          <w:szCs w:val="24"/>
        </w:rPr>
      </w:pPr>
      <w:hyperlink w:anchor="_Toc22627782" w:history="1">
        <w:r w:rsidR="00E61632" w:rsidRPr="00400D8B">
          <w:rPr>
            <w:rStyle w:val="Hyperlink"/>
          </w:rPr>
          <w:t>5.1</w:t>
        </w:r>
        <w:r w:rsidR="00E61632">
          <w:rPr>
            <w:rFonts w:eastAsiaTheme="minorEastAsia"/>
            <w:sz w:val="24"/>
            <w:szCs w:val="24"/>
          </w:rPr>
          <w:tab/>
        </w:r>
        <w:r w:rsidR="00E61632" w:rsidRPr="00400D8B">
          <w:rPr>
            <w:rStyle w:val="Hyperlink"/>
          </w:rPr>
          <w:t>Introduction</w:t>
        </w:r>
        <w:r w:rsidR="00E61632">
          <w:rPr>
            <w:webHidden/>
          </w:rPr>
          <w:tab/>
        </w:r>
        <w:r w:rsidR="00E61632">
          <w:rPr>
            <w:webHidden/>
          </w:rPr>
          <w:fldChar w:fldCharType="begin"/>
        </w:r>
        <w:r w:rsidR="00E61632">
          <w:rPr>
            <w:webHidden/>
          </w:rPr>
          <w:instrText xml:space="preserve"> PAGEREF _Toc22627782 \h </w:instrText>
        </w:r>
        <w:r w:rsidR="00E61632">
          <w:rPr>
            <w:webHidden/>
          </w:rPr>
        </w:r>
        <w:r w:rsidR="00E61632">
          <w:rPr>
            <w:webHidden/>
          </w:rPr>
          <w:fldChar w:fldCharType="separate"/>
        </w:r>
        <w:r w:rsidR="00022664">
          <w:rPr>
            <w:webHidden/>
          </w:rPr>
          <w:t>93</w:t>
        </w:r>
        <w:r w:rsidR="00E61632">
          <w:rPr>
            <w:webHidden/>
          </w:rPr>
          <w:fldChar w:fldCharType="end"/>
        </w:r>
      </w:hyperlink>
    </w:p>
    <w:p w14:paraId="0B32474F" w14:textId="08EEF3F7" w:rsidR="00E61632" w:rsidRDefault="002E5535">
      <w:pPr>
        <w:pStyle w:val="TOC2"/>
        <w:rPr>
          <w:rFonts w:eastAsiaTheme="minorEastAsia"/>
          <w:sz w:val="24"/>
          <w:szCs w:val="24"/>
        </w:rPr>
      </w:pPr>
      <w:hyperlink w:anchor="_Toc22627783" w:history="1">
        <w:r w:rsidR="00E61632" w:rsidRPr="00400D8B">
          <w:rPr>
            <w:rStyle w:val="Hyperlink"/>
            <w:rFonts w:ascii="Gotham Book" w:hAnsi="Gotham Book"/>
          </w:rPr>
          <w:t>5.2</w:t>
        </w:r>
        <w:r w:rsidR="00E61632">
          <w:rPr>
            <w:rFonts w:eastAsiaTheme="minorEastAsia"/>
            <w:sz w:val="24"/>
            <w:szCs w:val="24"/>
          </w:rPr>
          <w:tab/>
        </w:r>
        <w:r w:rsidR="00E61632" w:rsidRPr="00400D8B">
          <w:rPr>
            <w:rStyle w:val="Hyperlink"/>
            <w:rFonts w:ascii="Gotham Book" w:hAnsi="Gotham Book"/>
          </w:rPr>
          <w:t>Increase in demand, complexity and scope of Registry’s work</w:t>
        </w:r>
        <w:r w:rsidR="00E61632">
          <w:rPr>
            <w:webHidden/>
          </w:rPr>
          <w:tab/>
        </w:r>
        <w:r w:rsidR="00E61632">
          <w:rPr>
            <w:webHidden/>
          </w:rPr>
          <w:fldChar w:fldCharType="begin"/>
        </w:r>
        <w:r w:rsidR="00E61632">
          <w:rPr>
            <w:webHidden/>
          </w:rPr>
          <w:instrText xml:space="preserve"> PAGEREF _Toc22627783 \h </w:instrText>
        </w:r>
        <w:r w:rsidR="00E61632">
          <w:rPr>
            <w:webHidden/>
          </w:rPr>
        </w:r>
        <w:r w:rsidR="00E61632">
          <w:rPr>
            <w:webHidden/>
          </w:rPr>
          <w:fldChar w:fldCharType="separate"/>
        </w:r>
        <w:r w:rsidR="00022664">
          <w:rPr>
            <w:webHidden/>
          </w:rPr>
          <w:t>94</w:t>
        </w:r>
        <w:r w:rsidR="00E61632">
          <w:rPr>
            <w:webHidden/>
          </w:rPr>
          <w:fldChar w:fldCharType="end"/>
        </w:r>
      </w:hyperlink>
    </w:p>
    <w:p w14:paraId="22E64D76" w14:textId="189F79ED" w:rsidR="00E61632" w:rsidRDefault="002E5535">
      <w:pPr>
        <w:pStyle w:val="TOC3"/>
        <w:rPr>
          <w:rFonts w:eastAsiaTheme="minorEastAsia"/>
          <w:noProof/>
          <w:sz w:val="24"/>
          <w:szCs w:val="24"/>
        </w:rPr>
      </w:pPr>
      <w:hyperlink w:anchor="_Toc22627784" w:history="1">
        <w:r w:rsidR="00E61632" w:rsidRPr="00400D8B">
          <w:rPr>
            <w:rStyle w:val="Hyperlink"/>
            <w:noProof/>
          </w:rPr>
          <w:t>5.2.1</w:t>
        </w:r>
        <w:r w:rsidR="00E61632">
          <w:rPr>
            <w:rFonts w:eastAsiaTheme="minorEastAsia"/>
            <w:noProof/>
            <w:sz w:val="24"/>
            <w:szCs w:val="24"/>
          </w:rPr>
          <w:tab/>
        </w:r>
        <w:r w:rsidR="00E61632" w:rsidRPr="00400D8B">
          <w:rPr>
            <w:rStyle w:val="Hyperlink"/>
            <w:noProof/>
          </w:rPr>
          <w:t>Number of persons on the Register is continually increasing</w:t>
        </w:r>
        <w:r w:rsidR="00E61632">
          <w:rPr>
            <w:noProof/>
            <w:webHidden/>
          </w:rPr>
          <w:tab/>
        </w:r>
        <w:r w:rsidR="00E61632">
          <w:rPr>
            <w:noProof/>
            <w:webHidden/>
          </w:rPr>
          <w:fldChar w:fldCharType="begin"/>
        </w:r>
        <w:r w:rsidR="00E61632">
          <w:rPr>
            <w:noProof/>
            <w:webHidden/>
          </w:rPr>
          <w:instrText xml:space="preserve"> PAGEREF _Toc22627784 \h </w:instrText>
        </w:r>
        <w:r w:rsidR="00E61632">
          <w:rPr>
            <w:noProof/>
            <w:webHidden/>
          </w:rPr>
        </w:r>
        <w:r w:rsidR="00E61632">
          <w:rPr>
            <w:noProof/>
            <w:webHidden/>
          </w:rPr>
          <w:fldChar w:fldCharType="separate"/>
        </w:r>
        <w:r w:rsidR="00022664">
          <w:rPr>
            <w:noProof/>
            <w:webHidden/>
          </w:rPr>
          <w:t>94</w:t>
        </w:r>
        <w:r w:rsidR="00E61632">
          <w:rPr>
            <w:noProof/>
            <w:webHidden/>
          </w:rPr>
          <w:fldChar w:fldCharType="end"/>
        </w:r>
      </w:hyperlink>
    </w:p>
    <w:p w14:paraId="78365E56" w14:textId="7F63F227" w:rsidR="00E61632" w:rsidRDefault="002E5535">
      <w:pPr>
        <w:pStyle w:val="TOC3"/>
        <w:rPr>
          <w:rFonts w:eastAsiaTheme="minorEastAsia"/>
          <w:noProof/>
          <w:sz w:val="24"/>
          <w:szCs w:val="24"/>
        </w:rPr>
      </w:pPr>
      <w:hyperlink w:anchor="_Toc22627785" w:history="1">
        <w:r w:rsidR="00E61632" w:rsidRPr="00400D8B">
          <w:rPr>
            <w:rStyle w:val="Hyperlink"/>
            <w:rFonts w:ascii="Gotham Book" w:hAnsi="Gotham Book"/>
            <w:noProof/>
          </w:rPr>
          <w:t>5.2.2</w:t>
        </w:r>
        <w:r w:rsidR="00E61632">
          <w:rPr>
            <w:rFonts w:eastAsiaTheme="minorEastAsia"/>
            <w:noProof/>
            <w:sz w:val="24"/>
            <w:szCs w:val="24"/>
          </w:rPr>
          <w:tab/>
        </w:r>
        <w:r w:rsidR="00E61632" w:rsidRPr="00400D8B">
          <w:rPr>
            <w:rStyle w:val="Hyperlink"/>
            <w:rFonts w:ascii="Gotham Book" w:hAnsi="Gotham Book"/>
            <w:noProof/>
          </w:rPr>
          <w:t>Expansion of the list of offences and sentences that will result in</w:t>
        </w:r>
        <w:r w:rsidR="0006759C">
          <w:rPr>
            <w:rStyle w:val="Hyperlink"/>
            <w:rFonts w:ascii="Gotham Book" w:hAnsi="Gotham Book"/>
            <w:noProof/>
          </w:rPr>
          <w:t> </w:t>
        </w:r>
        <w:r w:rsidR="00E61632" w:rsidRPr="00400D8B">
          <w:rPr>
            <w:rStyle w:val="Hyperlink"/>
            <w:rFonts w:ascii="Gotham Book" w:hAnsi="Gotham Book"/>
            <w:noProof/>
          </w:rPr>
          <w:t>a</w:t>
        </w:r>
        <w:r w:rsidR="0006759C">
          <w:rPr>
            <w:rStyle w:val="Hyperlink"/>
            <w:rFonts w:ascii="Gotham Book" w:hAnsi="Gotham Book"/>
            <w:noProof/>
          </w:rPr>
          <w:t> </w:t>
        </w:r>
        <w:r w:rsidR="00E61632" w:rsidRPr="00400D8B">
          <w:rPr>
            <w:rStyle w:val="Hyperlink"/>
            <w:rFonts w:ascii="Gotham Book" w:hAnsi="Gotham Book"/>
            <w:noProof/>
          </w:rPr>
          <w:t>person becoming registrable</w:t>
        </w:r>
        <w:r w:rsidR="00E61632">
          <w:rPr>
            <w:noProof/>
            <w:webHidden/>
          </w:rPr>
          <w:tab/>
        </w:r>
        <w:r w:rsidR="00E61632">
          <w:rPr>
            <w:noProof/>
            <w:webHidden/>
          </w:rPr>
          <w:fldChar w:fldCharType="begin"/>
        </w:r>
        <w:r w:rsidR="00E61632">
          <w:rPr>
            <w:noProof/>
            <w:webHidden/>
          </w:rPr>
          <w:instrText xml:space="preserve"> PAGEREF _Toc22627785 \h </w:instrText>
        </w:r>
        <w:r w:rsidR="00E61632">
          <w:rPr>
            <w:noProof/>
            <w:webHidden/>
          </w:rPr>
        </w:r>
        <w:r w:rsidR="00E61632">
          <w:rPr>
            <w:noProof/>
            <w:webHidden/>
          </w:rPr>
          <w:fldChar w:fldCharType="separate"/>
        </w:r>
        <w:r w:rsidR="00022664">
          <w:rPr>
            <w:noProof/>
            <w:webHidden/>
          </w:rPr>
          <w:t>97</w:t>
        </w:r>
        <w:r w:rsidR="00E61632">
          <w:rPr>
            <w:noProof/>
            <w:webHidden/>
          </w:rPr>
          <w:fldChar w:fldCharType="end"/>
        </w:r>
      </w:hyperlink>
    </w:p>
    <w:p w14:paraId="58CE0B77" w14:textId="1A0F894C" w:rsidR="00E61632" w:rsidRDefault="002E5535">
      <w:pPr>
        <w:pStyle w:val="TOC3"/>
        <w:rPr>
          <w:rFonts w:eastAsiaTheme="minorEastAsia"/>
          <w:noProof/>
          <w:sz w:val="24"/>
          <w:szCs w:val="24"/>
        </w:rPr>
      </w:pPr>
      <w:hyperlink w:anchor="_Toc22627786" w:history="1">
        <w:r w:rsidR="00E61632" w:rsidRPr="00400D8B">
          <w:rPr>
            <w:rStyle w:val="Hyperlink"/>
            <w:noProof/>
          </w:rPr>
          <w:t>5.2.3</w:t>
        </w:r>
        <w:r w:rsidR="00E61632">
          <w:rPr>
            <w:rFonts w:eastAsiaTheme="minorEastAsia"/>
            <w:noProof/>
            <w:sz w:val="24"/>
            <w:szCs w:val="24"/>
          </w:rPr>
          <w:tab/>
        </w:r>
        <w:r w:rsidR="00E61632" w:rsidRPr="00400D8B">
          <w:rPr>
            <w:rStyle w:val="Hyperlink"/>
            <w:noProof/>
          </w:rPr>
          <w:t>Increase in reporting obligations</w:t>
        </w:r>
        <w:r w:rsidR="00E61632">
          <w:rPr>
            <w:noProof/>
            <w:webHidden/>
          </w:rPr>
          <w:tab/>
        </w:r>
        <w:r w:rsidR="00E61632">
          <w:rPr>
            <w:noProof/>
            <w:webHidden/>
          </w:rPr>
          <w:fldChar w:fldCharType="begin"/>
        </w:r>
        <w:r w:rsidR="00E61632">
          <w:rPr>
            <w:noProof/>
            <w:webHidden/>
          </w:rPr>
          <w:instrText xml:space="preserve"> PAGEREF _Toc22627786 \h </w:instrText>
        </w:r>
        <w:r w:rsidR="00E61632">
          <w:rPr>
            <w:noProof/>
            <w:webHidden/>
          </w:rPr>
        </w:r>
        <w:r w:rsidR="00E61632">
          <w:rPr>
            <w:noProof/>
            <w:webHidden/>
          </w:rPr>
          <w:fldChar w:fldCharType="separate"/>
        </w:r>
        <w:r w:rsidR="00022664">
          <w:rPr>
            <w:noProof/>
            <w:webHidden/>
          </w:rPr>
          <w:t>98</w:t>
        </w:r>
        <w:r w:rsidR="00E61632">
          <w:rPr>
            <w:noProof/>
            <w:webHidden/>
          </w:rPr>
          <w:fldChar w:fldCharType="end"/>
        </w:r>
      </w:hyperlink>
    </w:p>
    <w:p w14:paraId="739AC8BE" w14:textId="2BBD27BA" w:rsidR="00E61632" w:rsidRDefault="002E5535">
      <w:pPr>
        <w:pStyle w:val="TOC3"/>
        <w:rPr>
          <w:rFonts w:eastAsiaTheme="minorEastAsia"/>
          <w:noProof/>
          <w:sz w:val="24"/>
          <w:szCs w:val="24"/>
        </w:rPr>
      </w:pPr>
      <w:hyperlink w:anchor="_Toc22627787" w:history="1">
        <w:r w:rsidR="00E61632" w:rsidRPr="00400D8B">
          <w:rPr>
            <w:rStyle w:val="Hyperlink"/>
            <w:noProof/>
          </w:rPr>
          <w:t>5.2.4</w:t>
        </w:r>
        <w:r w:rsidR="00E61632">
          <w:rPr>
            <w:rFonts w:eastAsiaTheme="minorEastAsia"/>
            <w:noProof/>
            <w:sz w:val="24"/>
            <w:szCs w:val="24"/>
          </w:rPr>
          <w:tab/>
        </w:r>
        <w:r w:rsidR="00E61632" w:rsidRPr="00400D8B">
          <w:rPr>
            <w:rStyle w:val="Hyperlink"/>
            <w:noProof/>
          </w:rPr>
          <w:t>Increasing complexity of the Registry’s work</w:t>
        </w:r>
        <w:r w:rsidR="00E61632">
          <w:rPr>
            <w:noProof/>
            <w:webHidden/>
          </w:rPr>
          <w:tab/>
        </w:r>
        <w:r w:rsidR="00E61632">
          <w:rPr>
            <w:noProof/>
            <w:webHidden/>
          </w:rPr>
          <w:fldChar w:fldCharType="begin"/>
        </w:r>
        <w:r w:rsidR="00E61632">
          <w:rPr>
            <w:noProof/>
            <w:webHidden/>
          </w:rPr>
          <w:instrText xml:space="preserve"> PAGEREF _Toc22627787 \h </w:instrText>
        </w:r>
        <w:r w:rsidR="00E61632">
          <w:rPr>
            <w:noProof/>
            <w:webHidden/>
          </w:rPr>
        </w:r>
        <w:r w:rsidR="00E61632">
          <w:rPr>
            <w:noProof/>
            <w:webHidden/>
          </w:rPr>
          <w:fldChar w:fldCharType="separate"/>
        </w:r>
        <w:r w:rsidR="00022664">
          <w:rPr>
            <w:noProof/>
            <w:webHidden/>
          </w:rPr>
          <w:t>100</w:t>
        </w:r>
        <w:r w:rsidR="00E61632">
          <w:rPr>
            <w:noProof/>
            <w:webHidden/>
          </w:rPr>
          <w:fldChar w:fldCharType="end"/>
        </w:r>
      </w:hyperlink>
    </w:p>
    <w:p w14:paraId="14140C2D" w14:textId="17176B13" w:rsidR="00E61632" w:rsidRDefault="002E5535">
      <w:pPr>
        <w:pStyle w:val="TOC2"/>
        <w:rPr>
          <w:rFonts w:eastAsiaTheme="minorEastAsia"/>
          <w:sz w:val="24"/>
          <w:szCs w:val="24"/>
        </w:rPr>
      </w:pPr>
      <w:hyperlink w:anchor="_Toc22627788" w:history="1">
        <w:r w:rsidR="00E61632" w:rsidRPr="00400D8B">
          <w:rPr>
            <w:rStyle w:val="Hyperlink"/>
          </w:rPr>
          <w:t>5.3</w:t>
        </w:r>
        <w:r w:rsidR="00E61632">
          <w:rPr>
            <w:rFonts w:eastAsiaTheme="minorEastAsia"/>
            <w:sz w:val="24"/>
            <w:szCs w:val="24"/>
          </w:rPr>
          <w:tab/>
        </w:r>
        <w:r w:rsidR="00E61632" w:rsidRPr="00400D8B">
          <w:rPr>
            <w:rStyle w:val="Hyperlink"/>
          </w:rPr>
          <w:t>Additional responsibilities given to the Registry</w:t>
        </w:r>
        <w:r w:rsidR="00E61632">
          <w:rPr>
            <w:webHidden/>
          </w:rPr>
          <w:tab/>
        </w:r>
        <w:r w:rsidR="00E61632">
          <w:rPr>
            <w:webHidden/>
          </w:rPr>
          <w:fldChar w:fldCharType="begin"/>
        </w:r>
        <w:r w:rsidR="00E61632">
          <w:rPr>
            <w:webHidden/>
          </w:rPr>
          <w:instrText xml:space="preserve"> PAGEREF _Toc22627788 \h </w:instrText>
        </w:r>
        <w:r w:rsidR="00E61632">
          <w:rPr>
            <w:webHidden/>
          </w:rPr>
        </w:r>
        <w:r w:rsidR="00E61632">
          <w:rPr>
            <w:webHidden/>
          </w:rPr>
          <w:fldChar w:fldCharType="separate"/>
        </w:r>
        <w:r w:rsidR="00022664">
          <w:rPr>
            <w:webHidden/>
          </w:rPr>
          <w:t>101</w:t>
        </w:r>
        <w:r w:rsidR="00E61632">
          <w:rPr>
            <w:webHidden/>
          </w:rPr>
          <w:fldChar w:fldCharType="end"/>
        </w:r>
      </w:hyperlink>
    </w:p>
    <w:p w14:paraId="6023C43B" w14:textId="0063C8F9" w:rsidR="00E61632" w:rsidRDefault="002E5535">
      <w:pPr>
        <w:pStyle w:val="TOC2"/>
        <w:rPr>
          <w:rFonts w:eastAsiaTheme="minorEastAsia"/>
          <w:sz w:val="24"/>
          <w:szCs w:val="24"/>
        </w:rPr>
      </w:pPr>
      <w:hyperlink w:anchor="_Toc22627789" w:history="1">
        <w:r w:rsidR="00E61632" w:rsidRPr="00400D8B">
          <w:rPr>
            <w:rStyle w:val="Hyperlink"/>
          </w:rPr>
          <w:t>5.4</w:t>
        </w:r>
        <w:r w:rsidR="00E61632">
          <w:rPr>
            <w:rFonts w:eastAsiaTheme="minorEastAsia"/>
            <w:sz w:val="24"/>
            <w:szCs w:val="24"/>
          </w:rPr>
          <w:tab/>
        </w:r>
        <w:r w:rsidR="00E61632" w:rsidRPr="00400D8B">
          <w:rPr>
            <w:rStyle w:val="Hyperlink"/>
          </w:rPr>
          <w:t>Register workload overtook the resources of the Registry</w:t>
        </w:r>
        <w:r w:rsidR="00E61632">
          <w:rPr>
            <w:webHidden/>
          </w:rPr>
          <w:tab/>
        </w:r>
        <w:r w:rsidR="00E61632">
          <w:rPr>
            <w:webHidden/>
          </w:rPr>
          <w:fldChar w:fldCharType="begin"/>
        </w:r>
        <w:r w:rsidR="00E61632">
          <w:rPr>
            <w:webHidden/>
          </w:rPr>
          <w:instrText xml:space="preserve"> PAGEREF _Toc22627789 \h </w:instrText>
        </w:r>
        <w:r w:rsidR="00E61632">
          <w:rPr>
            <w:webHidden/>
          </w:rPr>
        </w:r>
        <w:r w:rsidR="00E61632">
          <w:rPr>
            <w:webHidden/>
          </w:rPr>
          <w:fldChar w:fldCharType="separate"/>
        </w:r>
        <w:r w:rsidR="00022664">
          <w:rPr>
            <w:webHidden/>
          </w:rPr>
          <w:t>102</w:t>
        </w:r>
        <w:r w:rsidR="00E61632">
          <w:rPr>
            <w:webHidden/>
          </w:rPr>
          <w:fldChar w:fldCharType="end"/>
        </w:r>
      </w:hyperlink>
    </w:p>
    <w:p w14:paraId="572BF9E0" w14:textId="195506EF" w:rsidR="00E61632" w:rsidRDefault="002E5535">
      <w:pPr>
        <w:pStyle w:val="TOC3"/>
        <w:rPr>
          <w:rFonts w:eastAsiaTheme="minorEastAsia"/>
          <w:noProof/>
          <w:sz w:val="24"/>
          <w:szCs w:val="24"/>
        </w:rPr>
      </w:pPr>
      <w:hyperlink w:anchor="_Toc22627790" w:history="1">
        <w:r w:rsidR="00E61632" w:rsidRPr="00400D8B">
          <w:rPr>
            <w:rStyle w:val="Hyperlink"/>
            <w:rFonts w:ascii="Gotham Book" w:hAnsi="Gotham Book"/>
            <w:noProof/>
          </w:rPr>
          <w:t>5.4.1</w:t>
        </w:r>
        <w:r w:rsidR="00E61632">
          <w:rPr>
            <w:rFonts w:eastAsiaTheme="minorEastAsia"/>
            <w:noProof/>
            <w:sz w:val="24"/>
            <w:szCs w:val="24"/>
          </w:rPr>
          <w:tab/>
        </w:r>
        <w:r w:rsidR="00E61632" w:rsidRPr="00400D8B">
          <w:rPr>
            <w:rStyle w:val="Hyperlink"/>
            <w:rFonts w:ascii="Gotham Book" w:hAnsi="Gotham Book"/>
            <w:noProof/>
          </w:rPr>
          <w:t>Internal reports warning of need for additional staff, and lack of</w:t>
        </w:r>
        <w:r w:rsidR="0006759C">
          <w:rPr>
            <w:rStyle w:val="Hyperlink"/>
            <w:rFonts w:ascii="Gotham Book" w:hAnsi="Gotham Book"/>
            <w:noProof/>
          </w:rPr>
          <w:t> </w:t>
        </w:r>
        <w:r w:rsidR="00E61632" w:rsidRPr="00400D8B">
          <w:rPr>
            <w:rStyle w:val="Hyperlink"/>
            <w:rFonts w:ascii="Gotham Book" w:hAnsi="Gotham Book"/>
            <w:noProof/>
          </w:rPr>
          <w:t>quality</w:t>
        </w:r>
        <w:r w:rsidR="0006759C">
          <w:rPr>
            <w:rStyle w:val="Hyperlink"/>
            <w:rFonts w:ascii="Gotham Book" w:hAnsi="Gotham Book"/>
            <w:noProof/>
          </w:rPr>
          <w:t> </w:t>
        </w:r>
        <w:r w:rsidR="00E61632" w:rsidRPr="00400D8B">
          <w:rPr>
            <w:rStyle w:val="Hyperlink"/>
            <w:rFonts w:ascii="Gotham Book" w:hAnsi="Gotham Book"/>
            <w:noProof/>
          </w:rPr>
          <w:t>control</w:t>
        </w:r>
        <w:r w:rsidR="00E61632">
          <w:rPr>
            <w:noProof/>
            <w:webHidden/>
          </w:rPr>
          <w:tab/>
        </w:r>
        <w:r w:rsidR="00E61632">
          <w:rPr>
            <w:noProof/>
            <w:webHidden/>
          </w:rPr>
          <w:fldChar w:fldCharType="begin"/>
        </w:r>
        <w:r w:rsidR="00E61632">
          <w:rPr>
            <w:noProof/>
            <w:webHidden/>
          </w:rPr>
          <w:instrText xml:space="preserve"> PAGEREF _Toc22627790 \h </w:instrText>
        </w:r>
        <w:r w:rsidR="00E61632">
          <w:rPr>
            <w:noProof/>
            <w:webHidden/>
          </w:rPr>
        </w:r>
        <w:r w:rsidR="00E61632">
          <w:rPr>
            <w:noProof/>
            <w:webHidden/>
          </w:rPr>
          <w:fldChar w:fldCharType="separate"/>
        </w:r>
        <w:r w:rsidR="00022664">
          <w:rPr>
            <w:noProof/>
            <w:webHidden/>
          </w:rPr>
          <w:t>102</w:t>
        </w:r>
        <w:r w:rsidR="00E61632">
          <w:rPr>
            <w:noProof/>
            <w:webHidden/>
          </w:rPr>
          <w:fldChar w:fldCharType="end"/>
        </w:r>
      </w:hyperlink>
    </w:p>
    <w:p w14:paraId="4D1DFC89" w14:textId="51C755F4" w:rsidR="00E61632" w:rsidRDefault="002E5535">
      <w:pPr>
        <w:pStyle w:val="TOC3"/>
        <w:rPr>
          <w:rFonts w:eastAsiaTheme="minorEastAsia"/>
          <w:noProof/>
          <w:sz w:val="24"/>
          <w:szCs w:val="24"/>
        </w:rPr>
      </w:pPr>
      <w:hyperlink w:anchor="_Toc22627791" w:history="1">
        <w:r w:rsidR="00E61632" w:rsidRPr="00400D8B">
          <w:rPr>
            <w:rStyle w:val="Hyperlink"/>
            <w:rFonts w:ascii="Gotham Book" w:hAnsi="Gotham Book"/>
            <w:noProof/>
          </w:rPr>
          <w:t>5.4.2</w:t>
        </w:r>
        <w:r w:rsidR="00E61632">
          <w:rPr>
            <w:rFonts w:eastAsiaTheme="minorEastAsia"/>
            <w:noProof/>
            <w:sz w:val="24"/>
            <w:szCs w:val="24"/>
          </w:rPr>
          <w:tab/>
        </w:r>
        <w:r w:rsidR="00E61632" w:rsidRPr="00400D8B">
          <w:rPr>
            <w:rStyle w:val="Hyperlink"/>
            <w:rFonts w:ascii="Gotham Book" w:hAnsi="Gotham Book"/>
            <w:noProof/>
          </w:rPr>
          <w:t>Workforce Intelligence Unit’s Register Staffing Review</w:t>
        </w:r>
        <w:r w:rsidR="00E61632">
          <w:rPr>
            <w:noProof/>
            <w:webHidden/>
          </w:rPr>
          <w:tab/>
        </w:r>
        <w:r w:rsidR="00E61632">
          <w:rPr>
            <w:noProof/>
            <w:webHidden/>
          </w:rPr>
          <w:fldChar w:fldCharType="begin"/>
        </w:r>
        <w:r w:rsidR="00E61632">
          <w:rPr>
            <w:noProof/>
            <w:webHidden/>
          </w:rPr>
          <w:instrText xml:space="preserve"> PAGEREF _Toc22627791 \h </w:instrText>
        </w:r>
        <w:r w:rsidR="00E61632">
          <w:rPr>
            <w:noProof/>
            <w:webHidden/>
          </w:rPr>
        </w:r>
        <w:r w:rsidR="00E61632">
          <w:rPr>
            <w:noProof/>
            <w:webHidden/>
          </w:rPr>
          <w:fldChar w:fldCharType="separate"/>
        </w:r>
        <w:r w:rsidR="00022664">
          <w:rPr>
            <w:noProof/>
            <w:webHidden/>
          </w:rPr>
          <w:t>104</w:t>
        </w:r>
        <w:r w:rsidR="00E61632">
          <w:rPr>
            <w:noProof/>
            <w:webHidden/>
          </w:rPr>
          <w:fldChar w:fldCharType="end"/>
        </w:r>
      </w:hyperlink>
    </w:p>
    <w:p w14:paraId="126DFEC5" w14:textId="1CE0760C" w:rsidR="00E61632" w:rsidRDefault="002E5535">
      <w:pPr>
        <w:pStyle w:val="TOC3"/>
        <w:rPr>
          <w:rFonts w:eastAsiaTheme="minorEastAsia"/>
          <w:noProof/>
          <w:sz w:val="24"/>
          <w:szCs w:val="24"/>
        </w:rPr>
      </w:pPr>
      <w:hyperlink w:anchor="_Toc22627792" w:history="1">
        <w:r w:rsidR="00E61632" w:rsidRPr="00400D8B">
          <w:rPr>
            <w:rStyle w:val="Hyperlink"/>
            <w:noProof/>
          </w:rPr>
          <w:t>5.4.3</w:t>
        </w:r>
        <w:r w:rsidR="00E61632">
          <w:rPr>
            <w:rFonts w:eastAsiaTheme="minorEastAsia"/>
            <w:noProof/>
            <w:sz w:val="24"/>
            <w:szCs w:val="24"/>
          </w:rPr>
          <w:tab/>
        </w:r>
        <w:r w:rsidR="00E61632" w:rsidRPr="00400D8B">
          <w:rPr>
            <w:rStyle w:val="Hyperlink"/>
            <w:noProof/>
          </w:rPr>
          <w:t xml:space="preserve">Consequences of inadequate resources being allocated </w:t>
        </w:r>
        <w:r w:rsidR="0006759C">
          <w:rPr>
            <w:rStyle w:val="Hyperlink"/>
            <w:noProof/>
          </w:rPr>
          <w:br/>
        </w:r>
        <w:r w:rsidR="00E61632" w:rsidRPr="00400D8B">
          <w:rPr>
            <w:rStyle w:val="Hyperlink"/>
            <w:noProof/>
          </w:rPr>
          <w:t>to the Register</w:t>
        </w:r>
        <w:r w:rsidR="00E61632">
          <w:rPr>
            <w:noProof/>
            <w:webHidden/>
          </w:rPr>
          <w:tab/>
        </w:r>
        <w:r w:rsidR="00E61632">
          <w:rPr>
            <w:noProof/>
            <w:webHidden/>
          </w:rPr>
          <w:fldChar w:fldCharType="begin"/>
        </w:r>
        <w:r w:rsidR="00E61632">
          <w:rPr>
            <w:noProof/>
            <w:webHidden/>
          </w:rPr>
          <w:instrText xml:space="preserve"> PAGEREF _Toc22627792 \h </w:instrText>
        </w:r>
        <w:r w:rsidR="00E61632">
          <w:rPr>
            <w:noProof/>
            <w:webHidden/>
          </w:rPr>
        </w:r>
        <w:r w:rsidR="00E61632">
          <w:rPr>
            <w:noProof/>
            <w:webHidden/>
          </w:rPr>
          <w:fldChar w:fldCharType="separate"/>
        </w:r>
        <w:r w:rsidR="00022664">
          <w:rPr>
            <w:noProof/>
            <w:webHidden/>
          </w:rPr>
          <w:t>105</w:t>
        </w:r>
        <w:r w:rsidR="00E61632">
          <w:rPr>
            <w:noProof/>
            <w:webHidden/>
          </w:rPr>
          <w:fldChar w:fldCharType="end"/>
        </w:r>
      </w:hyperlink>
    </w:p>
    <w:p w14:paraId="20D38DBB" w14:textId="051B5B9B" w:rsidR="00E61632" w:rsidRDefault="002E5535">
      <w:pPr>
        <w:pStyle w:val="TOC2"/>
        <w:rPr>
          <w:rFonts w:eastAsiaTheme="minorEastAsia"/>
          <w:sz w:val="24"/>
          <w:szCs w:val="24"/>
        </w:rPr>
      </w:pPr>
      <w:hyperlink w:anchor="_Toc22627793" w:history="1">
        <w:r w:rsidR="00E61632" w:rsidRPr="00400D8B">
          <w:rPr>
            <w:rStyle w:val="Hyperlink"/>
          </w:rPr>
          <w:t>5.5</w:t>
        </w:r>
        <w:r w:rsidR="00E61632">
          <w:rPr>
            <w:rFonts w:eastAsiaTheme="minorEastAsia"/>
            <w:sz w:val="24"/>
            <w:szCs w:val="24"/>
          </w:rPr>
          <w:tab/>
        </w:r>
        <w:r w:rsidR="00E61632" w:rsidRPr="00400D8B">
          <w:rPr>
            <w:rStyle w:val="Hyperlink"/>
          </w:rPr>
          <w:t>Additional r</w:t>
        </w:r>
        <w:r w:rsidR="00E61632" w:rsidRPr="00A30707">
          <w:rPr>
            <w:rStyle w:val="Hyperlink"/>
          </w:rPr>
          <w:t>esources given to the Registry since Register Staffing Review</w:t>
        </w:r>
        <w:r w:rsidR="0006759C" w:rsidRPr="00A30707">
          <w:rPr>
            <w:rStyle w:val="Hyperlink"/>
          </w:rPr>
          <w:t> </w:t>
        </w:r>
        <w:r w:rsidR="00E61632" w:rsidRPr="00A30707">
          <w:rPr>
            <w:rStyle w:val="Hyperlink"/>
          </w:rPr>
          <w:t>and commenc</w:t>
        </w:r>
        <w:r w:rsidR="0091084E" w:rsidRPr="00A30707">
          <w:rPr>
            <w:rStyle w:val="Hyperlink"/>
          </w:rPr>
          <w:t>e</w:t>
        </w:r>
        <w:r w:rsidR="00E61632" w:rsidRPr="00A30707">
          <w:rPr>
            <w:rStyle w:val="Hyperlink"/>
          </w:rPr>
          <w:t>ment of Operation Tusket</w:t>
        </w:r>
        <w:r w:rsidR="00E61632" w:rsidRPr="00A30707">
          <w:rPr>
            <w:webHidden/>
          </w:rPr>
          <w:tab/>
        </w:r>
        <w:r w:rsidR="00E61632" w:rsidRPr="00A30707">
          <w:rPr>
            <w:webHidden/>
          </w:rPr>
          <w:fldChar w:fldCharType="begin"/>
        </w:r>
        <w:r w:rsidR="00E61632" w:rsidRPr="00A30707">
          <w:rPr>
            <w:webHidden/>
          </w:rPr>
          <w:instrText xml:space="preserve"> PAGEREF _Toc22627793 \h </w:instrText>
        </w:r>
        <w:r w:rsidR="00E61632" w:rsidRPr="00A30707">
          <w:rPr>
            <w:webHidden/>
          </w:rPr>
        </w:r>
        <w:r w:rsidR="00E61632" w:rsidRPr="00A30707">
          <w:rPr>
            <w:webHidden/>
          </w:rPr>
          <w:fldChar w:fldCharType="separate"/>
        </w:r>
        <w:r w:rsidR="00022664">
          <w:rPr>
            <w:webHidden/>
          </w:rPr>
          <w:t>109</w:t>
        </w:r>
        <w:r w:rsidR="00E61632" w:rsidRPr="00A30707">
          <w:rPr>
            <w:webHidden/>
          </w:rPr>
          <w:fldChar w:fldCharType="end"/>
        </w:r>
      </w:hyperlink>
    </w:p>
    <w:p w14:paraId="6EF10151" w14:textId="6631FB23" w:rsidR="00E61632" w:rsidRDefault="002E5535">
      <w:pPr>
        <w:pStyle w:val="TOC2"/>
        <w:rPr>
          <w:rFonts w:eastAsiaTheme="minorEastAsia"/>
          <w:sz w:val="24"/>
          <w:szCs w:val="24"/>
        </w:rPr>
      </w:pPr>
      <w:hyperlink w:anchor="_Toc22627794" w:history="1">
        <w:r w:rsidR="00E61632" w:rsidRPr="00400D8B">
          <w:rPr>
            <w:rStyle w:val="Hyperlink"/>
          </w:rPr>
          <w:t>5.6</w:t>
        </w:r>
        <w:r w:rsidR="00E61632">
          <w:rPr>
            <w:rFonts w:eastAsiaTheme="minorEastAsia"/>
            <w:sz w:val="24"/>
            <w:szCs w:val="24"/>
          </w:rPr>
          <w:tab/>
        </w:r>
        <w:r w:rsidR="00E61632" w:rsidRPr="00400D8B">
          <w:rPr>
            <w:rStyle w:val="Hyperlink"/>
          </w:rPr>
          <w:t xml:space="preserve">Introduction of authorised dedicated officers to manage </w:t>
        </w:r>
        <w:r w:rsidR="0003777C">
          <w:rPr>
            <w:rStyle w:val="Hyperlink"/>
          </w:rPr>
          <w:br/>
        </w:r>
        <w:r w:rsidR="00E61632" w:rsidRPr="00400D8B">
          <w:rPr>
            <w:rStyle w:val="Hyperlink"/>
          </w:rPr>
          <w:t>registrable persons</w:t>
        </w:r>
        <w:r w:rsidR="00E61632">
          <w:rPr>
            <w:webHidden/>
          </w:rPr>
          <w:tab/>
        </w:r>
        <w:r w:rsidR="00E61632">
          <w:rPr>
            <w:webHidden/>
          </w:rPr>
          <w:fldChar w:fldCharType="begin"/>
        </w:r>
        <w:r w:rsidR="00E61632">
          <w:rPr>
            <w:webHidden/>
          </w:rPr>
          <w:instrText xml:space="preserve"> PAGEREF _Toc22627794 \h </w:instrText>
        </w:r>
        <w:r w:rsidR="00E61632">
          <w:rPr>
            <w:webHidden/>
          </w:rPr>
        </w:r>
        <w:r w:rsidR="00E61632">
          <w:rPr>
            <w:webHidden/>
          </w:rPr>
          <w:fldChar w:fldCharType="separate"/>
        </w:r>
        <w:r w:rsidR="00022664">
          <w:rPr>
            <w:webHidden/>
          </w:rPr>
          <w:t>111</w:t>
        </w:r>
        <w:r w:rsidR="00E61632">
          <w:rPr>
            <w:webHidden/>
          </w:rPr>
          <w:fldChar w:fldCharType="end"/>
        </w:r>
      </w:hyperlink>
    </w:p>
    <w:p w14:paraId="2ECC7E15" w14:textId="0CD6F5F6" w:rsidR="00E61632" w:rsidRDefault="002E5535">
      <w:pPr>
        <w:pStyle w:val="TOC2"/>
        <w:rPr>
          <w:rFonts w:eastAsiaTheme="minorEastAsia"/>
          <w:sz w:val="24"/>
          <w:szCs w:val="24"/>
        </w:rPr>
      </w:pPr>
      <w:hyperlink w:anchor="_Toc22627795" w:history="1">
        <w:r w:rsidR="00E61632" w:rsidRPr="00400D8B">
          <w:rPr>
            <w:rStyle w:val="Hyperlink"/>
          </w:rPr>
          <w:t>5.7</w:t>
        </w:r>
        <w:r w:rsidR="00E61632">
          <w:rPr>
            <w:rFonts w:eastAsiaTheme="minorEastAsia"/>
            <w:sz w:val="24"/>
            <w:szCs w:val="24"/>
          </w:rPr>
          <w:tab/>
        </w:r>
        <w:r w:rsidR="00E61632" w:rsidRPr="00400D8B">
          <w:rPr>
            <w:rStyle w:val="Hyperlink"/>
          </w:rPr>
          <w:t>Conclusion and recommendation</w:t>
        </w:r>
        <w:r w:rsidR="00E61632">
          <w:rPr>
            <w:webHidden/>
          </w:rPr>
          <w:tab/>
        </w:r>
        <w:r w:rsidR="00E61632">
          <w:rPr>
            <w:webHidden/>
          </w:rPr>
          <w:fldChar w:fldCharType="begin"/>
        </w:r>
        <w:r w:rsidR="00E61632">
          <w:rPr>
            <w:webHidden/>
          </w:rPr>
          <w:instrText xml:space="preserve"> PAGEREF _Toc22627795 \h </w:instrText>
        </w:r>
        <w:r w:rsidR="00E61632">
          <w:rPr>
            <w:webHidden/>
          </w:rPr>
        </w:r>
        <w:r w:rsidR="00E61632">
          <w:rPr>
            <w:webHidden/>
          </w:rPr>
          <w:fldChar w:fldCharType="separate"/>
        </w:r>
        <w:r w:rsidR="00022664">
          <w:rPr>
            <w:webHidden/>
          </w:rPr>
          <w:t>113</w:t>
        </w:r>
        <w:r w:rsidR="00E61632">
          <w:rPr>
            <w:webHidden/>
          </w:rPr>
          <w:fldChar w:fldCharType="end"/>
        </w:r>
      </w:hyperlink>
    </w:p>
    <w:p w14:paraId="760DB6A1" w14:textId="6D43B9F6" w:rsidR="00E61632" w:rsidRDefault="002E5535">
      <w:pPr>
        <w:pStyle w:val="TOC1"/>
        <w:rPr>
          <w:rFonts w:eastAsiaTheme="minorEastAsia"/>
          <w:caps w:val="0"/>
          <w:color w:val="auto"/>
          <w:sz w:val="24"/>
          <w:szCs w:val="24"/>
        </w:rPr>
      </w:pPr>
      <w:hyperlink w:anchor="_Toc22627796" w:history="1">
        <w:r w:rsidR="00E61632" w:rsidRPr="00400D8B">
          <w:rPr>
            <w:rStyle w:val="Hyperlink"/>
            <w:rFonts w:ascii="Gotham Bold" w:hAnsi="Gotham Bold" w:cs="Gotham Book"/>
            <w:b/>
          </w:rPr>
          <w:t>6.</w:t>
        </w:r>
        <w:r w:rsidR="00E61632">
          <w:rPr>
            <w:rFonts w:eastAsiaTheme="minorEastAsia"/>
            <w:caps w:val="0"/>
            <w:color w:val="auto"/>
            <w:sz w:val="24"/>
            <w:szCs w:val="24"/>
          </w:rPr>
          <w:tab/>
        </w:r>
        <w:r w:rsidR="00E61632" w:rsidRPr="00400D8B">
          <w:rPr>
            <w:rStyle w:val="Hyperlink"/>
          </w:rPr>
          <w:t xml:space="preserve">Problems with the </w:t>
        </w:r>
        <w:r w:rsidR="00E61632" w:rsidRPr="00400D8B">
          <w:rPr>
            <w:rStyle w:val="Hyperlink"/>
            <w:i/>
          </w:rPr>
          <w:t>Child Protection (Offenders Registration) Act</w:t>
        </w:r>
        <w:r w:rsidR="0003777C">
          <w:rPr>
            <w:rStyle w:val="Hyperlink"/>
            <w:i/>
          </w:rPr>
          <w:t> </w:t>
        </w:r>
        <w:r w:rsidR="00E61632" w:rsidRPr="00400D8B">
          <w:rPr>
            <w:rStyle w:val="Hyperlink"/>
            <w:i/>
          </w:rPr>
          <w:t>2000</w:t>
        </w:r>
        <w:r w:rsidR="00E61632" w:rsidRPr="00400D8B">
          <w:rPr>
            <w:rStyle w:val="Hyperlink"/>
          </w:rPr>
          <w:t xml:space="preserve"> (NSW)</w:t>
        </w:r>
        <w:r w:rsidR="00E61632">
          <w:rPr>
            <w:webHidden/>
          </w:rPr>
          <w:tab/>
        </w:r>
        <w:r w:rsidR="00E61632">
          <w:rPr>
            <w:webHidden/>
          </w:rPr>
          <w:fldChar w:fldCharType="begin"/>
        </w:r>
        <w:r w:rsidR="00E61632">
          <w:rPr>
            <w:webHidden/>
          </w:rPr>
          <w:instrText xml:space="preserve"> PAGEREF _Toc22627796 \h </w:instrText>
        </w:r>
        <w:r w:rsidR="00E61632">
          <w:rPr>
            <w:webHidden/>
          </w:rPr>
        </w:r>
        <w:r w:rsidR="00E61632">
          <w:rPr>
            <w:webHidden/>
          </w:rPr>
          <w:fldChar w:fldCharType="separate"/>
        </w:r>
        <w:r w:rsidR="00022664">
          <w:rPr>
            <w:webHidden/>
          </w:rPr>
          <w:t>116</w:t>
        </w:r>
        <w:r w:rsidR="00E61632">
          <w:rPr>
            <w:webHidden/>
          </w:rPr>
          <w:fldChar w:fldCharType="end"/>
        </w:r>
      </w:hyperlink>
    </w:p>
    <w:p w14:paraId="072437E0" w14:textId="327C0C0C" w:rsidR="00E61632" w:rsidRDefault="002E5535">
      <w:pPr>
        <w:pStyle w:val="TOC2"/>
        <w:rPr>
          <w:rFonts w:eastAsiaTheme="minorEastAsia"/>
          <w:sz w:val="24"/>
          <w:szCs w:val="24"/>
        </w:rPr>
      </w:pPr>
      <w:hyperlink w:anchor="_Toc22627797" w:history="1">
        <w:r w:rsidR="00E61632" w:rsidRPr="00400D8B">
          <w:rPr>
            <w:rStyle w:val="Hyperlink"/>
          </w:rPr>
          <w:t>6.1</w:t>
        </w:r>
        <w:r w:rsidR="00E61632">
          <w:rPr>
            <w:rFonts w:eastAsiaTheme="minorEastAsia"/>
            <w:sz w:val="24"/>
            <w:szCs w:val="24"/>
          </w:rPr>
          <w:tab/>
        </w:r>
        <w:r w:rsidR="00E61632" w:rsidRPr="00400D8B">
          <w:rPr>
            <w:rStyle w:val="Hyperlink"/>
          </w:rPr>
          <w:t>Introduction</w:t>
        </w:r>
        <w:r w:rsidR="00E61632">
          <w:rPr>
            <w:webHidden/>
          </w:rPr>
          <w:tab/>
        </w:r>
        <w:r w:rsidR="00E61632">
          <w:rPr>
            <w:webHidden/>
          </w:rPr>
          <w:fldChar w:fldCharType="begin"/>
        </w:r>
        <w:r w:rsidR="00E61632">
          <w:rPr>
            <w:webHidden/>
          </w:rPr>
          <w:instrText xml:space="preserve"> PAGEREF _Toc22627797 \h </w:instrText>
        </w:r>
        <w:r w:rsidR="00E61632">
          <w:rPr>
            <w:webHidden/>
          </w:rPr>
        </w:r>
        <w:r w:rsidR="00E61632">
          <w:rPr>
            <w:webHidden/>
          </w:rPr>
          <w:fldChar w:fldCharType="separate"/>
        </w:r>
        <w:r w:rsidR="00022664">
          <w:rPr>
            <w:webHidden/>
          </w:rPr>
          <w:t>117</w:t>
        </w:r>
        <w:r w:rsidR="00E61632">
          <w:rPr>
            <w:webHidden/>
          </w:rPr>
          <w:fldChar w:fldCharType="end"/>
        </w:r>
      </w:hyperlink>
    </w:p>
    <w:p w14:paraId="138049BF" w14:textId="47691A6A" w:rsidR="00E61632" w:rsidRDefault="002E5535">
      <w:pPr>
        <w:pStyle w:val="TOC2"/>
        <w:rPr>
          <w:rFonts w:eastAsiaTheme="minorEastAsia"/>
          <w:sz w:val="24"/>
          <w:szCs w:val="24"/>
        </w:rPr>
      </w:pPr>
      <w:hyperlink w:anchor="_Toc22627798" w:history="1">
        <w:r w:rsidR="00E61632" w:rsidRPr="00400D8B">
          <w:rPr>
            <w:rStyle w:val="Hyperlink"/>
          </w:rPr>
          <w:t>6.2</w:t>
        </w:r>
        <w:r w:rsidR="00E61632">
          <w:rPr>
            <w:rFonts w:eastAsiaTheme="minorEastAsia"/>
            <w:sz w:val="24"/>
            <w:szCs w:val="24"/>
          </w:rPr>
          <w:tab/>
        </w:r>
        <w:r w:rsidR="00E61632" w:rsidRPr="00400D8B">
          <w:rPr>
            <w:rStyle w:val="Hyperlink"/>
          </w:rPr>
          <w:t>Commission’s analysis of the CPOR Act</w:t>
        </w:r>
        <w:r w:rsidR="00E61632">
          <w:rPr>
            <w:webHidden/>
          </w:rPr>
          <w:tab/>
        </w:r>
        <w:r w:rsidR="00E61632">
          <w:rPr>
            <w:webHidden/>
          </w:rPr>
          <w:fldChar w:fldCharType="begin"/>
        </w:r>
        <w:r w:rsidR="00E61632">
          <w:rPr>
            <w:webHidden/>
          </w:rPr>
          <w:instrText xml:space="preserve"> PAGEREF _Toc22627798 \h </w:instrText>
        </w:r>
        <w:r w:rsidR="00E61632">
          <w:rPr>
            <w:webHidden/>
          </w:rPr>
        </w:r>
        <w:r w:rsidR="00E61632">
          <w:rPr>
            <w:webHidden/>
          </w:rPr>
          <w:fldChar w:fldCharType="separate"/>
        </w:r>
        <w:r w:rsidR="00022664">
          <w:rPr>
            <w:webHidden/>
          </w:rPr>
          <w:t>118</w:t>
        </w:r>
        <w:r w:rsidR="00E61632">
          <w:rPr>
            <w:webHidden/>
          </w:rPr>
          <w:fldChar w:fldCharType="end"/>
        </w:r>
      </w:hyperlink>
    </w:p>
    <w:p w14:paraId="3B99CECC" w14:textId="4AE45E94" w:rsidR="00E61632" w:rsidRDefault="002E5535">
      <w:pPr>
        <w:pStyle w:val="TOC2"/>
        <w:rPr>
          <w:rFonts w:eastAsiaTheme="minorEastAsia"/>
          <w:sz w:val="24"/>
          <w:szCs w:val="24"/>
        </w:rPr>
      </w:pPr>
      <w:hyperlink w:anchor="_Toc22627799" w:history="1">
        <w:r w:rsidR="00E61632" w:rsidRPr="00400D8B">
          <w:rPr>
            <w:rStyle w:val="Hyperlink"/>
          </w:rPr>
          <w:t>6.3</w:t>
        </w:r>
        <w:r w:rsidR="00E61632">
          <w:rPr>
            <w:rFonts w:eastAsiaTheme="minorEastAsia"/>
            <w:sz w:val="24"/>
            <w:szCs w:val="24"/>
          </w:rPr>
          <w:tab/>
        </w:r>
        <w:r w:rsidR="00E61632" w:rsidRPr="00400D8B">
          <w:rPr>
            <w:rStyle w:val="Hyperlink"/>
          </w:rPr>
          <w:t>Overview of problems with the CPOR Act</w:t>
        </w:r>
        <w:r w:rsidR="00E61632">
          <w:rPr>
            <w:webHidden/>
          </w:rPr>
          <w:tab/>
        </w:r>
        <w:r w:rsidR="00E61632">
          <w:rPr>
            <w:webHidden/>
          </w:rPr>
          <w:fldChar w:fldCharType="begin"/>
        </w:r>
        <w:r w:rsidR="00E61632">
          <w:rPr>
            <w:webHidden/>
          </w:rPr>
          <w:instrText xml:space="preserve"> PAGEREF _Toc22627799 \h </w:instrText>
        </w:r>
        <w:r w:rsidR="00E61632">
          <w:rPr>
            <w:webHidden/>
          </w:rPr>
        </w:r>
        <w:r w:rsidR="00E61632">
          <w:rPr>
            <w:webHidden/>
          </w:rPr>
          <w:fldChar w:fldCharType="separate"/>
        </w:r>
        <w:r w:rsidR="00022664">
          <w:rPr>
            <w:webHidden/>
          </w:rPr>
          <w:t>118</w:t>
        </w:r>
        <w:r w:rsidR="00E61632">
          <w:rPr>
            <w:webHidden/>
          </w:rPr>
          <w:fldChar w:fldCharType="end"/>
        </w:r>
      </w:hyperlink>
    </w:p>
    <w:p w14:paraId="169F3A9C" w14:textId="31F1CC9D" w:rsidR="00E61632" w:rsidRDefault="002E5535">
      <w:pPr>
        <w:pStyle w:val="TOC3"/>
        <w:rPr>
          <w:rFonts w:eastAsiaTheme="minorEastAsia"/>
          <w:noProof/>
          <w:sz w:val="24"/>
          <w:szCs w:val="24"/>
        </w:rPr>
      </w:pPr>
      <w:hyperlink w:anchor="_Toc22627800" w:history="1">
        <w:r w:rsidR="00E61632" w:rsidRPr="00400D8B">
          <w:rPr>
            <w:rStyle w:val="Hyperlink"/>
            <w:noProof/>
          </w:rPr>
          <w:t>6.3.1</w:t>
        </w:r>
        <w:r w:rsidR="00E61632">
          <w:rPr>
            <w:rFonts w:eastAsiaTheme="minorEastAsia"/>
            <w:noProof/>
            <w:sz w:val="24"/>
            <w:szCs w:val="24"/>
          </w:rPr>
          <w:tab/>
        </w:r>
        <w:r w:rsidR="00E61632" w:rsidRPr="00400D8B">
          <w:rPr>
            <w:rStyle w:val="Hyperlink"/>
            <w:noProof/>
          </w:rPr>
          <w:t>Difficulty of identifying all ‘registrable offences’</w:t>
        </w:r>
        <w:r w:rsidR="00E61632">
          <w:rPr>
            <w:noProof/>
            <w:webHidden/>
          </w:rPr>
          <w:tab/>
        </w:r>
        <w:r w:rsidR="00E61632">
          <w:rPr>
            <w:noProof/>
            <w:webHidden/>
          </w:rPr>
          <w:fldChar w:fldCharType="begin"/>
        </w:r>
        <w:r w:rsidR="00E61632">
          <w:rPr>
            <w:noProof/>
            <w:webHidden/>
          </w:rPr>
          <w:instrText xml:space="preserve"> PAGEREF _Toc22627800 \h </w:instrText>
        </w:r>
        <w:r w:rsidR="00E61632">
          <w:rPr>
            <w:noProof/>
            <w:webHidden/>
          </w:rPr>
        </w:r>
        <w:r w:rsidR="00E61632">
          <w:rPr>
            <w:noProof/>
            <w:webHidden/>
          </w:rPr>
          <w:fldChar w:fldCharType="separate"/>
        </w:r>
        <w:r w:rsidR="00022664">
          <w:rPr>
            <w:noProof/>
            <w:webHidden/>
          </w:rPr>
          <w:t>119</w:t>
        </w:r>
        <w:r w:rsidR="00E61632">
          <w:rPr>
            <w:noProof/>
            <w:webHidden/>
          </w:rPr>
          <w:fldChar w:fldCharType="end"/>
        </w:r>
      </w:hyperlink>
    </w:p>
    <w:p w14:paraId="7598259F" w14:textId="483ABBAA" w:rsidR="00E61632" w:rsidRDefault="002E5535">
      <w:pPr>
        <w:pStyle w:val="TOC3"/>
        <w:rPr>
          <w:rFonts w:eastAsiaTheme="minorEastAsia"/>
          <w:noProof/>
          <w:sz w:val="24"/>
          <w:szCs w:val="24"/>
        </w:rPr>
      </w:pPr>
      <w:hyperlink w:anchor="_Toc22627801" w:history="1">
        <w:r w:rsidR="00E61632" w:rsidRPr="00400D8B">
          <w:rPr>
            <w:rStyle w:val="Hyperlink"/>
            <w:noProof/>
          </w:rPr>
          <w:t>6.3.2</w:t>
        </w:r>
        <w:r w:rsidR="00E61632">
          <w:rPr>
            <w:rFonts w:eastAsiaTheme="minorEastAsia"/>
            <w:noProof/>
            <w:sz w:val="24"/>
            <w:szCs w:val="24"/>
          </w:rPr>
          <w:tab/>
        </w:r>
        <w:r w:rsidR="00E61632" w:rsidRPr="00400D8B">
          <w:rPr>
            <w:rStyle w:val="Hyperlink"/>
            <w:noProof/>
          </w:rPr>
          <w:t>Detailed information required to determine whether an exception</w:t>
        </w:r>
        <w:r w:rsidR="0003777C">
          <w:rPr>
            <w:rStyle w:val="Hyperlink"/>
            <w:noProof/>
          </w:rPr>
          <w:t> </w:t>
        </w:r>
        <w:r w:rsidR="00E61632" w:rsidRPr="00400D8B">
          <w:rPr>
            <w:rStyle w:val="Hyperlink"/>
            <w:noProof/>
          </w:rPr>
          <w:t>to</w:t>
        </w:r>
        <w:r w:rsidR="0003777C">
          <w:rPr>
            <w:rStyle w:val="Hyperlink"/>
            <w:noProof/>
          </w:rPr>
          <w:t> </w:t>
        </w:r>
        <w:r w:rsidR="00E61632" w:rsidRPr="00400D8B">
          <w:rPr>
            <w:rStyle w:val="Hyperlink"/>
            <w:noProof/>
          </w:rPr>
          <w:t>registration applies</w:t>
        </w:r>
        <w:r w:rsidR="00E61632">
          <w:rPr>
            <w:noProof/>
            <w:webHidden/>
          </w:rPr>
          <w:tab/>
        </w:r>
        <w:r w:rsidR="00E61632">
          <w:rPr>
            <w:noProof/>
            <w:webHidden/>
          </w:rPr>
          <w:fldChar w:fldCharType="begin"/>
        </w:r>
        <w:r w:rsidR="00E61632">
          <w:rPr>
            <w:noProof/>
            <w:webHidden/>
          </w:rPr>
          <w:instrText xml:space="preserve"> PAGEREF _Toc22627801 \h </w:instrText>
        </w:r>
        <w:r w:rsidR="00E61632">
          <w:rPr>
            <w:noProof/>
            <w:webHidden/>
          </w:rPr>
        </w:r>
        <w:r w:rsidR="00E61632">
          <w:rPr>
            <w:noProof/>
            <w:webHidden/>
          </w:rPr>
          <w:fldChar w:fldCharType="separate"/>
        </w:r>
        <w:r w:rsidR="00022664">
          <w:rPr>
            <w:noProof/>
            <w:webHidden/>
          </w:rPr>
          <w:t>119</w:t>
        </w:r>
        <w:r w:rsidR="00E61632">
          <w:rPr>
            <w:noProof/>
            <w:webHidden/>
          </w:rPr>
          <w:fldChar w:fldCharType="end"/>
        </w:r>
      </w:hyperlink>
    </w:p>
    <w:p w14:paraId="68E83261" w14:textId="3FD59605" w:rsidR="00E61632" w:rsidRDefault="002E5535">
      <w:pPr>
        <w:pStyle w:val="TOC3"/>
        <w:rPr>
          <w:rFonts w:eastAsiaTheme="minorEastAsia"/>
          <w:noProof/>
          <w:sz w:val="24"/>
          <w:szCs w:val="24"/>
        </w:rPr>
      </w:pPr>
      <w:hyperlink w:anchor="_Toc22627802" w:history="1">
        <w:r w:rsidR="00E61632" w:rsidRPr="00400D8B">
          <w:rPr>
            <w:rStyle w:val="Hyperlink"/>
            <w:noProof/>
          </w:rPr>
          <w:t>6.3.3</w:t>
        </w:r>
        <w:r w:rsidR="00E61632">
          <w:rPr>
            <w:rFonts w:eastAsiaTheme="minorEastAsia"/>
            <w:noProof/>
            <w:sz w:val="24"/>
            <w:szCs w:val="24"/>
          </w:rPr>
          <w:tab/>
        </w:r>
        <w:r w:rsidR="00E61632" w:rsidRPr="00400D8B">
          <w:rPr>
            <w:rStyle w:val="Hyperlink"/>
            <w:noProof/>
          </w:rPr>
          <w:t>Detailed information and complex analysis required to calculate</w:t>
        </w:r>
        <w:r w:rsidR="0003777C">
          <w:rPr>
            <w:rStyle w:val="Hyperlink"/>
            <w:noProof/>
          </w:rPr>
          <w:t> </w:t>
        </w:r>
        <w:r w:rsidR="00E61632" w:rsidRPr="00400D8B">
          <w:rPr>
            <w:rStyle w:val="Hyperlink"/>
            <w:noProof/>
          </w:rPr>
          <w:t>reporting periods</w:t>
        </w:r>
        <w:r w:rsidR="00E61632">
          <w:rPr>
            <w:noProof/>
            <w:webHidden/>
          </w:rPr>
          <w:tab/>
        </w:r>
        <w:r w:rsidR="00E61632">
          <w:rPr>
            <w:noProof/>
            <w:webHidden/>
          </w:rPr>
          <w:fldChar w:fldCharType="begin"/>
        </w:r>
        <w:r w:rsidR="00E61632">
          <w:rPr>
            <w:noProof/>
            <w:webHidden/>
          </w:rPr>
          <w:instrText xml:space="preserve"> PAGEREF _Toc22627802 \h </w:instrText>
        </w:r>
        <w:r w:rsidR="00E61632">
          <w:rPr>
            <w:noProof/>
            <w:webHidden/>
          </w:rPr>
        </w:r>
        <w:r w:rsidR="00E61632">
          <w:rPr>
            <w:noProof/>
            <w:webHidden/>
          </w:rPr>
          <w:fldChar w:fldCharType="separate"/>
        </w:r>
        <w:r w:rsidR="00022664">
          <w:rPr>
            <w:noProof/>
            <w:webHidden/>
          </w:rPr>
          <w:t>120</w:t>
        </w:r>
        <w:r w:rsidR="00E61632">
          <w:rPr>
            <w:noProof/>
            <w:webHidden/>
          </w:rPr>
          <w:fldChar w:fldCharType="end"/>
        </w:r>
      </w:hyperlink>
    </w:p>
    <w:p w14:paraId="2EE1A98D" w14:textId="2DFAE5A9" w:rsidR="00E61632" w:rsidRDefault="002E5535">
      <w:pPr>
        <w:pStyle w:val="TOC3"/>
        <w:rPr>
          <w:rFonts w:eastAsiaTheme="minorEastAsia"/>
          <w:noProof/>
          <w:sz w:val="24"/>
          <w:szCs w:val="24"/>
        </w:rPr>
      </w:pPr>
      <w:hyperlink w:anchor="_Toc22627803" w:history="1">
        <w:r w:rsidR="00E61632" w:rsidRPr="00A30707">
          <w:rPr>
            <w:rStyle w:val="Hyperlink"/>
            <w:noProof/>
          </w:rPr>
          <w:t>6.3.4</w:t>
        </w:r>
        <w:r w:rsidR="00E61632" w:rsidRPr="00A30707">
          <w:rPr>
            <w:rFonts w:eastAsiaTheme="minorEastAsia"/>
            <w:noProof/>
            <w:sz w:val="24"/>
            <w:szCs w:val="24"/>
          </w:rPr>
          <w:tab/>
        </w:r>
        <w:r w:rsidR="00E61632" w:rsidRPr="00A30707">
          <w:rPr>
            <w:rStyle w:val="Hyperlink"/>
            <w:noProof/>
          </w:rPr>
          <w:t xml:space="preserve">Difficulty </w:t>
        </w:r>
        <w:r w:rsidR="00521688" w:rsidRPr="00A30707">
          <w:rPr>
            <w:rStyle w:val="Hyperlink"/>
            <w:noProof/>
          </w:rPr>
          <w:t xml:space="preserve">of </w:t>
        </w:r>
        <w:r w:rsidR="00E61632" w:rsidRPr="00A30707">
          <w:rPr>
            <w:rStyle w:val="Hyperlink"/>
            <w:noProof/>
          </w:rPr>
          <w:t xml:space="preserve">interpreting (and therefore enforcing) </w:t>
        </w:r>
        <w:r w:rsidR="0003777C" w:rsidRPr="00A30707">
          <w:rPr>
            <w:rStyle w:val="Hyperlink"/>
            <w:noProof/>
          </w:rPr>
          <w:br/>
        </w:r>
        <w:r w:rsidR="00E61632" w:rsidRPr="00A30707">
          <w:rPr>
            <w:rStyle w:val="Hyperlink"/>
            <w:noProof/>
          </w:rPr>
          <w:t>reporting obligations</w:t>
        </w:r>
        <w:r w:rsidR="00E61632" w:rsidRPr="00A30707">
          <w:rPr>
            <w:noProof/>
            <w:webHidden/>
          </w:rPr>
          <w:tab/>
        </w:r>
        <w:r w:rsidR="00E61632" w:rsidRPr="00A30707">
          <w:rPr>
            <w:noProof/>
            <w:webHidden/>
          </w:rPr>
          <w:fldChar w:fldCharType="begin"/>
        </w:r>
        <w:r w:rsidR="00E61632" w:rsidRPr="00A30707">
          <w:rPr>
            <w:noProof/>
            <w:webHidden/>
          </w:rPr>
          <w:instrText xml:space="preserve"> PAGEREF _Toc22627803 \h </w:instrText>
        </w:r>
        <w:r w:rsidR="00E61632" w:rsidRPr="00A30707">
          <w:rPr>
            <w:noProof/>
            <w:webHidden/>
          </w:rPr>
        </w:r>
        <w:r w:rsidR="00E61632" w:rsidRPr="00A30707">
          <w:rPr>
            <w:noProof/>
            <w:webHidden/>
          </w:rPr>
          <w:fldChar w:fldCharType="separate"/>
        </w:r>
        <w:r w:rsidR="00022664">
          <w:rPr>
            <w:noProof/>
            <w:webHidden/>
          </w:rPr>
          <w:t>122</w:t>
        </w:r>
        <w:r w:rsidR="00E61632" w:rsidRPr="00A30707">
          <w:rPr>
            <w:noProof/>
            <w:webHidden/>
          </w:rPr>
          <w:fldChar w:fldCharType="end"/>
        </w:r>
      </w:hyperlink>
    </w:p>
    <w:p w14:paraId="223258CC" w14:textId="4EE5612E" w:rsidR="00E61632" w:rsidRDefault="002E5535">
      <w:pPr>
        <w:pStyle w:val="TOC3"/>
        <w:rPr>
          <w:rFonts w:eastAsiaTheme="minorEastAsia"/>
          <w:noProof/>
          <w:sz w:val="24"/>
          <w:szCs w:val="24"/>
        </w:rPr>
      </w:pPr>
      <w:hyperlink w:anchor="_Toc22627804" w:history="1">
        <w:r w:rsidR="00E61632" w:rsidRPr="00400D8B">
          <w:rPr>
            <w:rStyle w:val="Hyperlink"/>
            <w:noProof/>
          </w:rPr>
          <w:t>6.3.5</w:t>
        </w:r>
        <w:r w:rsidR="00E61632">
          <w:rPr>
            <w:rFonts w:eastAsiaTheme="minorEastAsia"/>
            <w:noProof/>
            <w:sz w:val="24"/>
            <w:szCs w:val="24"/>
          </w:rPr>
          <w:tab/>
        </w:r>
        <w:r w:rsidR="00E61632" w:rsidRPr="00400D8B">
          <w:rPr>
            <w:rStyle w:val="Hyperlink"/>
            <w:noProof/>
          </w:rPr>
          <w:t>Challenge of identifying when persons who have offended in</w:t>
        </w:r>
        <w:r w:rsidR="0003777C">
          <w:rPr>
            <w:rStyle w:val="Hyperlink"/>
            <w:noProof/>
          </w:rPr>
          <w:t> </w:t>
        </w:r>
        <w:r w:rsidR="00E61632" w:rsidRPr="00400D8B">
          <w:rPr>
            <w:rStyle w:val="Hyperlink"/>
            <w:noProof/>
          </w:rPr>
          <w:t>other</w:t>
        </w:r>
        <w:r w:rsidR="0003777C">
          <w:rPr>
            <w:rStyle w:val="Hyperlink"/>
            <w:noProof/>
          </w:rPr>
          <w:t> </w:t>
        </w:r>
        <w:r w:rsidR="00E61632" w:rsidRPr="00400D8B">
          <w:rPr>
            <w:rStyle w:val="Hyperlink"/>
            <w:noProof/>
          </w:rPr>
          <w:t>jurisdictions need to report under the CPOR Act</w:t>
        </w:r>
        <w:r w:rsidR="00E61632">
          <w:rPr>
            <w:noProof/>
            <w:webHidden/>
          </w:rPr>
          <w:tab/>
        </w:r>
        <w:r w:rsidR="00E61632">
          <w:rPr>
            <w:noProof/>
            <w:webHidden/>
          </w:rPr>
          <w:fldChar w:fldCharType="begin"/>
        </w:r>
        <w:r w:rsidR="00E61632">
          <w:rPr>
            <w:noProof/>
            <w:webHidden/>
          </w:rPr>
          <w:instrText xml:space="preserve"> PAGEREF _Toc22627804 \h </w:instrText>
        </w:r>
        <w:r w:rsidR="00E61632">
          <w:rPr>
            <w:noProof/>
            <w:webHidden/>
          </w:rPr>
        </w:r>
        <w:r w:rsidR="00E61632">
          <w:rPr>
            <w:noProof/>
            <w:webHidden/>
          </w:rPr>
          <w:fldChar w:fldCharType="separate"/>
        </w:r>
        <w:r w:rsidR="00022664">
          <w:rPr>
            <w:noProof/>
            <w:webHidden/>
          </w:rPr>
          <w:t>123</w:t>
        </w:r>
        <w:r w:rsidR="00E61632">
          <w:rPr>
            <w:noProof/>
            <w:webHidden/>
          </w:rPr>
          <w:fldChar w:fldCharType="end"/>
        </w:r>
      </w:hyperlink>
    </w:p>
    <w:p w14:paraId="00854408" w14:textId="0AED0E3E" w:rsidR="00E61632" w:rsidRDefault="002E5535">
      <w:pPr>
        <w:pStyle w:val="TOC3"/>
        <w:rPr>
          <w:rFonts w:eastAsiaTheme="minorEastAsia"/>
          <w:noProof/>
          <w:sz w:val="24"/>
          <w:szCs w:val="24"/>
        </w:rPr>
      </w:pPr>
      <w:hyperlink w:anchor="_Toc22627805" w:history="1">
        <w:r w:rsidR="00E61632" w:rsidRPr="00400D8B">
          <w:rPr>
            <w:rStyle w:val="Hyperlink"/>
            <w:noProof/>
          </w:rPr>
          <w:t>6.3.6</w:t>
        </w:r>
        <w:r w:rsidR="00E61632">
          <w:rPr>
            <w:rFonts w:eastAsiaTheme="minorEastAsia"/>
            <w:noProof/>
            <w:sz w:val="24"/>
            <w:szCs w:val="24"/>
          </w:rPr>
          <w:tab/>
        </w:r>
        <w:r w:rsidR="00E61632" w:rsidRPr="00400D8B">
          <w:rPr>
            <w:rStyle w:val="Hyperlink"/>
            <w:noProof/>
          </w:rPr>
          <w:t>Interaction between the CPOR Act, other New South Wales laws</w:t>
        </w:r>
        <w:r w:rsidR="0003777C">
          <w:rPr>
            <w:rStyle w:val="Hyperlink"/>
            <w:noProof/>
          </w:rPr>
          <w:t> </w:t>
        </w:r>
        <w:r w:rsidR="00E61632" w:rsidRPr="00400D8B">
          <w:rPr>
            <w:rStyle w:val="Hyperlink"/>
            <w:noProof/>
          </w:rPr>
          <w:t>and</w:t>
        </w:r>
        <w:r w:rsidR="0003777C">
          <w:rPr>
            <w:rStyle w:val="Hyperlink"/>
            <w:noProof/>
          </w:rPr>
          <w:t> </w:t>
        </w:r>
        <w:r w:rsidR="00E61632" w:rsidRPr="00400D8B">
          <w:rPr>
            <w:rStyle w:val="Hyperlink"/>
            <w:noProof/>
          </w:rPr>
          <w:t>laws in other jurisdictions</w:t>
        </w:r>
        <w:r w:rsidR="00E61632">
          <w:rPr>
            <w:noProof/>
            <w:webHidden/>
          </w:rPr>
          <w:tab/>
        </w:r>
        <w:r w:rsidR="00E61632">
          <w:rPr>
            <w:noProof/>
            <w:webHidden/>
          </w:rPr>
          <w:fldChar w:fldCharType="begin"/>
        </w:r>
        <w:r w:rsidR="00E61632">
          <w:rPr>
            <w:noProof/>
            <w:webHidden/>
          </w:rPr>
          <w:instrText xml:space="preserve"> PAGEREF _Toc22627805 \h </w:instrText>
        </w:r>
        <w:r w:rsidR="00E61632">
          <w:rPr>
            <w:noProof/>
            <w:webHidden/>
          </w:rPr>
        </w:r>
        <w:r w:rsidR="00E61632">
          <w:rPr>
            <w:noProof/>
            <w:webHidden/>
          </w:rPr>
          <w:fldChar w:fldCharType="separate"/>
        </w:r>
        <w:r w:rsidR="00022664">
          <w:rPr>
            <w:noProof/>
            <w:webHidden/>
          </w:rPr>
          <w:t>123</w:t>
        </w:r>
        <w:r w:rsidR="00E61632">
          <w:rPr>
            <w:noProof/>
            <w:webHidden/>
          </w:rPr>
          <w:fldChar w:fldCharType="end"/>
        </w:r>
      </w:hyperlink>
    </w:p>
    <w:p w14:paraId="138FAA0C" w14:textId="3D3FEC2D" w:rsidR="00E61632" w:rsidRDefault="002E5535">
      <w:pPr>
        <w:pStyle w:val="TOC2"/>
        <w:rPr>
          <w:rFonts w:eastAsiaTheme="minorEastAsia"/>
          <w:sz w:val="24"/>
          <w:szCs w:val="24"/>
        </w:rPr>
      </w:pPr>
      <w:hyperlink w:anchor="_Toc22627806" w:history="1">
        <w:r w:rsidR="00E61632" w:rsidRPr="00400D8B">
          <w:rPr>
            <w:rStyle w:val="Hyperlink"/>
          </w:rPr>
          <w:t>6.4</w:t>
        </w:r>
        <w:r w:rsidR="00E61632">
          <w:rPr>
            <w:rFonts w:eastAsiaTheme="minorEastAsia"/>
            <w:sz w:val="24"/>
            <w:szCs w:val="24"/>
          </w:rPr>
          <w:tab/>
        </w:r>
        <w:r w:rsidR="00E61632" w:rsidRPr="00400D8B">
          <w:rPr>
            <w:rStyle w:val="Hyperlink"/>
          </w:rPr>
          <w:t>Recommendations to NSW Government</w:t>
        </w:r>
        <w:r w:rsidR="00E61632">
          <w:rPr>
            <w:webHidden/>
          </w:rPr>
          <w:tab/>
        </w:r>
        <w:r w:rsidR="00E61632">
          <w:rPr>
            <w:webHidden/>
          </w:rPr>
          <w:fldChar w:fldCharType="begin"/>
        </w:r>
        <w:r w:rsidR="00E61632">
          <w:rPr>
            <w:webHidden/>
          </w:rPr>
          <w:instrText xml:space="preserve"> PAGEREF _Toc22627806 \h </w:instrText>
        </w:r>
        <w:r w:rsidR="00E61632">
          <w:rPr>
            <w:webHidden/>
          </w:rPr>
        </w:r>
        <w:r w:rsidR="00E61632">
          <w:rPr>
            <w:webHidden/>
          </w:rPr>
          <w:fldChar w:fldCharType="separate"/>
        </w:r>
        <w:r w:rsidR="00022664">
          <w:rPr>
            <w:webHidden/>
          </w:rPr>
          <w:t>126</w:t>
        </w:r>
        <w:r w:rsidR="00E61632">
          <w:rPr>
            <w:webHidden/>
          </w:rPr>
          <w:fldChar w:fldCharType="end"/>
        </w:r>
      </w:hyperlink>
    </w:p>
    <w:p w14:paraId="097B3840" w14:textId="34571C52" w:rsidR="00E61632" w:rsidRDefault="002E5535">
      <w:pPr>
        <w:pStyle w:val="TOC3"/>
        <w:rPr>
          <w:rFonts w:eastAsiaTheme="minorEastAsia"/>
          <w:noProof/>
          <w:sz w:val="24"/>
          <w:szCs w:val="24"/>
        </w:rPr>
      </w:pPr>
      <w:hyperlink w:anchor="_Toc22627807" w:history="1">
        <w:r w:rsidR="00E61632" w:rsidRPr="00400D8B">
          <w:rPr>
            <w:rStyle w:val="Hyperlink"/>
            <w:noProof/>
          </w:rPr>
          <w:t>6.4.1</w:t>
        </w:r>
        <w:r w:rsidR="00E61632">
          <w:rPr>
            <w:rFonts w:eastAsiaTheme="minorEastAsia"/>
            <w:noProof/>
            <w:sz w:val="24"/>
            <w:szCs w:val="24"/>
          </w:rPr>
          <w:tab/>
        </w:r>
        <w:r w:rsidR="00E61632" w:rsidRPr="00400D8B">
          <w:rPr>
            <w:rStyle w:val="Hyperlink"/>
            <w:noProof/>
          </w:rPr>
          <w:t>Comprehensive reform of the CPOR Act</w:t>
        </w:r>
        <w:r w:rsidR="00E61632">
          <w:rPr>
            <w:noProof/>
            <w:webHidden/>
          </w:rPr>
          <w:tab/>
        </w:r>
        <w:r w:rsidR="00E61632">
          <w:rPr>
            <w:noProof/>
            <w:webHidden/>
          </w:rPr>
          <w:fldChar w:fldCharType="begin"/>
        </w:r>
        <w:r w:rsidR="00E61632">
          <w:rPr>
            <w:noProof/>
            <w:webHidden/>
          </w:rPr>
          <w:instrText xml:space="preserve"> PAGEREF _Toc22627807 \h </w:instrText>
        </w:r>
        <w:r w:rsidR="00E61632">
          <w:rPr>
            <w:noProof/>
            <w:webHidden/>
          </w:rPr>
        </w:r>
        <w:r w:rsidR="00E61632">
          <w:rPr>
            <w:noProof/>
            <w:webHidden/>
          </w:rPr>
          <w:fldChar w:fldCharType="separate"/>
        </w:r>
        <w:r w:rsidR="00022664">
          <w:rPr>
            <w:noProof/>
            <w:webHidden/>
          </w:rPr>
          <w:t>126</w:t>
        </w:r>
        <w:r w:rsidR="00E61632">
          <w:rPr>
            <w:noProof/>
            <w:webHidden/>
          </w:rPr>
          <w:fldChar w:fldCharType="end"/>
        </w:r>
      </w:hyperlink>
    </w:p>
    <w:p w14:paraId="57299C78" w14:textId="7844FF48" w:rsidR="00E61632" w:rsidRPr="00A30707" w:rsidRDefault="002E5535">
      <w:pPr>
        <w:pStyle w:val="TOC3"/>
        <w:rPr>
          <w:rFonts w:eastAsiaTheme="minorEastAsia"/>
          <w:noProof/>
          <w:sz w:val="24"/>
          <w:szCs w:val="24"/>
        </w:rPr>
      </w:pPr>
      <w:hyperlink w:anchor="_Toc22627808" w:history="1">
        <w:r w:rsidR="00E61632" w:rsidRPr="00A30707">
          <w:rPr>
            <w:rStyle w:val="Hyperlink"/>
            <w:noProof/>
          </w:rPr>
          <w:t>6.4.2</w:t>
        </w:r>
        <w:r w:rsidR="00E61632" w:rsidRPr="00A30707">
          <w:rPr>
            <w:rFonts w:eastAsiaTheme="minorEastAsia"/>
            <w:noProof/>
            <w:sz w:val="24"/>
            <w:szCs w:val="24"/>
          </w:rPr>
          <w:tab/>
        </w:r>
        <w:r w:rsidR="00E61632" w:rsidRPr="00A30707">
          <w:rPr>
            <w:rStyle w:val="Hyperlink"/>
            <w:noProof/>
          </w:rPr>
          <w:t>Statutory review mechanism for registrable status and reporting</w:t>
        </w:r>
        <w:r w:rsidR="0003777C" w:rsidRPr="00A30707">
          <w:rPr>
            <w:rStyle w:val="Hyperlink"/>
            <w:noProof/>
          </w:rPr>
          <w:t> </w:t>
        </w:r>
        <w:r w:rsidR="00E61632" w:rsidRPr="00A30707">
          <w:rPr>
            <w:rStyle w:val="Hyperlink"/>
            <w:noProof/>
          </w:rPr>
          <w:t>period determinations</w:t>
        </w:r>
        <w:r w:rsidR="00E61632" w:rsidRPr="00A30707">
          <w:rPr>
            <w:noProof/>
            <w:webHidden/>
          </w:rPr>
          <w:tab/>
        </w:r>
        <w:r w:rsidR="00E61632" w:rsidRPr="00A30707">
          <w:rPr>
            <w:noProof/>
            <w:webHidden/>
          </w:rPr>
          <w:fldChar w:fldCharType="begin"/>
        </w:r>
        <w:r w:rsidR="00E61632" w:rsidRPr="00A30707">
          <w:rPr>
            <w:noProof/>
            <w:webHidden/>
          </w:rPr>
          <w:instrText xml:space="preserve"> PAGEREF _Toc22627808 \h </w:instrText>
        </w:r>
        <w:r w:rsidR="00E61632" w:rsidRPr="00A30707">
          <w:rPr>
            <w:noProof/>
            <w:webHidden/>
          </w:rPr>
        </w:r>
        <w:r w:rsidR="00E61632" w:rsidRPr="00A30707">
          <w:rPr>
            <w:noProof/>
            <w:webHidden/>
          </w:rPr>
          <w:fldChar w:fldCharType="separate"/>
        </w:r>
        <w:r w:rsidR="00022664">
          <w:rPr>
            <w:noProof/>
            <w:webHidden/>
          </w:rPr>
          <w:t>128</w:t>
        </w:r>
        <w:r w:rsidR="00E61632" w:rsidRPr="00A30707">
          <w:rPr>
            <w:noProof/>
            <w:webHidden/>
          </w:rPr>
          <w:fldChar w:fldCharType="end"/>
        </w:r>
      </w:hyperlink>
    </w:p>
    <w:p w14:paraId="7264860A" w14:textId="185E48DD" w:rsidR="00E61632" w:rsidRPr="00A30707" w:rsidRDefault="002E5535">
      <w:pPr>
        <w:pStyle w:val="TOC3"/>
        <w:rPr>
          <w:rFonts w:eastAsiaTheme="minorEastAsia"/>
          <w:noProof/>
          <w:sz w:val="24"/>
          <w:szCs w:val="24"/>
        </w:rPr>
      </w:pPr>
      <w:hyperlink w:anchor="_Toc22627809" w:history="1">
        <w:r w:rsidR="00E61632" w:rsidRPr="00A30707">
          <w:rPr>
            <w:rStyle w:val="Hyperlink"/>
            <w:noProof/>
          </w:rPr>
          <w:t>6.4.3</w:t>
        </w:r>
        <w:r w:rsidR="00E61632" w:rsidRPr="00A30707">
          <w:rPr>
            <w:rFonts w:eastAsiaTheme="minorEastAsia"/>
            <w:noProof/>
            <w:sz w:val="24"/>
            <w:szCs w:val="24"/>
          </w:rPr>
          <w:tab/>
        </w:r>
        <w:r w:rsidR="00E61632" w:rsidRPr="00A30707">
          <w:rPr>
            <w:rStyle w:val="Hyperlink"/>
            <w:noProof/>
          </w:rPr>
          <w:t>S</w:t>
        </w:r>
        <w:r w:rsidR="00BA0B9E" w:rsidRPr="00A30707">
          <w:rPr>
            <w:rStyle w:val="Hyperlink"/>
            <w:noProof/>
          </w:rPr>
          <w:t xml:space="preserve">tatutory requirement for </w:t>
        </w:r>
        <w:r w:rsidR="00E61632" w:rsidRPr="00A30707">
          <w:rPr>
            <w:rStyle w:val="Hyperlink"/>
            <w:noProof/>
          </w:rPr>
          <w:t>independent auditing of</w:t>
        </w:r>
        <w:r w:rsidR="0003777C" w:rsidRPr="00A30707">
          <w:rPr>
            <w:rStyle w:val="Hyperlink"/>
            <w:noProof/>
          </w:rPr>
          <w:t> </w:t>
        </w:r>
        <w:r w:rsidR="00E61632" w:rsidRPr="00A30707">
          <w:rPr>
            <w:rStyle w:val="Hyperlink"/>
            <w:noProof/>
          </w:rPr>
          <w:t>the</w:t>
        </w:r>
        <w:r w:rsidR="0003777C" w:rsidRPr="00A30707">
          <w:rPr>
            <w:rStyle w:val="Hyperlink"/>
            <w:noProof/>
          </w:rPr>
          <w:t> </w:t>
        </w:r>
        <w:r w:rsidR="00E61632" w:rsidRPr="00A30707">
          <w:rPr>
            <w:rStyle w:val="Hyperlink"/>
            <w:noProof/>
          </w:rPr>
          <w:t>Register</w:t>
        </w:r>
        <w:r w:rsidR="00E61632" w:rsidRPr="00A30707">
          <w:rPr>
            <w:noProof/>
            <w:webHidden/>
          </w:rPr>
          <w:tab/>
        </w:r>
        <w:r w:rsidR="00E61632" w:rsidRPr="00A30707">
          <w:rPr>
            <w:noProof/>
            <w:webHidden/>
          </w:rPr>
          <w:fldChar w:fldCharType="begin"/>
        </w:r>
        <w:r w:rsidR="00E61632" w:rsidRPr="00A30707">
          <w:rPr>
            <w:noProof/>
            <w:webHidden/>
          </w:rPr>
          <w:instrText xml:space="preserve"> PAGEREF _Toc22627809 \h </w:instrText>
        </w:r>
        <w:r w:rsidR="00E61632" w:rsidRPr="00A30707">
          <w:rPr>
            <w:noProof/>
            <w:webHidden/>
          </w:rPr>
        </w:r>
        <w:r w:rsidR="00E61632" w:rsidRPr="00A30707">
          <w:rPr>
            <w:noProof/>
            <w:webHidden/>
          </w:rPr>
          <w:fldChar w:fldCharType="separate"/>
        </w:r>
        <w:r w:rsidR="00022664">
          <w:rPr>
            <w:noProof/>
            <w:webHidden/>
          </w:rPr>
          <w:t>130</w:t>
        </w:r>
        <w:r w:rsidR="00E61632" w:rsidRPr="00A30707">
          <w:rPr>
            <w:noProof/>
            <w:webHidden/>
          </w:rPr>
          <w:fldChar w:fldCharType="end"/>
        </w:r>
      </w:hyperlink>
    </w:p>
    <w:p w14:paraId="15771915" w14:textId="3F1187D8" w:rsidR="00E61632" w:rsidRPr="00A30707" w:rsidRDefault="002E5535">
      <w:pPr>
        <w:pStyle w:val="TOC2"/>
        <w:rPr>
          <w:rFonts w:eastAsiaTheme="minorEastAsia"/>
          <w:sz w:val="24"/>
          <w:szCs w:val="24"/>
        </w:rPr>
      </w:pPr>
      <w:hyperlink w:anchor="_Toc22627810" w:history="1">
        <w:r w:rsidR="00E61632" w:rsidRPr="00A30707">
          <w:rPr>
            <w:rStyle w:val="Hyperlink"/>
          </w:rPr>
          <w:t>6.5</w:t>
        </w:r>
        <w:r w:rsidR="00E61632" w:rsidRPr="00A30707">
          <w:rPr>
            <w:rFonts w:eastAsiaTheme="minorEastAsia"/>
            <w:sz w:val="24"/>
            <w:szCs w:val="24"/>
          </w:rPr>
          <w:tab/>
        </w:r>
        <w:r w:rsidR="00E61632" w:rsidRPr="00A30707">
          <w:rPr>
            <w:rStyle w:val="Hyperlink"/>
          </w:rPr>
          <w:t>Rec</w:t>
        </w:r>
        <w:r w:rsidR="00A528BA" w:rsidRPr="00A30707">
          <w:rPr>
            <w:rStyle w:val="Hyperlink"/>
          </w:rPr>
          <w:t>ommendations to the NSW Police F</w:t>
        </w:r>
        <w:r w:rsidR="00E61632" w:rsidRPr="00A30707">
          <w:rPr>
            <w:rStyle w:val="Hyperlink"/>
          </w:rPr>
          <w:t>orce</w:t>
        </w:r>
        <w:r w:rsidR="00E61632" w:rsidRPr="00A30707">
          <w:rPr>
            <w:webHidden/>
          </w:rPr>
          <w:tab/>
        </w:r>
        <w:r w:rsidR="00E61632" w:rsidRPr="00A30707">
          <w:rPr>
            <w:webHidden/>
          </w:rPr>
          <w:fldChar w:fldCharType="begin"/>
        </w:r>
        <w:r w:rsidR="00E61632" w:rsidRPr="00A30707">
          <w:rPr>
            <w:webHidden/>
          </w:rPr>
          <w:instrText xml:space="preserve"> PAGEREF _Toc22627810 \h </w:instrText>
        </w:r>
        <w:r w:rsidR="00E61632" w:rsidRPr="00A30707">
          <w:rPr>
            <w:webHidden/>
          </w:rPr>
        </w:r>
        <w:r w:rsidR="00E61632" w:rsidRPr="00A30707">
          <w:rPr>
            <w:webHidden/>
          </w:rPr>
          <w:fldChar w:fldCharType="separate"/>
        </w:r>
        <w:r w:rsidR="00022664">
          <w:rPr>
            <w:webHidden/>
          </w:rPr>
          <w:t>130</w:t>
        </w:r>
        <w:r w:rsidR="00E61632" w:rsidRPr="00A30707">
          <w:rPr>
            <w:webHidden/>
          </w:rPr>
          <w:fldChar w:fldCharType="end"/>
        </w:r>
      </w:hyperlink>
    </w:p>
    <w:p w14:paraId="150A0064" w14:textId="612CA962" w:rsidR="00E61632" w:rsidRPr="00A30707" w:rsidRDefault="002E5535">
      <w:pPr>
        <w:pStyle w:val="TOC3"/>
        <w:rPr>
          <w:rFonts w:eastAsiaTheme="minorEastAsia"/>
          <w:noProof/>
          <w:sz w:val="24"/>
          <w:szCs w:val="24"/>
        </w:rPr>
      </w:pPr>
      <w:hyperlink w:anchor="_Toc22627811" w:history="1">
        <w:r w:rsidR="00E61632" w:rsidRPr="00A30707">
          <w:rPr>
            <w:rStyle w:val="Hyperlink"/>
            <w:noProof/>
          </w:rPr>
          <w:t>6.5.1</w:t>
        </w:r>
        <w:r w:rsidR="00E61632" w:rsidRPr="00A30707">
          <w:rPr>
            <w:rFonts w:eastAsiaTheme="minorEastAsia"/>
            <w:noProof/>
            <w:sz w:val="24"/>
            <w:szCs w:val="24"/>
          </w:rPr>
          <w:tab/>
        </w:r>
        <w:r w:rsidR="00E61632" w:rsidRPr="00A30707">
          <w:rPr>
            <w:rStyle w:val="Hyperlink"/>
            <w:noProof/>
          </w:rPr>
          <w:t>Need for at least one dedicated legal officer in the Registry</w:t>
        </w:r>
        <w:r w:rsidR="00E61632" w:rsidRPr="00A30707">
          <w:rPr>
            <w:noProof/>
            <w:webHidden/>
          </w:rPr>
          <w:tab/>
        </w:r>
        <w:r w:rsidR="00E61632" w:rsidRPr="00A30707">
          <w:rPr>
            <w:noProof/>
            <w:webHidden/>
          </w:rPr>
          <w:fldChar w:fldCharType="begin"/>
        </w:r>
        <w:r w:rsidR="00E61632" w:rsidRPr="00A30707">
          <w:rPr>
            <w:noProof/>
            <w:webHidden/>
          </w:rPr>
          <w:instrText xml:space="preserve"> PAGEREF _Toc22627811 \h </w:instrText>
        </w:r>
        <w:r w:rsidR="00E61632" w:rsidRPr="00A30707">
          <w:rPr>
            <w:noProof/>
            <w:webHidden/>
          </w:rPr>
        </w:r>
        <w:r w:rsidR="00E61632" w:rsidRPr="00A30707">
          <w:rPr>
            <w:noProof/>
            <w:webHidden/>
          </w:rPr>
          <w:fldChar w:fldCharType="separate"/>
        </w:r>
        <w:r w:rsidR="00022664">
          <w:rPr>
            <w:noProof/>
            <w:webHidden/>
          </w:rPr>
          <w:t>130</w:t>
        </w:r>
        <w:r w:rsidR="00E61632" w:rsidRPr="00A30707">
          <w:rPr>
            <w:noProof/>
            <w:webHidden/>
          </w:rPr>
          <w:fldChar w:fldCharType="end"/>
        </w:r>
      </w:hyperlink>
    </w:p>
    <w:p w14:paraId="3BBDB3ED" w14:textId="6A77869C" w:rsidR="00E61632" w:rsidRPr="00A30707" w:rsidRDefault="002E5535">
      <w:pPr>
        <w:pStyle w:val="TOC3"/>
        <w:rPr>
          <w:rFonts w:eastAsiaTheme="minorEastAsia"/>
          <w:noProof/>
          <w:sz w:val="24"/>
          <w:szCs w:val="24"/>
        </w:rPr>
      </w:pPr>
      <w:hyperlink w:anchor="_Toc22627812" w:history="1">
        <w:r w:rsidR="00E61632" w:rsidRPr="00A30707">
          <w:rPr>
            <w:rStyle w:val="Hyperlink"/>
            <w:noProof/>
          </w:rPr>
          <w:t>6.5.2</w:t>
        </w:r>
        <w:r w:rsidR="00E61632" w:rsidRPr="00A30707">
          <w:rPr>
            <w:rFonts w:eastAsiaTheme="minorEastAsia"/>
            <w:noProof/>
            <w:sz w:val="24"/>
            <w:szCs w:val="24"/>
          </w:rPr>
          <w:tab/>
        </w:r>
        <w:r w:rsidR="00E61632" w:rsidRPr="00A30707">
          <w:rPr>
            <w:rStyle w:val="Hyperlink"/>
            <w:noProof/>
          </w:rPr>
          <w:t>Registrable persons should be provided with the basis for decisions</w:t>
        </w:r>
        <w:r w:rsidR="0003777C" w:rsidRPr="00A30707">
          <w:rPr>
            <w:rStyle w:val="Hyperlink"/>
            <w:noProof/>
          </w:rPr>
          <w:t> </w:t>
        </w:r>
        <w:r w:rsidR="00E61632" w:rsidRPr="00A30707">
          <w:rPr>
            <w:rStyle w:val="Hyperlink"/>
            <w:noProof/>
          </w:rPr>
          <w:t>about their status and reporting period</w:t>
        </w:r>
        <w:r w:rsidR="00E61632" w:rsidRPr="00A30707">
          <w:rPr>
            <w:noProof/>
            <w:webHidden/>
          </w:rPr>
          <w:tab/>
        </w:r>
        <w:r w:rsidR="00E61632" w:rsidRPr="00A30707">
          <w:rPr>
            <w:noProof/>
            <w:webHidden/>
          </w:rPr>
          <w:fldChar w:fldCharType="begin"/>
        </w:r>
        <w:r w:rsidR="00E61632" w:rsidRPr="00A30707">
          <w:rPr>
            <w:noProof/>
            <w:webHidden/>
          </w:rPr>
          <w:instrText xml:space="preserve"> PAGEREF _Toc22627812 \h </w:instrText>
        </w:r>
        <w:r w:rsidR="00E61632" w:rsidRPr="00A30707">
          <w:rPr>
            <w:noProof/>
            <w:webHidden/>
          </w:rPr>
        </w:r>
        <w:r w:rsidR="00E61632" w:rsidRPr="00A30707">
          <w:rPr>
            <w:noProof/>
            <w:webHidden/>
          </w:rPr>
          <w:fldChar w:fldCharType="separate"/>
        </w:r>
        <w:r w:rsidR="00022664">
          <w:rPr>
            <w:noProof/>
            <w:webHidden/>
          </w:rPr>
          <w:t>132</w:t>
        </w:r>
        <w:r w:rsidR="00E61632" w:rsidRPr="00A30707">
          <w:rPr>
            <w:noProof/>
            <w:webHidden/>
          </w:rPr>
          <w:fldChar w:fldCharType="end"/>
        </w:r>
      </w:hyperlink>
    </w:p>
    <w:p w14:paraId="77AC5C64" w14:textId="2D93B73D" w:rsidR="00E61632" w:rsidRPr="00A30707" w:rsidRDefault="002E5535">
      <w:pPr>
        <w:pStyle w:val="TOC1"/>
        <w:rPr>
          <w:rFonts w:eastAsiaTheme="minorEastAsia"/>
          <w:caps w:val="0"/>
          <w:color w:val="auto"/>
          <w:sz w:val="24"/>
          <w:szCs w:val="24"/>
        </w:rPr>
      </w:pPr>
      <w:hyperlink w:anchor="_Toc22627813" w:history="1">
        <w:r w:rsidR="00E61632" w:rsidRPr="00A30707">
          <w:rPr>
            <w:rStyle w:val="Hyperlink"/>
            <w:rFonts w:ascii="Gotham Bold" w:hAnsi="Gotham Bold" w:cs="Gotham Book"/>
            <w:b/>
          </w:rPr>
          <w:t>7.</w:t>
        </w:r>
        <w:r w:rsidR="00E61632" w:rsidRPr="00A30707">
          <w:rPr>
            <w:rFonts w:eastAsiaTheme="minorEastAsia"/>
            <w:caps w:val="0"/>
            <w:color w:val="auto"/>
            <w:sz w:val="24"/>
            <w:szCs w:val="24"/>
          </w:rPr>
          <w:tab/>
        </w:r>
        <w:r w:rsidR="00E61632" w:rsidRPr="00A30707">
          <w:rPr>
            <w:rStyle w:val="Hyperlink"/>
          </w:rPr>
          <w:t>Responsibilities of courts and other authorities in relation</w:t>
        </w:r>
        <w:r w:rsidR="0003777C" w:rsidRPr="00A30707">
          <w:rPr>
            <w:rStyle w:val="Hyperlink"/>
          </w:rPr>
          <w:t> </w:t>
        </w:r>
        <w:r w:rsidR="00E61632" w:rsidRPr="00A30707">
          <w:rPr>
            <w:rStyle w:val="Hyperlink"/>
          </w:rPr>
          <w:t>to</w:t>
        </w:r>
        <w:r w:rsidR="0003777C" w:rsidRPr="00A30707">
          <w:rPr>
            <w:rStyle w:val="Hyperlink"/>
          </w:rPr>
          <w:t> </w:t>
        </w:r>
        <w:r w:rsidR="00E61632" w:rsidRPr="00A30707">
          <w:rPr>
            <w:rStyle w:val="Hyperlink"/>
          </w:rPr>
          <w:t>the register</w:t>
        </w:r>
        <w:r w:rsidR="00E61632" w:rsidRPr="00A30707">
          <w:rPr>
            <w:webHidden/>
          </w:rPr>
          <w:tab/>
        </w:r>
        <w:r w:rsidR="00E61632" w:rsidRPr="00A30707">
          <w:rPr>
            <w:webHidden/>
          </w:rPr>
          <w:fldChar w:fldCharType="begin"/>
        </w:r>
        <w:r w:rsidR="00E61632" w:rsidRPr="00A30707">
          <w:rPr>
            <w:webHidden/>
          </w:rPr>
          <w:instrText xml:space="preserve"> PAGEREF _Toc22627813 \h </w:instrText>
        </w:r>
        <w:r w:rsidR="00E61632" w:rsidRPr="00A30707">
          <w:rPr>
            <w:webHidden/>
          </w:rPr>
        </w:r>
        <w:r w:rsidR="00E61632" w:rsidRPr="00A30707">
          <w:rPr>
            <w:webHidden/>
          </w:rPr>
          <w:fldChar w:fldCharType="separate"/>
        </w:r>
        <w:r w:rsidR="00022664">
          <w:rPr>
            <w:webHidden/>
          </w:rPr>
          <w:t>134</w:t>
        </w:r>
        <w:r w:rsidR="00E61632" w:rsidRPr="00A30707">
          <w:rPr>
            <w:webHidden/>
          </w:rPr>
          <w:fldChar w:fldCharType="end"/>
        </w:r>
      </w:hyperlink>
    </w:p>
    <w:p w14:paraId="2A616B9B" w14:textId="12DCE8D1" w:rsidR="00E61632" w:rsidRPr="00A30707" w:rsidRDefault="002E5535">
      <w:pPr>
        <w:pStyle w:val="TOC2"/>
        <w:rPr>
          <w:rFonts w:eastAsiaTheme="minorEastAsia"/>
          <w:sz w:val="24"/>
          <w:szCs w:val="24"/>
        </w:rPr>
      </w:pPr>
      <w:hyperlink w:anchor="_Toc22627814" w:history="1">
        <w:r w:rsidR="00E61632" w:rsidRPr="00A30707">
          <w:rPr>
            <w:rStyle w:val="Hyperlink"/>
          </w:rPr>
          <w:t>7.1</w:t>
        </w:r>
        <w:r w:rsidR="00E61632" w:rsidRPr="00A30707">
          <w:rPr>
            <w:rFonts w:eastAsiaTheme="minorEastAsia"/>
            <w:sz w:val="24"/>
            <w:szCs w:val="24"/>
          </w:rPr>
          <w:tab/>
        </w:r>
        <w:r w:rsidR="00E61632" w:rsidRPr="00A30707">
          <w:rPr>
            <w:rStyle w:val="Hyperlink"/>
          </w:rPr>
          <w:t>Introduction</w:t>
        </w:r>
        <w:r w:rsidR="00E61632" w:rsidRPr="00A30707">
          <w:rPr>
            <w:webHidden/>
          </w:rPr>
          <w:tab/>
        </w:r>
        <w:r w:rsidR="00E61632" w:rsidRPr="00A30707">
          <w:rPr>
            <w:webHidden/>
          </w:rPr>
          <w:fldChar w:fldCharType="begin"/>
        </w:r>
        <w:r w:rsidR="00E61632" w:rsidRPr="00A30707">
          <w:rPr>
            <w:webHidden/>
          </w:rPr>
          <w:instrText xml:space="preserve"> PAGEREF _Toc22627814 \h </w:instrText>
        </w:r>
        <w:r w:rsidR="00E61632" w:rsidRPr="00A30707">
          <w:rPr>
            <w:webHidden/>
          </w:rPr>
        </w:r>
        <w:r w:rsidR="00E61632" w:rsidRPr="00A30707">
          <w:rPr>
            <w:webHidden/>
          </w:rPr>
          <w:fldChar w:fldCharType="separate"/>
        </w:r>
        <w:r w:rsidR="00022664">
          <w:rPr>
            <w:webHidden/>
          </w:rPr>
          <w:t>135</w:t>
        </w:r>
        <w:r w:rsidR="00E61632" w:rsidRPr="00A30707">
          <w:rPr>
            <w:webHidden/>
          </w:rPr>
          <w:fldChar w:fldCharType="end"/>
        </w:r>
      </w:hyperlink>
    </w:p>
    <w:p w14:paraId="7669D5C6" w14:textId="0391E313" w:rsidR="00E61632" w:rsidRPr="00A30707" w:rsidRDefault="002E5535">
      <w:pPr>
        <w:pStyle w:val="TOC2"/>
        <w:rPr>
          <w:rFonts w:eastAsiaTheme="minorEastAsia"/>
          <w:sz w:val="24"/>
          <w:szCs w:val="24"/>
        </w:rPr>
      </w:pPr>
      <w:hyperlink w:anchor="_Toc22627815" w:history="1">
        <w:r w:rsidR="00E61632" w:rsidRPr="00A30707">
          <w:rPr>
            <w:rStyle w:val="Hyperlink"/>
          </w:rPr>
          <w:t>7.2</w:t>
        </w:r>
        <w:r w:rsidR="00E61632" w:rsidRPr="00A30707">
          <w:rPr>
            <w:rFonts w:eastAsiaTheme="minorEastAsia"/>
            <w:sz w:val="24"/>
            <w:szCs w:val="24"/>
          </w:rPr>
          <w:tab/>
        </w:r>
        <w:r w:rsidR="00E61632" w:rsidRPr="00A30707">
          <w:rPr>
            <w:rStyle w:val="Hyperlink"/>
          </w:rPr>
          <w:t>Courts’ obligations to inform the NSW Police Force and other authorities</w:t>
        </w:r>
        <w:r w:rsidR="0003777C" w:rsidRPr="00A30707">
          <w:rPr>
            <w:rStyle w:val="Hyperlink"/>
          </w:rPr>
          <w:t> </w:t>
        </w:r>
        <w:r w:rsidR="00E61632" w:rsidRPr="00A30707">
          <w:rPr>
            <w:rStyle w:val="Hyperlink"/>
          </w:rPr>
          <w:t>that</w:t>
        </w:r>
        <w:r w:rsidR="0003777C" w:rsidRPr="00A30707">
          <w:rPr>
            <w:rStyle w:val="Hyperlink"/>
          </w:rPr>
          <w:t> </w:t>
        </w:r>
        <w:r w:rsidR="00E61632" w:rsidRPr="00A30707">
          <w:rPr>
            <w:rStyle w:val="Hyperlink"/>
          </w:rPr>
          <w:t>a registrable person has been sentenced</w:t>
        </w:r>
        <w:r w:rsidR="00E61632" w:rsidRPr="00A30707">
          <w:rPr>
            <w:webHidden/>
          </w:rPr>
          <w:tab/>
        </w:r>
        <w:r w:rsidR="00E61632" w:rsidRPr="00A30707">
          <w:rPr>
            <w:webHidden/>
          </w:rPr>
          <w:fldChar w:fldCharType="begin"/>
        </w:r>
        <w:r w:rsidR="00E61632" w:rsidRPr="00A30707">
          <w:rPr>
            <w:webHidden/>
          </w:rPr>
          <w:instrText xml:space="preserve"> PAGEREF _Toc22627815 \h </w:instrText>
        </w:r>
        <w:r w:rsidR="00E61632" w:rsidRPr="00A30707">
          <w:rPr>
            <w:webHidden/>
          </w:rPr>
        </w:r>
        <w:r w:rsidR="00E61632" w:rsidRPr="00A30707">
          <w:rPr>
            <w:webHidden/>
          </w:rPr>
          <w:fldChar w:fldCharType="separate"/>
        </w:r>
        <w:r w:rsidR="00022664">
          <w:rPr>
            <w:webHidden/>
          </w:rPr>
          <w:t>135</w:t>
        </w:r>
        <w:r w:rsidR="00E61632" w:rsidRPr="00A30707">
          <w:rPr>
            <w:webHidden/>
          </w:rPr>
          <w:fldChar w:fldCharType="end"/>
        </w:r>
      </w:hyperlink>
    </w:p>
    <w:p w14:paraId="553AFD2C" w14:textId="1CE7FAB5" w:rsidR="00E61632" w:rsidRPr="00A30707" w:rsidRDefault="002E5535">
      <w:pPr>
        <w:pStyle w:val="TOC2"/>
        <w:rPr>
          <w:rFonts w:eastAsiaTheme="minorEastAsia"/>
          <w:sz w:val="24"/>
          <w:szCs w:val="24"/>
        </w:rPr>
      </w:pPr>
      <w:hyperlink w:anchor="_Toc22627816" w:history="1">
        <w:r w:rsidR="00E61632" w:rsidRPr="00A30707">
          <w:rPr>
            <w:rStyle w:val="Hyperlink"/>
          </w:rPr>
          <w:t>7.3</w:t>
        </w:r>
        <w:r w:rsidR="00E61632" w:rsidRPr="00A30707">
          <w:rPr>
            <w:rFonts w:eastAsiaTheme="minorEastAsia"/>
            <w:sz w:val="24"/>
            <w:szCs w:val="24"/>
          </w:rPr>
          <w:tab/>
        </w:r>
        <w:r w:rsidR="00E61632" w:rsidRPr="00A30707">
          <w:rPr>
            <w:rStyle w:val="Hyperlink"/>
          </w:rPr>
          <w:t>Registry’s reliance on information from court proceedings</w:t>
        </w:r>
        <w:r w:rsidR="00E61632" w:rsidRPr="00A30707">
          <w:rPr>
            <w:webHidden/>
          </w:rPr>
          <w:tab/>
        </w:r>
        <w:r w:rsidR="00E61632" w:rsidRPr="00A30707">
          <w:rPr>
            <w:webHidden/>
          </w:rPr>
          <w:fldChar w:fldCharType="begin"/>
        </w:r>
        <w:r w:rsidR="00E61632" w:rsidRPr="00A30707">
          <w:rPr>
            <w:webHidden/>
          </w:rPr>
          <w:instrText xml:space="preserve"> PAGEREF _Toc22627816 \h </w:instrText>
        </w:r>
        <w:r w:rsidR="00E61632" w:rsidRPr="00A30707">
          <w:rPr>
            <w:webHidden/>
          </w:rPr>
        </w:r>
        <w:r w:rsidR="00E61632" w:rsidRPr="00A30707">
          <w:rPr>
            <w:webHidden/>
          </w:rPr>
          <w:fldChar w:fldCharType="separate"/>
        </w:r>
        <w:r w:rsidR="00022664">
          <w:rPr>
            <w:webHidden/>
          </w:rPr>
          <w:t>137</w:t>
        </w:r>
        <w:r w:rsidR="00E61632" w:rsidRPr="00A30707">
          <w:rPr>
            <w:webHidden/>
          </w:rPr>
          <w:fldChar w:fldCharType="end"/>
        </w:r>
      </w:hyperlink>
    </w:p>
    <w:p w14:paraId="530F5EB8" w14:textId="5F43C6B4" w:rsidR="00E61632" w:rsidRPr="00A30707" w:rsidRDefault="002E5535">
      <w:pPr>
        <w:pStyle w:val="TOC3"/>
        <w:rPr>
          <w:rFonts w:eastAsiaTheme="minorEastAsia"/>
          <w:noProof/>
          <w:sz w:val="24"/>
          <w:szCs w:val="24"/>
        </w:rPr>
      </w:pPr>
      <w:hyperlink w:anchor="_Toc22627817" w:history="1">
        <w:r w:rsidR="00E61632" w:rsidRPr="00A30707">
          <w:rPr>
            <w:rStyle w:val="Hyperlink"/>
            <w:noProof/>
          </w:rPr>
          <w:t>7.3.1</w:t>
        </w:r>
        <w:r w:rsidR="00E61632" w:rsidRPr="00A30707">
          <w:rPr>
            <w:rFonts w:eastAsiaTheme="minorEastAsia"/>
            <w:noProof/>
            <w:sz w:val="24"/>
            <w:szCs w:val="24"/>
          </w:rPr>
          <w:tab/>
        </w:r>
        <w:r w:rsidR="00E61632" w:rsidRPr="00A30707">
          <w:rPr>
            <w:rStyle w:val="Hyperlink"/>
            <w:noProof/>
          </w:rPr>
          <w:t>Difficulties which arise when charges are amended or replaced</w:t>
        </w:r>
        <w:r w:rsidR="00E61632" w:rsidRPr="00A30707">
          <w:rPr>
            <w:noProof/>
            <w:webHidden/>
          </w:rPr>
          <w:tab/>
        </w:r>
        <w:r w:rsidR="00E61632" w:rsidRPr="00A30707">
          <w:rPr>
            <w:noProof/>
            <w:webHidden/>
          </w:rPr>
          <w:fldChar w:fldCharType="begin"/>
        </w:r>
        <w:r w:rsidR="00E61632" w:rsidRPr="00A30707">
          <w:rPr>
            <w:noProof/>
            <w:webHidden/>
          </w:rPr>
          <w:instrText xml:space="preserve"> PAGEREF _Toc22627817 \h </w:instrText>
        </w:r>
        <w:r w:rsidR="00E61632" w:rsidRPr="00A30707">
          <w:rPr>
            <w:noProof/>
            <w:webHidden/>
          </w:rPr>
        </w:r>
        <w:r w:rsidR="00E61632" w:rsidRPr="00A30707">
          <w:rPr>
            <w:noProof/>
            <w:webHidden/>
          </w:rPr>
          <w:fldChar w:fldCharType="separate"/>
        </w:r>
        <w:r w:rsidR="00022664">
          <w:rPr>
            <w:noProof/>
            <w:webHidden/>
          </w:rPr>
          <w:t>137</w:t>
        </w:r>
        <w:r w:rsidR="00E61632" w:rsidRPr="00A30707">
          <w:rPr>
            <w:noProof/>
            <w:webHidden/>
          </w:rPr>
          <w:fldChar w:fldCharType="end"/>
        </w:r>
      </w:hyperlink>
    </w:p>
    <w:p w14:paraId="0FB19B9A" w14:textId="764B8C2A" w:rsidR="00E61632" w:rsidRPr="00A30707" w:rsidRDefault="002E5535">
      <w:pPr>
        <w:pStyle w:val="TOC3"/>
        <w:rPr>
          <w:rFonts w:eastAsiaTheme="minorEastAsia"/>
          <w:noProof/>
          <w:sz w:val="24"/>
          <w:szCs w:val="24"/>
        </w:rPr>
      </w:pPr>
      <w:hyperlink w:anchor="_Toc22627818" w:history="1">
        <w:r w:rsidR="00E61632" w:rsidRPr="00A30707">
          <w:rPr>
            <w:rStyle w:val="Hyperlink"/>
            <w:noProof/>
          </w:rPr>
          <w:t>7.3.2</w:t>
        </w:r>
        <w:r w:rsidR="00E61632" w:rsidRPr="00A30707">
          <w:rPr>
            <w:rFonts w:eastAsiaTheme="minorEastAsia"/>
            <w:noProof/>
            <w:sz w:val="24"/>
            <w:szCs w:val="24"/>
          </w:rPr>
          <w:tab/>
        </w:r>
        <w:r w:rsidR="00E61632" w:rsidRPr="00A30707">
          <w:rPr>
            <w:rStyle w:val="Hyperlink"/>
            <w:noProof/>
          </w:rPr>
          <w:t>Difficulties when persons charged with registrable offences are</w:t>
        </w:r>
        <w:r w:rsidR="0003777C" w:rsidRPr="00A30707">
          <w:rPr>
            <w:rStyle w:val="Hyperlink"/>
            <w:noProof/>
          </w:rPr>
          <w:t> </w:t>
        </w:r>
        <w:r w:rsidR="00E61632" w:rsidRPr="00A30707">
          <w:rPr>
            <w:rStyle w:val="Hyperlink"/>
            <w:noProof/>
          </w:rPr>
          <w:t>found</w:t>
        </w:r>
        <w:r w:rsidR="0003777C" w:rsidRPr="00A30707">
          <w:rPr>
            <w:rStyle w:val="Hyperlink"/>
            <w:noProof/>
          </w:rPr>
          <w:t> </w:t>
        </w:r>
        <w:r w:rsidR="00E61632" w:rsidRPr="00A30707">
          <w:rPr>
            <w:rStyle w:val="Hyperlink"/>
            <w:noProof/>
          </w:rPr>
          <w:t>to be suffering from mental impairment or illness</w:t>
        </w:r>
        <w:r w:rsidR="00E61632" w:rsidRPr="00A30707">
          <w:rPr>
            <w:noProof/>
            <w:webHidden/>
          </w:rPr>
          <w:tab/>
        </w:r>
        <w:r w:rsidR="00E61632" w:rsidRPr="00A30707">
          <w:rPr>
            <w:noProof/>
            <w:webHidden/>
          </w:rPr>
          <w:fldChar w:fldCharType="begin"/>
        </w:r>
        <w:r w:rsidR="00E61632" w:rsidRPr="00A30707">
          <w:rPr>
            <w:noProof/>
            <w:webHidden/>
          </w:rPr>
          <w:instrText xml:space="preserve"> PAGEREF _Toc22627818 \h </w:instrText>
        </w:r>
        <w:r w:rsidR="00E61632" w:rsidRPr="00A30707">
          <w:rPr>
            <w:noProof/>
            <w:webHidden/>
          </w:rPr>
        </w:r>
        <w:r w:rsidR="00E61632" w:rsidRPr="00A30707">
          <w:rPr>
            <w:noProof/>
            <w:webHidden/>
          </w:rPr>
          <w:fldChar w:fldCharType="separate"/>
        </w:r>
        <w:r w:rsidR="00022664">
          <w:rPr>
            <w:noProof/>
            <w:webHidden/>
          </w:rPr>
          <w:t>139</w:t>
        </w:r>
        <w:r w:rsidR="00E61632" w:rsidRPr="00A30707">
          <w:rPr>
            <w:noProof/>
            <w:webHidden/>
          </w:rPr>
          <w:fldChar w:fldCharType="end"/>
        </w:r>
      </w:hyperlink>
    </w:p>
    <w:p w14:paraId="2BAB25DC" w14:textId="692674AA" w:rsidR="00E61632" w:rsidRPr="00A30707" w:rsidRDefault="002E5535">
      <w:pPr>
        <w:pStyle w:val="TOC2"/>
        <w:rPr>
          <w:rFonts w:eastAsiaTheme="minorEastAsia"/>
          <w:sz w:val="24"/>
          <w:szCs w:val="24"/>
        </w:rPr>
      </w:pPr>
      <w:hyperlink w:anchor="_Toc22627819" w:history="1">
        <w:r w:rsidR="00E61632" w:rsidRPr="00A30707">
          <w:rPr>
            <w:rStyle w:val="Hyperlink"/>
          </w:rPr>
          <w:t>7.4</w:t>
        </w:r>
        <w:r w:rsidR="00E61632" w:rsidRPr="00A30707">
          <w:rPr>
            <w:rFonts w:eastAsiaTheme="minorEastAsia"/>
            <w:sz w:val="24"/>
            <w:szCs w:val="24"/>
          </w:rPr>
          <w:tab/>
        </w:r>
        <w:r w:rsidR="00E61632" w:rsidRPr="00A30707">
          <w:rPr>
            <w:rStyle w:val="Hyperlink"/>
          </w:rPr>
          <w:t>Obligations on courts and supervising authorities to notify registrable persons about their reporting obligations</w:t>
        </w:r>
        <w:r w:rsidR="00E61632" w:rsidRPr="00A30707">
          <w:rPr>
            <w:webHidden/>
          </w:rPr>
          <w:tab/>
        </w:r>
        <w:r w:rsidR="00E61632" w:rsidRPr="00A30707">
          <w:rPr>
            <w:webHidden/>
          </w:rPr>
          <w:fldChar w:fldCharType="begin"/>
        </w:r>
        <w:r w:rsidR="00E61632" w:rsidRPr="00A30707">
          <w:rPr>
            <w:webHidden/>
          </w:rPr>
          <w:instrText xml:space="preserve"> PAGEREF _Toc22627819 \h </w:instrText>
        </w:r>
        <w:r w:rsidR="00E61632" w:rsidRPr="00A30707">
          <w:rPr>
            <w:webHidden/>
          </w:rPr>
        </w:r>
        <w:r w:rsidR="00E61632" w:rsidRPr="00A30707">
          <w:rPr>
            <w:webHidden/>
          </w:rPr>
          <w:fldChar w:fldCharType="separate"/>
        </w:r>
        <w:r w:rsidR="00022664">
          <w:rPr>
            <w:webHidden/>
          </w:rPr>
          <w:t>140</w:t>
        </w:r>
        <w:r w:rsidR="00E61632" w:rsidRPr="00A30707">
          <w:rPr>
            <w:webHidden/>
          </w:rPr>
          <w:fldChar w:fldCharType="end"/>
        </w:r>
      </w:hyperlink>
    </w:p>
    <w:p w14:paraId="5FD82443" w14:textId="2B2DAC9A" w:rsidR="00E61632" w:rsidRPr="00A30707" w:rsidRDefault="002E5535">
      <w:pPr>
        <w:pStyle w:val="TOC2"/>
        <w:rPr>
          <w:rFonts w:eastAsiaTheme="minorEastAsia"/>
          <w:sz w:val="24"/>
          <w:szCs w:val="24"/>
        </w:rPr>
      </w:pPr>
      <w:hyperlink w:anchor="_Toc22627820" w:history="1">
        <w:r w:rsidR="00E61632" w:rsidRPr="00A30707">
          <w:rPr>
            <w:rStyle w:val="Hyperlink"/>
          </w:rPr>
          <w:t>7.5</w:t>
        </w:r>
        <w:r w:rsidR="00E61632" w:rsidRPr="00A30707">
          <w:rPr>
            <w:rFonts w:eastAsiaTheme="minorEastAsia"/>
            <w:sz w:val="24"/>
            <w:szCs w:val="24"/>
          </w:rPr>
          <w:tab/>
        </w:r>
        <w:r w:rsidR="00E61632" w:rsidRPr="00A30707">
          <w:rPr>
            <w:rStyle w:val="Hyperlink"/>
          </w:rPr>
          <w:t>Supervising authorities’ obligations to inform the NSW Police Force when</w:t>
        </w:r>
        <w:r w:rsidR="0003777C" w:rsidRPr="00A30707">
          <w:rPr>
            <w:rStyle w:val="Hyperlink"/>
          </w:rPr>
          <w:t> </w:t>
        </w:r>
        <w:r w:rsidR="00E61632" w:rsidRPr="00A30707">
          <w:rPr>
            <w:rStyle w:val="Hyperlink"/>
          </w:rPr>
          <w:t>registrable persons are released from government custody</w:t>
        </w:r>
        <w:r w:rsidR="00E61632" w:rsidRPr="00A30707">
          <w:rPr>
            <w:webHidden/>
          </w:rPr>
          <w:tab/>
        </w:r>
        <w:r w:rsidR="00E61632" w:rsidRPr="00A30707">
          <w:rPr>
            <w:webHidden/>
          </w:rPr>
          <w:fldChar w:fldCharType="begin"/>
        </w:r>
        <w:r w:rsidR="00E61632" w:rsidRPr="00A30707">
          <w:rPr>
            <w:webHidden/>
          </w:rPr>
          <w:instrText xml:space="preserve"> PAGEREF _Toc22627820 \h </w:instrText>
        </w:r>
        <w:r w:rsidR="00E61632" w:rsidRPr="00A30707">
          <w:rPr>
            <w:webHidden/>
          </w:rPr>
        </w:r>
        <w:r w:rsidR="00E61632" w:rsidRPr="00A30707">
          <w:rPr>
            <w:webHidden/>
          </w:rPr>
          <w:fldChar w:fldCharType="separate"/>
        </w:r>
        <w:r w:rsidR="00022664">
          <w:rPr>
            <w:webHidden/>
          </w:rPr>
          <w:t>143</w:t>
        </w:r>
        <w:r w:rsidR="00E61632" w:rsidRPr="00A30707">
          <w:rPr>
            <w:webHidden/>
          </w:rPr>
          <w:fldChar w:fldCharType="end"/>
        </w:r>
      </w:hyperlink>
    </w:p>
    <w:p w14:paraId="01F41927" w14:textId="3FA2B12A" w:rsidR="00E61632" w:rsidRPr="00A30707" w:rsidRDefault="002E5535">
      <w:pPr>
        <w:pStyle w:val="TOC2"/>
        <w:rPr>
          <w:rFonts w:eastAsiaTheme="minorEastAsia"/>
          <w:sz w:val="24"/>
          <w:szCs w:val="24"/>
        </w:rPr>
      </w:pPr>
      <w:hyperlink w:anchor="_Toc22627821" w:history="1">
        <w:r w:rsidR="00E61632" w:rsidRPr="00A30707">
          <w:rPr>
            <w:rStyle w:val="Hyperlink"/>
          </w:rPr>
          <w:t>7.6</w:t>
        </w:r>
        <w:r w:rsidR="00E61632" w:rsidRPr="00A30707">
          <w:rPr>
            <w:rFonts w:eastAsiaTheme="minorEastAsia"/>
            <w:sz w:val="24"/>
            <w:szCs w:val="24"/>
          </w:rPr>
          <w:tab/>
        </w:r>
        <w:r w:rsidR="00E61632" w:rsidRPr="00A30707">
          <w:rPr>
            <w:rStyle w:val="Hyperlink"/>
          </w:rPr>
          <w:t>Interim solutions to problems with information and notifications from</w:t>
        </w:r>
        <w:r w:rsidR="0003777C" w:rsidRPr="00A30707">
          <w:rPr>
            <w:rStyle w:val="Hyperlink"/>
          </w:rPr>
          <w:t> </w:t>
        </w:r>
        <w:r w:rsidR="00E61632" w:rsidRPr="00A30707">
          <w:rPr>
            <w:rStyle w:val="Hyperlink"/>
          </w:rPr>
          <w:t>other</w:t>
        </w:r>
        <w:r w:rsidR="0003777C" w:rsidRPr="00A30707">
          <w:rPr>
            <w:rStyle w:val="Hyperlink"/>
          </w:rPr>
          <w:t> </w:t>
        </w:r>
        <w:r w:rsidR="00E61632" w:rsidRPr="00A30707">
          <w:rPr>
            <w:rStyle w:val="Hyperlink"/>
          </w:rPr>
          <w:t>authorities</w:t>
        </w:r>
        <w:r w:rsidR="00E61632" w:rsidRPr="00A30707">
          <w:rPr>
            <w:webHidden/>
          </w:rPr>
          <w:tab/>
        </w:r>
        <w:r w:rsidR="00E61632" w:rsidRPr="00A30707">
          <w:rPr>
            <w:webHidden/>
          </w:rPr>
          <w:fldChar w:fldCharType="begin"/>
        </w:r>
        <w:r w:rsidR="00E61632" w:rsidRPr="00A30707">
          <w:rPr>
            <w:webHidden/>
          </w:rPr>
          <w:instrText xml:space="preserve"> PAGEREF _Toc22627821 \h </w:instrText>
        </w:r>
        <w:r w:rsidR="00E61632" w:rsidRPr="00A30707">
          <w:rPr>
            <w:webHidden/>
          </w:rPr>
        </w:r>
        <w:r w:rsidR="00E61632" w:rsidRPr="00A30707">
          <w:rPr>
            <w:webHidden/>
          </w:rPr>
          <w:fldChar w:fldCharType="separate"/>
        </w:r>
        <w:r w:rsidR="00022664">
          <w:rPr>
            <w:webHidden/>
          </w:rPr>
          <w:t>144</w:t>
        </w:r>
        <w:r w:rsidR="00E61632" w:rsidRPr="00A30707">
          <w:rPr>
            <w:webHidden/>
          </w:rPr>
          <w:fldChar w:fldCharType="end"/>
        </w:r>
      </w:hyperlink>
    </w:p>
    <w:p w14:paraId="0C75957C" w14:textId="6C3D4B9F" w:rsidR="00E61632" w:rsidRPr="00A30707" w:rsidRDefault="002E5535">
      <w:pPr>
        <w:pStyle w:val="TOC3"/>
        <w:rPr>
          <w:rFonts w:eastAsiaTheme="minorEastAsia"/>
          <w:noProof/>
          <w:sz w:val="24"/>
          <w:szCs w:val="24"/>
        </w:rPr>
      </w:pPr>
      <w:hyperlink w:anchor="_Toc22627822" w:history="1">
        <w:r w:rsidR="00E61632" w:rsidRPr="00A30707">
          <w:rPr>
            <w:rStyle w:val="Hyperlink"/>
            <w:noProof/>
          </w:rPr>
          <w:t>7.6.1</w:t>
        </w:r>
        <w:r w:rsidR="00E61632" w:rsidRPr="00A30707">
          <w:rPr>
            <w:rFonts w:eastAsiaTheme="minorEastAsia"/>
            <w:noProof/>
            <w:sz w:val="24"/>
            <w:szCs w:val="24"/>
          </w:rPr>
          <w:tab/>
        </w:r>
        <w:r w:rsidR="00E61632" w:rsidRPr="00A30707">
          <w:rPr>
            <w:rStyle w:val="Hyperlink"/>
            <w:noProof/>
          </w:rPr>
          <w:t>Access to courts information system</w:t>
        </w:r>
        <w:r w:rsidR="00E61632" w:rsidRPr="00A30707">
          <w:rPr>
            <w:noProof/>
            <w:webHidden/>
          </w:rPr>
          <w:tab/>
        </w:r>
        <w:r w:rsidR="00E61632" w:rsidRPr="00A30707">
          <w:rPr>
            <w:noProof/>
            <w:webHidden/>
          </w:rPr>
          <w:fldChar w:fldCharType="begin"/>
        </w:r>
        <w:r w:rsidR="00E61632" w:rsidRPr="00A30707">
          <w:rPr>
            <w:noProof/>
            <w:webHidden/>
          </w:rPr>
          <w:instrText xml:space="preserve"> PAGEREF _Toc22627822 \h </w:instrText>
        </w:r>
        <w:r w:rsidR="00E61632" w:rsidRPr="00A30707">
          <w:rPr>
            <w:noProof/>
            <w:webHidden/>
          </w:rPr>
        </w:r>
        <w:r w:rsidR="00E61632" w:rsidRPr="00A30707">
          <w:rPr>
            <w:noProof/>
            <w:webHidden/>
          </w:rPr>
          <w:fldChar w:fldCharType="separate"/>
        </w:r>
        <w:r w:rsidR="00022664">
          <w:rPr>
            <w:noProof/>
            <w:webHidden/>
          </w:rPr>
          <w:t>144</w:t>
        </w:r>
        <w:r w:rsidR="00E61632" w:rsidRPr="00A30707">
          <w:rPr>
            <w:noProof/>
            <w:webHidden/>
          </w:rPr>
          <w:fldChar w:fldCharType="end"/>
        </w:r>
      </w:hyperlink>
    </w:p>
    <w:p w14:paraId="15F45EE3" w14:textId="1D0DA5F7" w:rsidR="00E61632" w:rsidRPr="00A30707" w:rsidRDefault="002E5535">
      <w:pPr>
        <w:pStyle w:val="TOC3"/>
        <w:rPr>
          <w:rFonts w:eastAsiaTheme="minorEastAsia"/>
          <w:noProof/>
          <w:sz w:val="24"/>
          <w:szCs w:val="24"/>
        </w:rPr>
      </w:pPr>
      <w:hyperlink w:anchor="_Toc22627823" w:history="1">
        <w:r w:rsidR="00E61632" w:rsidRPr="00A30707">
          <w:rPr>
            <w:rStyle w:val="Hyperlink"/>
            <w:rFonts w:eastAsia="Source Sans Pro Light"/>
            <w:noProof/>
          </w:rPr>
          <w:t>7.6.2</w:t>
        </w:r>
        <w:r w:rsidR="00E61632" w:rsidRPr="00A30707">
          <w:rPr>
            <w:rFonts w:eastAsiaTheme="minorEastAsia"/>
            <w:noProof/>
            <w:sz w:val="24"/>
            <w:szCs w:val="24"/>
          </w:rPr>
          <w:tab/>
        </w:r>
        <w:r w:rsidR="00E61632" w:rsidRPr="00A30707">
          <w:rPr>
            <w:rStyle w:val="Hyperlink"/>
            <w:rFonts w:eastAsia="Source Sans Pro Light"/>
            <w:noProof/>
          </w:rPr>
          <w:t>Exploring a role for prosecutors</w:t>
        </w:r>
        <w:r w:rsidR="00E61632" w:rsidRPr="00A30707">
          <w:rPr>
            <w:noProof/>
            <w:webHidden/>
          </w:rPr>
          <w:tab/>
        </w:r>
        <w:r w:rsidR="00E61632" w:rsidRPr="00A30707">
          <w:rPr>
            <w:noProof/>
            <w:webHidden/>
          </w:rPr>
          <w:fldChar w:fldCharType="begin"/>
        </w:r>
        <w:r w:rsidR="00E61632" w:rsidRPr="00A30707">
          <w:rPr>
            <w:noProof/>
            <w:webHidden/>
          </w:rPr>
          <w:instrText xml:space="preserve"> PAGEREF _Toc22627823 \h </w:instrText>
        </w:r>
        <w:r w:rsidR="00E61632" w:rsidRPr="00A30707">
          <w:rPr>
            <w:noProof/>
            <w:webHidden/>
          </w:rPr>
        </w:r>
        <w:r w:rsidR="00E61632" w:rsidRPr="00A30707">
          <w:rPr>
            <w:noProof/>
            <w:webHidden/>
          </w:rPr>
          <w:fldChar w:fldCharType="separate"/>
        </w:r>
        <w:r w:rsidR="00022664">
          <w:rPr>
            <w:noProof/>
            <w:webHidden/>
          </w:rPr>
          <w:t>145</w:t>
        </w:r>
        <w:r w:rsidR="00E61632" w:rsidRPr="00A30707">
          <w:rPr>
            <w:noProof/>
            <w:webHidden/>
          </w:rPr>
          <w:fldChar w:fldCharType="end"/>
        </w:r>
      </w:hyperlink>
    </w:p>
    <w:p w14:paraId="5AE8F4B5" w14:textId="5C4E59FC" w:rsidR="00E61632" w:rsidRPr="00A30707" w:rsidRDefault="002E5535">
      <w:pPr>
        <w:pStyle w:val="TOC3"/>
        <w:rPr>
          <w:rFonts w:eastAsiaTheme="minorEastAsia"/>
          <w:noProof/>
          <w:sz w:val="24"/>
          <w:szCs w:val="24"/>
        </w:rPr>
      </w:pPr>
      <w:hyperlink w:anchor="_Toc22627824" w:history="1">
        <w:r w:rsidR="00E61632" w:rsidRPr="00A30707">
          <w:rPr>
            <w:rStyle w:val="Hyperlink"/>
            <w:rFonts w:ascii="Gotham Book" w:eastAsia="Source Sans Pro Light" w:hAnsi="Gotham Book"/>
            <w:noProof/>
          </w:rPr>
          <w:t>7.6.3</w:t>
        </w:r>
        <w:r w:rsidR="00E61632" w:rsidRPr="00A30707">
          <w:rPr>
            <w:rFonts w:eastAsiaTheme="minorEastAsia"/>
            <w:noProof/>
            <w:sz w:val="24"/>
            <w:szCs w:val="24"/>
          </w:rPr>
          <w:tab/>
        </w:r>
        <w:r w:rsidR="00E61632" w:rsidRPr="00A30707">
          <w:rPr>
            <w:rStyle w:val="Hyperlink"/>
            <w:rFonts w:ascii="Gotham Book" w:eastAsia="Source Sans Pro Light" w:hAnsi="Gotham Book"/>
            <w:noProof/>
          </w:rPr>
          <w:t xml:space="preserve">Access to </w:t>
        </w:r>
        <w:r w:rsidR="00E61632" w:rsidRPr="00A30707">
          <w:rPr>
            <w:rStyle w:val="Hyperlink"/>
            <w:noProof/>
          </w:rPr>
          <w:t>Corrective Services NSW information system</w:t>
        </w:r>
        <w:r w:rsidR="00E61632" w:rsidRPr="00A30707">
          <w:rPr>
            <w:noProof/>
            <w:webHidden/>
          </w:rPr>
          <w:tab/>
        </w:r>
        <w:r w:rsidR="00E61632" w:rsidRPr="00A30707">
          <w:rPr>
            <w:noProof/>
            <w:webHidden/>
          </w:rPr>
          <w:fldChar w:fldCharType="begin"/>
        </w:r>
        <w:r w:rsidR="00E61632" w:rsidRPr="00A30707">
          <w:rPr>
            <w:noProof/>
            <w:webHidden/>
          </w:rPr>
          <w:instrText xml:space="preserve"> PAGEREF _Toc22627824 \h </w:instrText>
        </w:r>
        <w:r w:rsidR="00E61632" w:rsidRPr="00A30707">
          <w:rPr>
            <w:noProof/>
            <w:webHidden/>
          </w:rPr>
        </w:r>
        <w:r w:rsidR="00E61632" w:rsidRPr="00A30707">
          <w:rPr>
            <w:noProof/>
            <w:webHidden/>
          </w:rPr>
          <w:fldChar w:fldCharType="separate"/>
        </w:r>
        <w:r w:rsidR="00022664">
          <w:rPr>
            <w:noProof/>
            <w:webHidden/>
          </w:rPr>
          <w:t>145</w:t>
        </w:r>
        <w:r w:rsidR="00E61632" w:rsidRPr="00A30707">
          <w:rPr>
            <w:noProof/>
            <w:webHidden/>
          </w:rPr>
          <w:fldChar w:fldCharType="end"/>
        </w:r>
      </w:hyperlink>
    </w:p>
    <w:p w14:paraId="3600B4EF" w14:textId="3789F733" w:rsidR="00E61632" w:rsidRPr="00A30707" w:rsidRDefault="002E5535">
      <w:pPr>
        <w:pStyle w:val="TOC2"/>
        <w:rPr>
          <w:rFonts w:eastAsiaTheme="minorEastAsia"/>
          <w:sz w:val="24"/>
          <w:szCs w:val="24"/>
        </w:rPr>
      </w:pPr>
      <w:hyperlink w:anchor="_Toc22627825" w:history="1">
        <w:r w:rsidR="00E61632" w:rsidRPr="00A30707">
          <w:rPr>
            <w:rStyle w:val="Hyperlink"/>
          </w:rPr>
          <w:t>7.7</w:t>
        </w:r>
        <w:r w:rsidR="00E61632" w:rsidRPr="00A30707">
          <w:rPr>
            <w:rFonts w:eastAsiaTheme="minorEastAsia"/>
            <w:sz w:val="24"/>
            <w:szCs w:val="24"/>
          </w:rPr>
          <w:tab/>
        </w:r>
        <w:r w:rsidR="00E61632" w:rsidRPr="00A30707">
          <w:rPr>
            <w:rStyle w:val="Hyperlink"/>
          </w:rPr>
          <w:t>Conclusion</w:t>
        </w:r>
        <w:r w:rsidR="00E61632" w:rsidRPr="00A30707">
          <w:rPr>
            <w:webHidden/>
          </w:rPr>
          <w:tab/>
        </w:r>
        <w:r w:rsidR="00E61632" w:rsidRPr="00A30707">
          <w:rPr>
            <w:webHidden/>
          </w:rPr>
          <w:fldChar w:fldCharType="begin"/>
        </w:r>
        <w:r w:rsidR="00E61632" w:rsidRPr="00A30707">
          <w:rPr>
            <w:webHidden/>
          </w:rPr>
          <w:instrText xml:space="preserve"> PAGEREF _Toc22627825 \h </w:instrText>
        </w:r>
        <w:r w:rsidR="00E61632" w:rsidRPr="00A30707">
          <w:rPr>
            <w:webHidden/>
          </w:rPr>
        </w:r>
        <w:r w:rsidR="00E61632" w:rsidRPr="00A30707">
          <w:rPr>
            <w:webHidden/>
          </w:rPr>
          <w:fldChar w:fldCharType="separate"/>
        </w:r>
        <w:r w:rsidR="00022664">
          <w:rPr>
            <w:webHidden/>
          </w:rPr>
          <w:t>147</w:t>
        </w:r>
        <w:r w:rsidR="00E61632" w:rsidRPr="00A30707">
          <w:rPr>
            <w:webHidden/>
          </w:rPr>
          <w:fldChar w:fldCharType="end"/>
        </w:r>
      </w:hyperlink>
    </w:p>
    <w:p w14:paraId="542A09A4" w14:textId="39ACD6D1" w:rsidR="00E61632" w:rsidRPr="00A30707" w:rsidRDefault="002E5535">
      <w:pPr>
        <w:pStyle w:val="TOC1"/>
        <w:rPr>
          <w:rFonts w:eastAsiaTheme="minorEastAsia"/>
          <w:caps w:val="0"/>
          <w:color w:val="auto"/>
          <w:sz w:val="24"/>
          <w:szCs w:val="24"/>
        </w:rPr>
      </w:pPr>
      <w:hyperlink w:anchor="_Toc22627826" w:history="1">
        <w:r w:rsidR="00E61632" w:rsidRPr="00A30707">
          <w:rPr>
            <w:rStyle w:val="Hyperlink"/>
            <w:rFonts w:ascii="Gotham Bold" w:hAnsi="Gotham Bold" w:cs="Gotham Book"/>
            <w:b/>
          </w:rPr>
          <w:t>8.</w:t>
        </w:r>
        <w:r w:rsidR="00E61632" w:rsidRPr="00A30707">
          <w:rPr>
            <w:rFonts w:eastAsiaTheme="minorEastAsia"/>
            <w:caps w:val="0"/>
            <w:color w:val="auto"/>
            <w:sz w:val="24"/>
            <w:szCs w:val="24"/>
          </w:rPr>
          <w:tab/>
        </w:r>
        <w:r w:rsidR="00E61632" w:rsidRPr="00A30707">
          <w:rPr>
            <w:rStyle w:val="Hyperlink"/>
          </w:rPr>
          <w:t>Issues with electronic systems used to maintain the Register</w:t>
        </w:r>
        <w:r w:rsidR="00E61632" w:rsidRPr="00A30707">
          <w:rPr>
            <w:webHidden/>
          </w:rPr>
          <w:tab/>
        </w:r>
        <w:r w:rsidR="00E61632" w:rsidRPr="00A30707">
          <w:rPr>
            <w:webHidden/>
          </w:rPr>
          <w:fldChar w:fldCharType="begin"/>
        </w:r>
        <w:r w:rsidR="00E61632" w:rsidRPr="00A30707">
          <w:rPr>
            <w:webHidden/>
          </w:rPr>
          <w:instrText xml:space="preserve"> PAGEREF _Toc22627826 \h </w:instrText>
        </w:r>
        <w:r w:rsidR="00E61632" w:rsidRPr="00A30707">
          <w:rPr>
            <w:webHidden/>
          </w:rPr>
        </w:r>
        <w:r w:rsidR="00E61632" w:rsidRPr="00A30707">
          <w:rPr>
            <w:webHidden/>
          </w:rPr>
          <w:fldChar w:fldCharType="separate"/>
        </w:r>
        <w:r w:rsidR="00022664">
          <w:rPr>
            <w:webHidden/>
          </w:rPr>
          <w:t>149</w:t>
        </w:r>
        <w:r w:rsidR="00E61632" w:rsidRPr="00A30707">
          <w:rPr>
            <w:webHidden/>
          </w:rPr>
          <w:fldChar w:fldCharType="end"/>
        </w:r>
      </w:hyperlink>
    </w:p>
    <w:p w14:paraId="6BC0CA18" w14:textId="12DFD1AF" w:rsidR="00E61632" w:rsidRPr="00A30707" w:rsidRDefault="002E5535">
      <w:pPr>
        <w:pStyle w:val="TOC2"/>
        <w:rPr>
          <w:rFonts w:eastAsiaTheme="minorEastAsia"/>
          <w:sz w:val="24"/>
          <w:szCs w:val="24"/>
        </w:rPr>
      </w:pPr>
      <w:hyperlink w:anchor="_Toc22627827" w:history="1">
        <w:r w:rsidR="00E61632" w:rsidRPr="00A30707">
          <w:rPr>
            <w:rStyle w:val="Hyperlink"/>
          </w:rPr>
          <w:t>8.1</w:t>
        </w:r>
        <w:r w:rsidR="00E61632" w:rsidRPr="00A30707">
          <w:rPr>
            <w:rFonts w:eastAsiaTheme="minorEastAsia"/>
            <w:sz w:val="24"/>
            <w:szCs w:val="24"/>
          </w:rPr>
          <w:tab/>
        </w:r>
        <w:r w:rsidR="00E61632" w:rsidRPr="00A30707">
          <w:rPr>
            <w:rStyle w:val="Hyperlink"/>
          </w:rPr>
          <w:t>Introduction</w:t>
        </w:r>
        <w:r w:rsidR="00E61632" w:rsidRPr="00A30707">
          <w:rPr>
            <w:webHidden/>
          </w:rPr>
          <w:tab/>
        </w:r>
        <w:r w:rsidR="00E61632" w:rsidRPr="00A30707">
          <w:rPr>
            <w:webHidden/>
          </w:rPr>
          <w:fldChar w:fldCharType="begin"/>
        </w:r>
        <w:r w:rsidR="00E61632" w:rsidRPr="00A30707">
          <w:rPr>
            <w:webHidden/>
          </w:rPr>
          <w:instrText xml:space="preserve"> PAGEREF _Toc22627827 \h </w:instrText>
        </w:r>
        <w:r w:rsidR="00E61632" w:rsidRPr="00A30707">
          <w:rPr>
            <w:webHidden/>
          </w:rPr>
        </w:r>
        <w:r w:rsidR="00E61632" w:rsidRPr="00A30707">
          <w:rPr>
            <w:webHidden/>
          </w:rPr>
          <w:fldChar w:fldCharType="separate"/>
        </w:r>
        <w:r w:rsidR="00022664">
          <w:rPr>
            <w:webHidden/>
          </w:rPr>
          <w:t>150</w:t>
        </w:r>
        <w:r w:rsidR="00E61632" w:rsidRPr="00A30707">
          <w:rPr>
            <w:webHidden/>
          </w:rPr>
          <w:fldChar w:fldCharType="end"/>
        </w:r>
      </w:hyperlink>
    </w:p>
    <w:p w14:paraId="5E15DBAD" w14:textId="3DE490D5" w:rsidR="00E61632" w:rsidRPr="00A30707" w:rsidRDefault="002E5535">
      <w:pPr>
        <w:pStyle w:val="TOC2"/>
        <w:rPr>
          <w:rFonts w:eastAsiaTheme="minorEastAsia"/>
          <w:sz w:val="24"/>
          <w:szCs w:val="24"/>
        </w:rPr>
      </w:pPr>
      <w:hyperlink w:anchor="_Toc22627828" w:history="1">
        <w:r w:rsidR="00E61632" w:rsidRPr="00A30707">
          <w:rPr>
            <w:rStyle w:val="Hyperlink"/>
          </w:rPr>
          <w:t>8.2</w:t>
        </w:r>
        <w:r w:rsidR="00E61632" w:rsidRPr="00A30707">
          <w:rPr>
            <w:rFonts w:eastAsiaTheme="minorEastAsia"/>
            <w:sz w:val="24"/>
            <w:szCs w:val="24"/>
          </w:rPr>
          <w:tab/>
        </w:r>
        <w:r w:rsidR="00E61632" w:rsidRPr="00A30707">
          <w:rPr>
            <w:rStyle w:val="Hyperlink"/>
          </w:rPr>
          <w:t xml:space="preserve">Creation of ‘auto-suspend’ and ‘auto-reopen’ functions for </w:t>
        </w:r>
        <w:r w:rsidR="0003777C" w:rsidRPr="00A30707">
          <w:rPr>
            <w:rStyle w:val="Hyperlink"/>
          </w:rPr>
          <w:br/>
        </w:r>
        <w:r w:rsidR="00E61632" w:rsidRPr="00A30707">
          <w:rPr>
            <w:rStyle w:val="Hyperlink"/>
          </w:rPr>
          <w:t>Register cases</w:t>
        </w:r>
        <w:r w:rsidR="00E61632" w:rsidRPr="00A30707">
          <w:rPr>
            <w:webHidden/>
          </w:rPr>
          <w:tab/>
        </w:r>
        <w:r w:rsidR="00E61632" w:rsidRPr="00A30707">
          <w:rPr>
            <w:webHidden/>
          </w:rPr>
          <w:fldChar w:fldCharType="begin"/>
        </w:r>
        <w:r w:rsidR="00E61632" w:rsidRPr="00A30707">
          <w:rPr>
            <w:webHidden/>
          </w:rPr>
          <w:instrText xml:space="preserve"> PAGEREF _Toc22627828 \h </w:instrText>
        </w:r>
        <w:r w:rsidR="00E61632" w:rsidRPr="00A30707">
          <w:rPr>
            <w:webHidden/>
          </w:rPr>
        </w:r>
        <w:r w:rsidR="00E61632" w:rsidRPr="00A30707">
          <w:rPr>
            <w:webHidden/>
          </w:rPr>
          <w:fldChar w:fldCharType="separate"/>
        </w:r>
        <w:r w:rsidR="00022664">
          <w:rPr>
            <w:webHidden/>
          </w:rPr>
          <w:t>150</w:t>
        </w:r>
        <w:r w:rsidR="00E61632" w:rsidRPr="00A30707">
          <w:rPr>
            <w:webHidden/>
          </w:rPr>
          <w:fldChar w:fldCharType="end"/>
        </w:r>
      </w:hyperlink>
    </w:p>
    <w:p w14:paraId="0799577D" w14:textId="687B1E92" w:rsidR="00E61632" w:rsidRPr="00A30707" w:rsidRDefault="002E5535">
      <w:pPr>
        <w:pStyle w:val="TOC2"/>
        <w:rPr>
          <w:rFonts w:eastAsiaTheme="minorEastAsia"/>
          <w:sz w:val="24"/>
          <w:szCs w:val="24"/>
        </w:rPr>
      </w:pPr>
      <w:hyperlink w:anchor="_Toc22627829" w:history="1">
        <w:r w:rsidR="00E61632" w:rsidRPr="00A30707">
          <w:rPr>
            <w:rStyle w:val="Hyperlink"/>
          </w:rPr>
          <w:t>8.3</w:t>
        </w:r>
        <w:r w:rsidR="00E61632" w:rsidRPr="00A30707">
          <w:rPr>
            <w:rFonts w:eastAsiaTheme="minorEastAsia"/>
            <w:sz w:val="24"/>
            <w:szCs w:val="24"/>
          </w:rPr>
          <w:tab/>
        </w:r>
        <w:r w:rsidR="00E61632" w:rsidRPr="00A30707">
          <w:rPr>
            <w:rStyle w:val="Hyperlink"/>
          </w:rPr>
          <w:t>Problems with the auto-suspend and auto-reopen functions resulted in</w:t>
        </w:r>
        <w:r w:rsidR="0003777C" w:rsidRPr="00A30707">
          <w:rPr>
            <w:rStyle w:val="Hyperlink"/>
          </w:rPr>
          <w:t> </w:t>
        </w:r>
        <w:r w:rsidR="00E61632" w:rsidRPr="00A30707">
          <w:rPr>
            <w:rStyle w:val="Hyperlink"/>
          </w:rPr>
          <w:t>registered sex offenders being unmonitored</w:t>
        </w:r>
        <w:r w:rsidR="00E61632" w:rsidRPr="00A30707">
          <w:rPr>
            <w:webHidden/>
          </w:rPr>
          <w:tab/>
        </w:r>
        <w:r w:rsidR="00E61632" w:rsidRPr="00A30707">
          <w:rPr>
            <w:webHidden/>
          </w:rPr>
          <w:fldChar w:fldCharType="begin"/>
        </w:r>
        <w:r w:rsidR="00E61632" w:rsidRPr="00A30707">
          <w:rPr>
            <w:webHidden/>
          </w:rPr>
          <w:instrText xml:space="preserve"> PAGEREF _Toc22627829 \h </w:instrText>
        </w:r>
        <w:r w:rsidR="00E61632" w:rsidRPr="00A30707">
          <w:rPr>
            <w:webHidden/>
          </w:rPr>
        </w:r>
        <w:r w:rsidR="00E61632" w:rsidRPr="00A30707">
          <w:rPr>
            <w:webHidden/>
          </w:rPr>
          <w:fldChar w:fldCharType="separate"/>
        </w:r>
        <w:r w:rsidR="00022664">
          <w:rPr>
            <w:webHidden/>
          </w:rPr>
          <w:t>151</w:t>
        </w:r>
        <w:r w:rsidR="00E61632" w:rsidRPr="00A30707">
          <w:rPr>
            <w:webHidden/>
          </w:rPr>
          <w:fldChar w:fldCharType="end"/>
        </w:r>
      </w:hyperlink>
    </w:p>
    <w:p w14:paraId="20BE0F82" w14:textId="72299C04" w:rsidR="00E61632" w:rsidRPr="00A30707" w:rsidRDefault="002E5535">
      <w:pPr>
        <w:pStyle w:val="TOC2"/>
        <w:rPr>
          <w:rFonts w:eastAsiaTheme="minorEastAsia"/>
          <w:sz w:val="24"/>
          <w:szCs w:val="24"/>
        </w:rPr>
      </w:pPr>
      <w:hyperlink w:anchor="_Toc22627830" w:history="1">
        <w:r w:rsidR="00E61632" w:rsidRPr="00A30707">
          <w:rPr>
            <w:rStyle w:val="Hyperlink"/>
          </w:rPr>
          <w:t>8.4</w:t>
        </w:r>
        <w:r w:rsidR="00E61632" w:rsidRPr="00A30707">
          <w:rPr>
            <w:rFonts w:eastAsiaTheme="minorEastAsia"/>
            <w:sz w:val="24"/>
            <w:szCs w:val="24"/>
          </w:rPr>
          <w:tab/>
        </w:r>
        <w:r w:rsidR="00E61632" w:rsidRPr="00A30707">
          <w:rPr>
            <w:rStyle w:val="Hyperlink"/>
          </w:rPr>
          <w:t xml:space="preserve">Reports from the Registry about need to fix the auto-suspend and </w:t>
        </w:r>
        <w:r w:rsidR="0003777C" w:rsidRPr="00A30707">
          <w:rPr>
            <w:rStyle w:val="Hyperlink"/>
          </w:rPr>
          <w:br/>
        </w:r>
        <w:r w:rsidR="00E61632" w:rsidRPr="00A30707">
          <w:rPr>
            <w:rStyle w:val="Hyperlink"/>
          </w:rPr>
          <w:t>auto-reopen functions</w:t>
        </w:r>
        <w:r w:rsidR="00E61632" w:rsidRPr="00A30707">
          <w:rPr>
            <w:webHidden/>
          </w:rPr>
          <w:tab/>
        </w:r>
        <w:r w:rsidR="00E61632" w:rsidRPr="00A30707">
          <w:rPr>
            <w:webHidden/>
          </w:rPr>
          <w:fldChar w:fldCharType="begin"/>
        </w:r>
        <w:r w:rsidR="00E61632" w:rsidRPr="00A30707">
          <w:rPr>
            <w:webHidden/>
          </w:rPr>
          <w:instrText xml:space="preserve"> PAGEREF _Toc22627830 \h </w:instrText>
        </w:r>
        <w:r w:rsidR="00E61632" w:rsidRPr="00A30707">
          <w:rPr>
            <w:webHidden/>
          </w:rPr>
        </w:r>
        <w:r w:rsidR="00E61632" w:rsidRPr="00A30707">
          <w:rPr>
            <w:webHidden/>
          </w:rPr>
          <w:fldChar w:fldCharType="separate"/>
        </w:r>
        <w:r w:rsidR="00022664">
          <w:rPr>
            <w:webHidden/>
          </w:rPr>
          <w:t>153</w:t>
        </w:r>
        <w:r w:rsidR="00E61632" w:rsidRPr="00A30707">
          <w:rPr>
            <w:webHidden/>
          </w:rPr>
          <w:fldChar w:fldCharType="end"/>
        </w:r>
      </w:hyperlink>
    </w:p>
    <w:p w14:paraId="3665B170" w14:textId="2E851F2B" w:rsidR="00E61632" w:rsidRPr="00A30707" w:rsidRDefault="002E5535">
      <w:pPr>
        <w:pStyle w:val="TOC2"/>
        <w:rPr>
          <w:rFonts w:eastAsiaTheme="minorEastAsia"/>
          <w:sz w:val="24"/>
          <w:szCs w:val="24"/>
        </w:rPr>
      </w:pPr>
      <w:hyperlink w:anchor="_Toc22627831" w:history="1">
        <w:r w:rsidR="00E61632" w:rsidRPr="00A30707">
          <w:rPr>
            <w:rStyle w:val="Hyperlink"/>
          </w:rPr>
          <w:t>8.5</w:t>
        </w:r>
        <w:r w:rsidR="00E61632" w:rsidRPr="00A30707">
          <w:rPr>
            <w:rFonts w:eastAsiaTheme="minorEastAsia"/>
            <w:sz w:val="24"/>
            <w:szCs w:val="24"/>
          </w:rPr>
          <w:tab/>
        </w:r>
        <w:r w:rsidR="00E61632" w:rsidRPr="00A30707">
          <w:rPr>
            <w:rStyle w:val="Hyperlink"/>
          </w:rPr>
          <w:t>Auto-suspend and auto-reopen functions turned off and IT upgrade</w:t>
        </w:r>
        <w:r w:rsidR="0003777C" w:rsidRPr="00A30707">
          <w:rPr>
            <w:rStyle w:val="Hyperlink"/>
          </w:rPr>
          <w:t> </w:t>
        </w:r>
        <w:r w:rsidR="00E61632" w:rsidRPr="00A30707">
          <w:rPr>
            <w:rStyle w:val="Hyperlink"/>
          </w:rPr>
          <w:t>project</w:t>
        </w:r>
        <w:r w:rsidR="0003777C" w:rsidRPr="00A30707">
          <w:rPr>
            <w:rStyle w:val="Hyperlink"/>
          </w:rPr>
          <w:t> </w:t>
        </w:r>
        <w:r w:rsidR="00E61632" w:rsidRPr="00A30707">
          <w:rPr>
            <w:rStyle w:val="Hyperlink"/>
          </w:rPr>
          <w:t>approved</w:t>
        </w:r>
        <w:r w:rsidR="00E61632" w:rsidRPr="00A30707">
          <w:rPr>
            <w:webHidden/>
          </w:rPr>
          <w:tab/>
        </w:r>
        <w:r w:rsidR="00E61632" w:rsidRPr="00A30707">
          <w:rPr>
            <w:webHidden/>
          </w:rPr>
          <w:fldChar w:fldCharType="begin"/>
        </w:r>
        <w:r w:rsidR="00E61632" w:rsidRPr="00A30707">
          <w:rPr>
            <w:webHidden/>
          </w:rPr>
          <w:instrText xml:space="preserve"> PAGEREF _Toc22627831 \h </w:instrText>
        </w:r>
        <w:r w:rsidR="00E61632" w:rsidRPr="00A30707">
          <w:rPr>
            <w:webHidden/>
          </w:rPr>
        </w:r>
        <w:r w:rsidR="00E61632" w:rsidRPr="00A30707">
          <w:rPr>
            <w:webHidden/>
          </w:rPr>
          <w:fldChar w:fldCharType="separate"/>
        </w:r>
        <w:r w:rsidR="00022664">
          <w:rPr>
            <w:webHidden/>
          </w:rPr>
          <w:t>154</w:t>
        </w:r>
        <w:r w:rsidR="00E61632" w:rsidRPr="00A30707">
          <w:rPr>
            <w:webHidden/>
          </w:rPr>
          <w:fldChar w:fldCharType="end"/>
        </w:r>
      </w:hyperlink>
    </w:p>
    <w:p w14:paraId="7654ECE7" w14:textId="3A49DD77" w:rsidR="00E61632" w:rsidRPr="00A30707" w:rsidRDefault="002E5535">
      <w:pPr>
        <w:pStyle w:val="TOC2"/>
        <w:rPr>
          <w:rFonts w:eastAsiaTheme="minorEastAsia"/>
          <w:sz w:val="24"/>
          <w:szCs w:val="24"/>
        </w:rPr>
      </w:pPr>
      <w:hyperlink w:anchor="_Toc22627832" w:history="1">
        <w:r w:rsidR="00E61632" w:rsidRPr="00A30707">
          <w:rPr>
            <w:rStyle w:val="Hyperlink"/>
          </w:rPr>
          <w:t>8.6</w:t>
        </w:r>
        <w:r w:rsidR="00E61632" w:rsidRPr="00A30707">
          <w:rPr>
            <w:rFonts w:eastAsiaTheme="minorEastAsia"/>
            <w:sz w:val="24"/>
            <w:szCs w:val="24"/>
          </w:rPr>
          <w:tab/>
        </w:r>
        <w:r w:rsidR="00E61632" w:rsidRPr="00A30707">
          <w:rPr>
            <w:rStyle w:val="Hyperlink"/>
          </w:rPr>
          <w:t>Delays in the CPR COPS upgrade project has ongoing impact on</w:t>
        </w:r>
        <w:r w:rsidR="0003777C" w:rsidRPr="00A30707">
          <w:rPr>
            <w:rStyle w:val="Hyperlink"/>
          </w:rPr>
          <w:t> </w:t>
        </w:r>
        <w:r w:rsidR="00E61632" w:rsidRPr="00A30707">
          <w:rPr>
            <w:rStyle w:val="Hyperlink"/>
          </w:rPr>
          <w:t>accuracy</w:t>
        </w:r>
        <w:r w:rsidR="0003777C" w:rsidRPr="00A30707">
          <w:rPr>
            <w:rStyle w:val="Hyperlink"/>
          </w:rPr>
          <w:t> </w:t>
        </w:r>
        <w:r w:rsidR="00E61632" w:rsidRPr="00A30707">
          <w:rPr>
            <w:rStyle w:val="Hyperlink"/>
          </w:rPr>
          <w:t>of</w:t>
        </w:r>
        <w:r w:rsidR="0003777C" w:rsidRPr="00A30707">
          <w:rPr>
            <w:rStyle w:val="Hyperlink"/>
          </w:rPr>
          <w:t> </w:t>
        </w:r>
        <w:r w:rsidR="00E61632" w:rsidRPr="00A30707">
          <w:rPr>
            <w:rStyle w:val="Hyperlink"/>
          </w:rPr>
          <w:t>the Register</w:t>
        </w:r>
        <w:r w:rsidR="00E61632" w:rsidRPr="00A30707">
          <w:rPr>
            <w:webHidden/>
          </w:rPr>
          <w:tab/>
        </w:r>
        <w:r w:rsidR="00E61632" w:rsidRPr="00A30707">
          <w:rPr>
            <w:webHidden/>
          </w:rPr>
          <w:fldChar w:fldCharType="begin"/>
        </w:r>
        <w:r w:rsidR="00E61632" w:rsidRPr="00A30707">
          <w:rPr>
            <w:webHidden/>
          </w:rPr>
          <w:instrText xml:space="preserve"> PAGEREF _Toc22627832 \h </w:instrText>
        </w:r>
        <w:r w:rsidR="00E61632" w:rsidRPr="00A30707">
          <w:rPr>
            <w:webHidden/>
          </w:rPr>
        </w:r>
        <w:r w:rsidR="00E61632" w:rsidRPr="00A30707">
          <w:rPr>
            <w:webHidden/>
          </w:rPr>
          <w:fldChar w:fldCharType="separate"/>
        </w:r>
        <w:r w:rsidR="00022664">
          <w:rPr>
            <w:webHidden/>
          </w:rPr>
          <w:t>155</w:t>
        </w:r>
        <w:r w:rsidR="00E61632" w:rsidRPr="00A30707">
          <w:rPr>
            <w:webHidden/>
          </w:rPr>
          <w:fldChar w:fldCharType="end"/>
        </w:r>
      </w:hyperlink>
    </w:p>
    <w:p w14:paraId="3311443E" w14:textId="3430E6E0" w:rsidR="00E61632" w:rsidRPr="00A30707" w:rsidRDefault="002E5535">
      <w:pPr>
        <w:pStyle w:val="TOC2"/>
        <w:rPr>
          <w:rFonts w:eastAsiaTheme="minorEastAsia"/>
          <w:sz w:val="24"/>
          <w:szCs w:val="24"/>
        </w:rPr>
      </w:pPr>
      <w:hyperlink w:anchor="_Toc22627833" w:history="1">
        <w:r w:rsidR="00E61632" w:rsidRPr="00A30707">
          <w:rPr>
            <w:rStyle w:val="Hyperlink"/>
          </w:rPr>
          <w:t>8.7</w:t>
        </w:r>
        <w:r w:rsidR="00E61632" w:rsidRPr="00A30707">
          <w:rPr>
            <w:rFonts w:eastAsiaTheme="minorEastAsia"/>
            <w:sz w:val="24"/>
            <w:szCs w:val="24"/>
          </w:rPr>
          <w:tab/>
        </w:r>
        <w:r w:rsidR="00E61632" w:rsidRPr="00A30707">
          <w:rPr>
            <w:rStyle w:val="Hyperlink"/>
          </w:rPr>
          <w:t>CPR COPS does not notify Registry when a registrable person has</w:t>
        </w:r>
        <w:r w:rsidR="0003777C" w:rsidRPr="00A30707">
          <w:rPr>
            <w:rStyle w:val="Hyperlink"/>
          </w:rPr>
          <w:t> </w:t>
        </w:r>
        <w:r w:rsidR="00E61632" w:rsidRPr="00A30707">
          <w:rPr>
            <w:rStyle w:val="Hyperlink"/>
          </w:rPr>
          <w:t>been</w:t>
        </w:r>
        <w:r w:rsidR="0003777C" w:rsidRPr="00A30707">
          <w:rPr>
            <w:rStyle w:val="Hyperlink"/>
          </w:rPr>
          <w:t> </w:t>
        </w:r>
        <w:r w:rsidR="00E61632" w:rsidRPr="00A30707">
          <w:rPr>
            <w:rStyle w:val="Hyperlink"/>
          </w:rPr>
          <w:t>sentenced</w:t>
        </w:r>
        <w:r w:rsidR="00E61632" w:rsidRPr="00A30707">
          <w:rPr>
            <w:webHidden/>
          </w:rPr>
          <w:tab/>
        </w:r>
        <w:r w:rsidR="00E61632" w:rsidRPr="00A30707">
          <w:rPr>
            <w:webHidden/>
          </w:rPr>
          <w:fldChar w:fldCharType="begin"/>
        </w:r>
        <w:r w:rsidR="00E61632" w:rsidRPr="00A30707">
          <w:rPr>
            <w:webHidden/>
          </w:rPr>
          <w:instrText xml:space="preserve"> PAGEREF _Toc22627833 \h </w:instrText>
        </w:r>
        <w:r w:rsidR="00E61632" w:rsidRPr="00A30707">
          <w:rPr>
            <w:webHidden/>
          </w:rPr>
        </w:r>
        <w:r w:rsidR="00E61632" w:rsidRPr="00A30707">
          <w:rPr>
            <w:webHidden/>
          </w:rPr>
          <w:fldChar w:fldCharType="separate"/>
        </w:r>
        <w:r w:rsidR="00022664">
          <w:rPr>
            <w:webHidden/>
          </w:rPr>
          <w:t>157</w:t>
        </w:r>
        <w:r w:rsidR="00E61632" w:rsidRPr="00A30707">
          <w:rPr>
            <w:webHidden/>
          </w:rPr>
          <w:fldChar w:fldCharType="end"/>
        </w:r>
      </w:hyperlink>
    </w:p>
    <w:p w14:paraId="3873CEC6" w14:textId="08CAD569" w:rsidR="00E61632" w:rsidRPr="00A30707" w:rsidRDefault="002E5535">
      <w:pPr>
        <w:pStyle w:val="TOC1"/>
        <w:rPr>
          <w:rFonts w:eastAsiaTheme="minorEastAsia"/>
          <w:caps w:val="0"/>
          <w:color w:val="auto"/>
          <w:sz w:val="24"/>
          <w:szCs w:val="24"/>
        </w:rPr>
      </w:pPr>
      <w:hyperlink w:anchor="_Toc22627834" w:history="1">
        <w:r w:rsidR="00E61632" w:rsidRPr="00A30707">
          <w:rPr>
            <w:rStyle w:val="Hyperlink"/>
            <w:rFonts w:ascii="Gotham Bold" w:hAnsi="Gotham Bold" w:cs="Gotham Book"/>
            <w:b/>
          </w:rPr>
          <w:t>9.</w:t>
        </w:r>
        <w:r w:rsidR="00E61632" w:rsidRPr="00A30707">
          <w:rPr>
            <w:rFonts w:eastAsiaTheme="minorEastAsia"/>
            <w:caps w:val="0"/>
            <w:color w:val="auto"/>
            <w:sz w:val="24"/>
            <w:szCs w:val="24"/>
          </w:rPr>
          <w:tab/>
        </w:r>
        <w:r w:rsidR="00E61632" w:rsidRPr="00A30707">
          <w:rPr>
            <w:rStyle w:val="Hyperlink"/>
          </w:rPr>
          <w:t>Improving governance, quality assurance and accountability</w:t>
        </w:r>
        <w:r w:rsidR="0003777C" w:rsidRPr="00A30707">
          <w:rPr>
            <w:rStyle w:val="Hyperlink"/>
          </w:rPr>
          <w:t> </w:t>
        </w:r>
        <w:r w:rsidR="00E61632" w:rsidRPr="00A30707">
          <w:rPr>
            <w:rStyle w:val="Hyperlink"/>
          </w:rPr>
          <w:t>in</w:t>
        </w:r>
        <w:r w:rsidR="0003777C" w:rsidRPr="00A30707">
          <w:rPr>
            <w:rStyle w:val="Hyperlink"/>
          </w:rPr>
          <w:t> </w:t>
        </w:r>
        <w:r w:rsidR="00E61632" w:rsidRPr="00A30707">
          <w:rPr>
            <w:rStyle w:val="Hyperlink"/>
          </w:rPr>
          <w:t>relation to the Register</w:t>
        </w:r>
        <w:r w:rsidR="00E61632" w:rsidRPr="00A30707">
          <w:rPr>
            <w:webHidden/>
          </w:rPr>
          <w:tab/>
        </w:r>
        <w:r w:rsidR="00E61632" w:rsidRPr="00A30707">
          <w:rPr>
            <w:webHidden/>
          </w:rPr>
          <w:fldChar w:fldCharType="begin"/>
        </w:r>
        <w:r w:rsidR="00E61632" w:rsidRPr="00A30707">
          <w:rPr>
            <w:webHidden/>
          </w:rPr>
          <w:instrText xml:space="preserve"> PAGEREF _Toc22627834 \h </w:instrText>
        </w:r>
        <w:r w:rsidR="00E61632" w:rsidRPr="00A30707">
          <w:rPr>
            <w:webHidden/>
          </w:rPr>
        </w:r>
        <w:r w:rsidR="00E61632" w:rsidRPr="00A30707">
          <w:rPr>
            <w:webHidden/>
          </w:rPr>
          <w:fldChar w:fldCharType="separate"/>
        </w:r>
        <w:r w:rsidR="00022664">
          <w:rPr>
            <w:webHidden/>
          </w:rPr>
          <w:t>160</w:t>
        </w:r>
        <w:r w:rsidR="00E61632" w:rsidRPr="00A30707">
          <w:rPr>
            <w:webHidden/>
          </w:rPr>
          <w:fldChar w:fldCharType="end"/>
        </w:r>
      </w:hyperlink>
    </w:p>
    <w:p w14:paraId="4DD04A03" w14:textId="4140F53B" w:rsidR="00E61632" w:rsidRPr="00A30707" w:rsidRDefault="002E5535">
      <w:pPr>
        <w:pStyle w:val="TOC2"/>
        <w:rPr>
          <w:rFonts w:eastAsiaTheme="minorEastAsia"/>
          <w:sz w:val="24"/>
          <w:szCs w:val="24"/>
        </w:rPr>
      </w:pPr>
      <w:hyperlink w:anchor="_Toc22627835" w:history="1">
        <w:r w:rsidR="00E61632" w:rsidRPr="00A30707">
          <w:rPr>
            <w:rStyle w:val="Hyperlink"/>
          </w:rPr>
          <w:t>9.1</w:t>
        </w:r>
        <w:r w:rsidR="00E61632" w:rsidRPr="00A30707">
          <w:rPr>
            <w:rFonts w:eastAsiaTheme="minorEastAsia"/>
            <w:sz w:val="24"/>
            <w:szCs w:val="24"/>
          </w:rPr>
          <w:tab/>
        </w:r>
        <w:r w:rsidR="00E61632" w:rsidRPr="00A30707">
          <w:rPr>
            <w:rStyle w:val="Hyperlink"/>
          </w:rPr>
          <w:t>Introduction</w:t>
        </w:r>
        <w:r w:rsidR="00E61632" w:rsidRPr="00A30707">
          <w:rPr>
            <w:webHidden/>
          </w:rPr>
          <w:tab/>
        </w:r>
        <w:r w:rsidR="00E61632" w:rsidRPr="00A30707">
          <w:rPr>
            <w:webHidden/>
          </w:rPr>
          <w:fldChar w:fldCharType="begin"/>
        </w:r>
        <w:r w:rsidR="00E61632" w:rsidRPr="00A30707">
          <w:rPr>
            <w:webHidden/>
          </w:rPr>
          <w:instrText xml:space="preserve"> PAGEREF _Toc22627835 \h </w:instrText>
        </w:r>
        <w:r w:rsidR="00E61632" w:rsidRPr="00A30707">
          <w:rPr>
            <w:webHidden/>
          </w:rPr>
        </w:r>
        <w:r w:rsidR="00E61632" w:rsidRPr="00A30707">
          <w:rPr>
            <w:webHidden/>
          </w:rPr>
          <w:fldChar w:fldCharType="separate"/>
        </w:r>
        <w:r w:rsidR="00022664">
          <w:rPr>
            <w:webHidden/>
          </w:rPr>
          <w:t>161</w:t>
        </w:r>
        <w:r w:rsidR="00E61632" w:rsidRPr="00A30707">
          <w:rPr>
            <w:webHidden/>
          </w:rPr>
          <w:fldChar w:fldCharType="end"/>
        </w:r>
      </w:hyperlink>
    </w:p>
    <w:p w14:paraId="4AB424E3" w14:textId="27818932" w:rsidR="00E61632" w:rsidRPr="00A30707" w:rsidRDefault="002E5535">
      <w:pPr>
        <w:pStyle w:val="TOC2"/>
        <w:rPr>
          <w:rFonts w:eastAsiaTheme="minorEastAsia"/>
          <w:sz w:val="24"/>
          <w:szCs w:val="24"/>
        </w:rPr>
      </w:pPr>
      <w:hyperlink w:anchor="_Toc22627836" w:history="1">
        <w:r w:rsidR="00E61632" w:rsidRPr="00A30707">
          <w:rPr>
            <w:rStyle w:val="Hyperlink"/>
          </w:rPr>
          <w:t>9.2</w:t>
        </w:r>
        <w:r w:rsidR="00E61632" w:rsidRPr="00A30707">
          <w:rPr>
            <w:rFonts w:eastAsiaTheme="minorEastAsia"/>
            <w:sz w:val="24"/>
            <w:szCs w:val="24"/>
          </w:rPr>
          <w:tab/>
        </w:r>
        <w:r w:rsidR="00E61632" w:rsidRPr="00A30707">
          <w:rPr>
            <w:rStyle w:val="Hyperlink"/>
          </w:rPr>
          <w:t>Interagency governance framework to ensure compliance with the</w:t>
        </w:r>
        <w:r w:rsidR="0003777C" w:rsidRPr="00A30707">
          <w:rPr>
            <w:rStyle w:val="Hyperlink"/>
          </w:rPr>
          <w:t> </w:t>
        </w:r>
        <w:r w:rsidR="00E61632" w:rsidRPr="00A30707">
          <w:rPr>
            <w:rStyle w:val="Hyperlink"/>
          </w:rPr>
          <w:t>statutory</w:t>
        </w:r>
        <w:r w:rsidR="0003777C" w:rsidRPr="00A30707">
          <w:rPr>
            <w:rStyle w:val="Hyperlink"/>
          </w:rPr>
          <w:t> </w:t>
        </w:r>
        <w:r w:rsidR="00E61632" w:rsidRPr="00A30707">
          <w:rPr>
            <w:rStyle w:val="Hyperlink"/>
          </w:rPr>
          <w:t>framework</w:t>
        </w:r>
        <w:r w:rsidR="00E61632" w:rsidRPr="00A30707">
          <w:rPr>
            <w:webHidden/>
          </w:rPr>
          <w:tab/>
        </w:r>
        <w:r w:rsidR="00E61632" w:rsidRPr="00A30707">
          <w:rPr>
            <w:webHidden/>
          </w:rPr>
          <w:fldChar w:fldCharType="begin"/>
        </w:r>
        <w:r w:rsidR="00E61632" w:rsidRPr="00A30707">
          <w:rPr>
            <w:webHidden/>
          </w:rPr>
          <w:instrText xml:space="preserve"> PAGEREF _Toc22627836 \h </w:instrText>
        </w:r>
        <w:r w:rsidR="00E61632" w:rsidRPr="00A30707">
          <w:rPr>
            <w:webHidden/>
          </w:rPr>
        </w:r>
        <w:r w:rsidR="00E61632" w:rsidRPr="00A30707">
          <w:rPr>
            <w:webHidden/>
          </w:rPr>
          <w:fldChar w:fldCharType="separate"/>
        </w:r>
        <w:r w:rsidR="00022664">
          <w:rPr>
            <w:webHidden/>
          </w:rPr>
          <w:t>162</w:t>
        </w:r>
        <w:r w:rsidR="00E61632" w:rsidRPr="00A30707">
          <w:rPr>
            <w:webHidden/>
          </w:rPr>
          <w:fldChar w:fldCharType="end"/>
        </w:r>
      </w:hyperlink>
    </w:p>
    <w:p w14:paraId="7BF80376" w14:textId="5312CFC7" w:rsidR="00E61632" w:rsidRPr="00A30707" w:rsidRDefault="002E5535">
      <w:pPr>
        <w:pStyle w:val="TOC2"/>
        <w:rPr>
          <w:rFonts w:eastAsiaTheme="minorEastAsia"/>
          <w:sz w:val="24"/>
          <w:szCs w:val="24"/>
        </w:rPr>
      </w:pPr>
      <w:hyperlink w:anchor="_Toc22627837" w:history="1">
        <w:r w:rsidR="00E61632" w:rsidRPr="00A30707">
          <w:rPr>
            <w:rStyle w:val="Hyperlink"/>
          </w:rPr>
          <w:t>9.3</w:t>
        </w:r>
        <w:r w:rsidR="00E61632" w:rsidRPr="00A30707">
          <w:rPr>
            <w:rFonts w:eastAsiaTheme="minorEastAsia"/>
            <w:sz w:val="24"/>
            <w:szCs w:val="24"/>
          </w:rPr>
          <w:tab/>
        </w:r>
        <w:r w:rsidR="00E61632" w:rsidRPr="00A30707">
          <w:rPr>
            <w:rStyle w:val="Hyperlink"/>
          </w:rPr>
          <w:t>Internal NSW Police Force governance framework to ensure compliance</w:t>
        </w:r>
        <w:r w:rsidR="0003777C" w:rsidRPr="00A30707">
          <w:rPr>
            <w:rStyle w:val="Hyperlink"/>
          </w:rPr>
          <w:t> </w:t>
        </w:r>
        <w:r w:rsidR="00E61632" w:rsidRPr="00A30707">
          <w:rPr>
            <w:rStyle w:val="Hyperlink"/>
          </w:rPr>
          <w:t>with</w:t>
        </w:r>
        <w:r w:rsidR="0003777C" w:rsidRPr="00A30707">
          <w:rPr>
            <w:rStyle w:val="Hyperlink"/>
          </w:rPr>
          <w:t> </w:t>
        </w:r>
        <w:r w:rsidR="00E61632" w:rsidRPr="00A30707">
          <w:rPr>
            <w:rStyle w:val="Hyperlink"/>
          </w:rPr>
          <w:t>the statutory framework</w:t>
        </w:r>
        <w:r w:rsidR="00E61632" w:rsidRPr="00A30707">
          <w:rPr>
            <w:webHidden/>
          </w:rPr>
          <w:tab/>
        </w:r>
        <w:r w:rsidR="00E61632" w:rsidRPr="00A30707">
          <w:rPr>
            <w:webHidden/>
          </w:rPr>
          <w:fldChar w:fldCharType="begin"/>
        </w:r>
        <w:r w:rsidR="00E61632" w:rsidRPr="00A30707">
          <w:rPr>
            <w:webHidden/>
          </w:rPr>
          <w:instrText xml:space="preserve"> PAGEREF _Toc22627837 \h </w:instrText>
        </w:r>
        <w:r w:rsidR="00E61632" w:rsidRPr="00A30707">
          <w:rPr>
            <w:webHidden/>
          </w:rPr>
        </w:r>
        <w:r w:rsidR="00E61632" w:rsidRPr="00A30707">
          <w:rPr>
            <w:webHidden/>
          </w:rPr>
          <w:fldChar w:fldCharType="separate"/>
        </w:r>
        <w:r w:rsidR="00022664">
          <w:rPr>
            <w:webHidden/>
          </w:rPr>
          <w:t>163</w:t>
        </w:r>
        <w:r w:rsidR="00E61632" w:rsidRPr="00A30707">
          <w:rPr>
            <w:webHidden/>
          </w:rPr>
          <w:fldChar w:fldCharType="end"/>
        </w:r>
      </w:hyperlink>
    </w:p>
    <w:p w14:paraId="74A9AE64" w14:textId="5E0ADD81" w:rsidR="00E61632" w:rsidRPr="00A30707" w:rsidRDefault="002E5535">
      <w:pPr>
        <w:pStyle w:val="TOC3"/>
        <w:rPr>
          <w:rFonts w:eastAsiaTheme="minorEastAsia"/>
          <w:noProof/>
          <w:sz w:val="24"/>
          <w:szCs w:val="24"/>
        </w:rPr>
      </w:pPr>
      <w:hyperlink w:anchor="_Toc22627838" w:history="1">
        <w:r w:rsidR="00E61632" w:rsidRPr="00A30707">
          <w:rPr>
            <w:rStyle w:val="Hyperlink"/>
            <w:noProof/>
          </w:rPr>
          <w:t>9.3.1</w:t>
        </w:r>
        <w:r w:rsidR="00E61632" w:rsidRPr="00A30707">
          <w:rPr>
            <w:rFonts w:eastAsiaTheme="minorEastAsia"/>
            <w:noProof/>
            <w:sz w:val="24"/>
            <w:szCs w:val="24"/>
          </w:rPr>
          <w:tab/>
        </w:r>
        <w:r w:rsidR="00E61632" w:rsidRPr="00A30707">
          <w:rPr>
            <w:rStyle w:val="Hyperlink"/>
            <w:noProof/>
          </w:rPr>
          <w:t>Lack of consistency across New South Wales</w:t>
        </w:r>
        <w:r w:rsidR="00E61632" w:rsidRPr="00A30707">
          <w:rPr>
            <w:noProof/>
            <w:webHidden/>
          </w:rPr>
          <w:tab/>
        </w:r>
        <w:r w:rsidR="00E61632" w:rsidRPr="00A30707">
          <w:rPr>
            <w:noProof/>
            <w:webHidden/>
          </w:rPr>
          <w:fldChar w:fldCharType="begin"/>
        </w:r>
        <w:r w:rsidR="00E61632" w:rsidRPr="00A30707">
          <w:rPr>
            <w:noProof/>
            <w:webHidden/>
          </w:rPr>
          <w:instrText xml:space="preserve"> PAGEREF _Toc22627838 \h </w:instrText>
        </w:r>
        <w:r w:rsidR="00E61632" w:rsidRPr="00A30707">
          <w:rPr>
            <w:noProof/>
            <w:webHidden/>
          </w:rPr>
        </w:r>
        <w:r w:rsidR="00E61632" w:rsidRPr="00A30707">
          <w:rPr>
            <w:noProof/>
            <w:webHidden/>
          </w:rPr>
          <w:fldChar w:fldCharType="separate"/>
        </w:r>
        <w:r w:rsidR="00022664">
          <w:rPr>
            <w:noProof/>
            <w:webHidden/>
          </w:rPr>
          <w:t>164</w:t>
        </w:r>
        <w:r w:rsidR="00E61632" w:rsidRPr="00A30707">
          <w:rPr>
            <w:noProof/>
            <w:webHidden/>
          </w:rPr>
          <w:fldChar w:fldCharType="end"/>
        </w:r>
      </w:hyperlink>
    </w:p>
    <w:p w14:paraId="2C941B28" w14:textId="7BECBF98" w:rsidR="00E61632" w:rsidRPr="00A30707" w:rsidRDefault="002E5535">
      <w:pPr>
        <w:pStyle w:val="TOC3"/>
        <w:rPr>
          <w:rFonts w:eastAsiaTheme="minorEastAsia"/>
          <w:noProof/>
          <w:sz w:val="24"/>
          <w:szCs w:val="24"/>
        </w:rPr>
      </w:pPr>
      <w:hyperlink w:anchor="_Toc22627839" w:history="1">
        <w:r w:rsidR="00E61632" w:rsidRPr="00A30707">
          <w:rPr>
            <w:rStyle w:val="Hyperlink"/>
            <w:rFonts w:eastAsia="Source Sans Pro Light"/>
            <w:noProof/>
            <w:lang w:val="en"/>
          </w:rPr>
          <w:t>9.3.2</w:t>
        </w:r>
        <w:r w:rsidR="00E61632" w:rsidRPr="00A30707">
          <w:rPr>
            <w:rFonts w:eastAsiaTheme="minorEastAsia"/>
            <w:noProof/>
            <w:sz w:val="24"/>
            <w:szCs w:val="24"/>
          </w:rPr>
          <w:tab/>
        </w:r>
        <w:r w:rsidR="00E61632" w:rsidRPr="00A30707">
          <w:rPr>
            <w:rStyle w:val="Hyperlink"/>
            <w:rFonts w:cs="Arial"/>
            <w:noProof/>
          </w:rPr>
          <w:t xml:space="preserve">The need to improve </w:t>
        </w:r>
        <w:r w:rsidR="00E61632" w:rsidRPr="00A30707">
          <w:rPr>
            <w:rStyle w:val="Hyperlink"/>
            <w:rFonts w:eastAsia="Source Sans Pro Light"/>
            <w:noProof/>
            <w:lang w:val="en"/>
          </w:rPr>
          <w:t>the accountability and support of local</w:t>
        </w:r>
        <w:r w:rsidR="0003777C" w:rsidRPr="00A30707">
          <w:rPr>
            <w:rStyle w:val="Hyperlink"/>
            <w:rFonts w:eastAsia="Source Sans Pro Light"/>
            <w:noProof/>
            <w:lang w:val="en"/>
          </w:rPr>
          <w:t> </w:t>
        </w:r>
        <w:r w:rsidR="00E61632" w:rsidRPr="00A30707">
          <w:rPr>
            <w:rStyle w:val="Hyperlink"/>
            <w:rFonts w:eastAsia="Source Sans Pro Light"/>
            <w:noProof/>
            <w:lang w:val="en"/>
          </w:rPr>
          <w:t>commands</w:t>
        </w:r>
        <w:r w:rsidR="00E61632" w:rsidRPr="00A30707">
          <w:rPr>
            <w:noProof/>
            <w:webHidden/>
          </w:rPr>
          <w:tab/>
        </w:r>
        <w:r w:rsidR="00E61632" w:rsidRPr="00A30707">
          <w:rPr>
            <w:noProof/>
            <w:webHidden/>
          </w:rPr>
          <w:fldChar w:fldCharType="begin"/>
        </w:r>
        <w:r w:rsidR="00E61632" w:rsidRPr="00A30707">
          <w:rPr>
            <w:noProof/>
            <w:webHidden/>
          </w:rPr>
          <w:instrText xml:space="preserve"> PAGEREF _Toc22627839 \h </w:instrText>
        </w:r>
        <w:r w:rsidR="00E61632" w:rsidRPr="00A30707">
          <w:rPr>
            <w:noProof/>
            <w:webHidden/>
          </w:rPr>
        </w:r>
        <w:r w:rsidR="00E61632" w:rsidRPr="00A30707">
          <w:rPr>
            <w:noProof/>
            <w:webHidden/>
          </w:rPr>
          <w:fldChar w:fldCharType="separate"/>
        </w:r>
        <w:r w:rsidR="00022664">
          <w:rPr>
            <w:noProof/>
            <w:webHidden/>
          </w:rPr>
          <w:t>164</w:t>
        </w:r>
        <w:r w:rsidR="00E61632" w:rsidRPr="00A30707">
          <w:rPr>
            <w:noProof/>
            <w:webHidden/>
          </w:rPr>
          <w:fldChar w:fldCharType="end"/>
        </w:r>
      </w:hyperlink>
    </w:p>
    <w:p w14:paraId="48E28581" w14:textId="5B57DC54" w:rsidR="00E61632" w:rsidRPr="00A30707" w:rsidRDefault="002E5535">
      <w:pPr>
        <w:pStyle w:val="TOC2"/>
        <w:rPr>
          <w:rFonts w:eastAsiaTheme="minorEastAsia"/>
          <w:sz w:val="24"/>
          <w:szCs w:val="24"/>
        </w:rPr>
      </w:pPr>
      <w:hyperlink w:anchor="_Toc22627840" w:history="1">
        <w:r w:rsidR="00E61632" w:rsidRPr="00A30707">
          <w:rPr>
            <w:rStyle w:val="Hyperlink"/>
          </w:rPr>
          <w:t>9.4</w:t>
        </w:r>
        <w:r w:rsidR="00E61632" w:rsidRPr="00A30707">
          <w:rPr>
            <w:rFonts w:eastAsiaTheme="minorEastAsia"/>
            <w:sz w:val="24"/>
            <w:szCs w:val="24"/>
          </w:rPr>
          <w:tab/>
        </w:r>
        <w:r w:rsidR="005F1AAA" w:rsidRPr="00A30707">
          <w:rPr>
            <w:rStyle w:val="Hyperlink"/>
          </w:rPr>
          <w:t>I</w:t>
        </w:r>
        <w:r w:rsidR="00E61632" w:rsidRPr="00A30707">
          <w:rPr>
            <w:rStyle w:val="Hyperlink"/>
          </w:rPr>
          <w:t>ndependent monitoring of compliance</w:t>
        </w:r>
        <w:r w:rsidR="00E61632" w:rsidRPr="00A30707">
          <w:rPr>
            <w:webHidden/>
          </w:rPr>
          <w:tab/>
        </w:r>
        <w:r w:rsidR="00E61632" w:rsidRPr="00A30707">
          <w:rPr>
            <w:webHidden/>
          </w:rPr>
          <w:fldChar w:fldCharType="begin"/>
        </w:r>
        <w:r w:rsidR="00E61632" w:rsidRPr="00A30707">
          <w:rPr>
            <w:webHidden/>
          </w:rPr>
          <w:instrText xml:space="preserve"> PAGEREF _Toc22627840 \h </w:instrText>
        </w:r>
        <w:r w:rsidR="00E61632" w:rsidRPr="00A30707">
          <w:rPr>
            <w:webHidden/>
          </w:rPr>
        </w:r>
        <w:r w:rsidR="00E61632" w:rsidRPr="00A30707">
          <w:rPr>
            <w:webHidden/>
          </w:rPr>
          <w:fldChar w:fldCharType="separate"/>
        </w:r>
        <w:r w:rsidR="00022664">
          <w:rPr>
            <w:webHidden/>
          </w:rPr>
          <w:t>167</w:t>
        </w:r>
        <w:r w:rsidR="00E61632" w:rsidRPr="00A30707">
          <w:rPr>
            <w:webHidden/>
          </w:rPr>
          <w:fldChar w:fldCharType="end"/>
        </w:r>
      </w:hyperlink>
    </w:p>
    <w:p w14:paraId="352873A4" w14:textId="74AA71DB" w:rsidR="00E61632" w:rsidRPr="00A30707" w:rsidRDefault="002E5535">
      <w:pPr>
        <w:pStyle w:val="TOC3"/>
        <w:rPr>
          <w:rFonts w:eastAsiaTheme="minorEastAsia"/>
          <w:noProof/>
          <w:sz w:val="24"/>
          <w:szCs w:val="24"/>
        </w:rPr>
      </w:pPr>
      <w:hyperlink w:anchor="_Toc22627841" w:history="1">
        <w:r w:rsidR="00E61632" w:rsidRPr="00A30707">
          <w:rPr>
            <w:rStyle w:val="Hyperlink"/>
            <w:noProof/>
          </w:rPr>
          <w:t>9.4.1</w:t>
        </w:r>
        <w:r w:rsidR="00E61632" w:rsidRPr="00A30707">
          <w:rPr>
            <w:rFonts w:eastAsiaTheme="minorEastAsia"/>
            <w:noProof/>
            <w:sz w:val="24"/>
            <w:szCs w:val="24"/>
          </w:rPr>
          <w:tab/>
        </w:r>
        <w:r w:rsidR="00E61632" w:rsidRPr="00A30707">
          <w:rPr>
            <w:rStyle w:val="Hyperlink"/>
            <w:noProof/>
          </w:rPr>
          <w:t>The experience in Victoria</w:t>
        </w:r>
        <w:r w:rsidR="00E61632" w:rsidRPr="00A30707">
          <w:rPr>
            <w:noProof/>
            <w:webHidden/>
          </w:rPr>
          <w:tab/>
        </w:r>
        <w:r w:rsidR="00E61632" w:rsidRPr="00A30707">
          <w:rPr>
            <w:noProof/>
            <w:webHidden/>
          </w:rPr>
          <w:fldChar w:fldCharType="begin"/>
        </w:r>
        <w:r w:rsidR="00E61632" w:rsidRPr="00A30707">
          <w:rPr>
            <w:noProof/>
            <w:webHidden/>
          </w:rPr>
          <w:instrText xml:space="preserve"> PAGEREF _Toc22627841 \h </w:instrText>
        </w:r>
        <w:r w:rsidR="00E61632" w:rsidRPr="00A30707">
          <w:rPr>
            <w:noProof/>
            <w:webHidden/>
          </w:rPr>
        </w:r>
        <w:r w:rsidR="00E61632" w:rsidRPr="00A30707">
          <w:rPr>
            <w:noProof/>
            <w:webHidden/>
          </w:rPr>
          <w:fldChar w:fldCharType="separate"/>
        </w:r>
        <w:r w:rsidR="00022664">
          <w:rPr>
            <w:noProof/>
            <w:webHidden/>
          </w:rPr>
          <w:t>167</w:t>
        </w:r>
        <w:r w:rsidR="00E61632" w:rsidRPr="00A30707">
          <w:rPr>
            <w:noProof/>
            <w:webHidden/>
          </w:rPr>
          <w:fldChar w:fldCharType="end"/>
        </w:r>
      </w:hyperlink>
    </w:p>
    <w:p w14:paraId="6BE922E2" w14:textId="03FB28B3" w:rsidR="00E61632" w:rsidRPr="00A30707" w:rsidRDefault="002E5535">
      <w:pPr>
        <w:pStyle w:val="TOC3"/>
        <w:rPr>
          <w:rFonts w:eastAsiaTheme="minorEastAsia"/>
          <w:noProof/>
          <w:sz w:val="24"/>
          <w:szCs w:val="24"/>
        </w:rPr>
      </w:pPr>
      <w:hyperlink w:anchor="_Toc22627842" w:history="1">
        <w:r w:rsidR="00E61632" w:rsidRPr="00A30707">
          <w:rPr>
            <w:rStyle w:val="Hyperlink"/>
            <w:noProof/>
          </w:rPr>
          <w:t>9.4.2</w:t>
        </w:r>
        <w:r w:rsidR="00E61632" w:rsidRPr="00A30707">
          <w:rPr>
            <w:rFonts w:eastAsiaTheme="minorEastAsia"/>
            <w:noProof/>
            <w:sz w:val="24"/>
            <w:szCs w:val="24"/>
          </w:rPr>
          <w:tab/>
        </w:r>
        <w:r w:rsidR="00E61632" w:rsidRPr="00A30707">
          <w:rPr>
            <w:rStyle w:val="Hyperlink"/>
            <w:noProof/>
          </w:rPr>
          <w:t>Previous reviews in New South Wales</w:t>
        </w:r>
        <w:r w:rsidR="00E61632" w:rsidRPr="00A30707">
          <w:rPr>
            <w:noProof/>
            <w:webHidden/>
          </w:rPr>
          <w:tab/>
        </w:r>
        <w:r w:rsidR="00E61632" w:rsidRPr="00A30707">
          <w:rPr>
            <w:noProof/>
            <w:webHidden/>
          </w:rPr>
          <w:fldChar w:fldCharType="begin"/>
        </w:r>
        <w:r w:rsidR="00E61632" w:rsidRPr="00A30707">
          <w:rPr>
            <w:noProof/>
            <w:webHidden/>
          </w:rPr>
          <w:instrText xml:space="preserve"> PAGEREF _Toc22627842 \h </w:instrText>
        </w:r>
        <w:r w:rsidR="00E61632" w:rsidRPr="00A30707">
          <w:rPr>
            <w:noProof/>
            <w:webHidden/>
          </w:rPr>
        </w:r>
        <w:r w:rsidR="00E61632" w:rsidRPr="00A30707">
          <w:rPr>
            <w:noProof/>
            <w:webHidden/>
          </w:rPr>
          <w:fldChar w:fldCharType="separate"/>
        </w:r>
        <w:r w:rsidR="00022664">
          <w:rPr>
            <w:noProof/>
            <w:webHidden/>
          </w:rPr>
          <w:t>168</w:t>
        </w:r>
        <w:r w:rsidR="00E61632" w:rsidRPr="00A30707">
          <w:rPr>
            <w:noProof/>
            <w:webHidden/>
          </w:rPr>
          <w:fldChar w:fldCharType="end"/>
        </w:r>
      </w:hyperlink>
    </w:p>
    <w:p w14:paraId="69EC1CCE" w14:textId="3B8A577E" w:rsidR="00E61632" w:rsidRPr="00A30707" w:rsidRDefault="002E5535">
      <w:pPr>
        <w:pStyle w:val="TOC3"/>
        <w:rPr>
          <w:rFonts w:eastAsiaTheme="minorEastAsia"/>
          <w:noProof/>
          <w:sz w:val="24"/>
          <w:szCs w:val="24"/>
        </w:rPr>
      </w:pPr>
      <w:hyperlink w:anchor="_Toc22627843" w:history="1">
        <w:r w:rsidR="00E61632" w:rsidRPr="00A30707">
          <w:rPr>
            <w:rStyle w:val="Hyperlink"/>
            <w:noProof/>
          </w:rPr>
          <w:t>9.4.3</w:t>
        </w:r>
        <w:r w:rsidR="00E61632" w:rsidRPr="00A30707">
          <w:rPr>
            <w:rFonts w:eastAsiaTheme="minorEastAsia"/>
            <w:noProof/>
            <w:sz w:val="24"/>
            <w:szCs w:val="24"/>
          </w:rPr>
          <w:tab/>
        </w:r>
        <w:r w:rsidR="00DD3999" w:rsidRPr="00A30707">
          <w:rPr>
            <w:rStyle w:val="Hyperlink"/>
            <w:noProof/>
          </w:rPr>
          <w:t xml:space="preserve">Recommendation for </w:t>
        </w:r>
        <w:r w:rsidR="00E61632" w:rsidRPr="00A30707">
          <w:rPr>
            <w:rStyle w:val="Hyperlink"/>
            <w:noProof/>
          </w:rPr>
          <w:t>independent audit</w:t>
        </w:r>
        <w:r w:rsidR="00C7068B" w:rsidRPr="00A30707">
          <w:rPr>
            <w:rStyle w:val="Hyperlink"/>
            <w:noProof/>
          </w:rPr>
          <w:t>s</w:t>
        </w:r>
        <w:r w:rsidR="00E61632" w:rsidRPr="00A30707">
          <w:rPr>
            <w:noProof/>
            <w:webHidden/>
          </w:rPr>
          <w:tab/>
        </w:r>
        <w:r w:rsidR="00E61632" w:rsidRPr="00A30707">
          <w:rPr>
            <w:noProof/>
            <w:webHidden/>
          </w:rPr>
          <w:fldChar w:fldCharType="begin"/>
        </w:r>
        <w:r w:rsidR="00E61632" w:rsidRPr="00A30707">
          <w:rPr>
            <w:noProof/>
            <w:webHidden/>
          </w:rPr>
          <w:instrText xml:space="preserve"> PAGEREF _Toc22627843 \h </w:instrText>
        </w:r>
        <w:r w:rsidR="00E61632" w:rsidRPr="00A30707">
          <w:rPr>
            <w:noProof/>
            <w:webHidden/>
          </w:rPr>
        </w:r>
        <w:r w:rsidR="00E61632" w:rsidRPr="00A30707">
          <w:rPr>
            <w:noProof/>
            <w:webHidden/>
          </w:rPr>
          <w:fldChar w:fldCharType="separate"/>
        </w:r>
        <w:r w:rsidR="00022664">
          <w:rPr>
            <w:noProof/>
            <w:webHidden/>
          </w:rPr>
          <w:t>169</w:t>
        </w:r>
        <w:r w:rsidR="00E61632" w:rsidRPr="00A30707">
          <w:rPr>
            <w:noProof/>
            <w:webHidden/>
          </w:rPr>
          <w:fldChar w:fldCharType="end"/>
        </w:r>
      </w:hyperlink>
    </w:p>
    <w:p w14:paraId="2219E979" w14:textId="751E8406" w:rsidR="00E61632" w:rsidRPr="00A30707" w:rsidRDefault="002E5535">
      <w:pPr>
        <w:pStyle w:val="TOC2"/>
        <w:rPr>
          <w:rFonts w:eastAsiaTheme="minorEastAsia"/>
          <w:sz w:val="24"/>
          <w:szCs w:val="24"/>
        </w:rPr>
      </w:pPr>
      <w:hyperlink w:anchor="_Toc22627844" w:history="1">
        <w:r w:rsidR="00E61632" w:rsidRPr="00A30707">
          <w:rPr>
            <w:rStyle w:val="Hyperlink"/>
          </w:rPr>
          <w:t>9.5</w:t>
        </w:r>
        <w:r w:rsidR="00E61632" w:rsidRPr="00A30707">
          <w:rPr>
            <w:rFonts w:eastAsiaTheme="minorEastAsia"/>
            <w:sz w:val="24"/>
            <w:szCs w:val="24"/>
          </w:rPr>
          <w:tab/>
        </w:r>
        <w:r w:rsidR="00E61632" w:rsidRPr="00A30707">
          <w:rPr>
            <w:rStyle w:val="Hyperlink"/>
          </w:rPr>
          <w:t>Monitoring of the NSW Police Force response to our findings and</w:t>
        </w:r>
        <w:r w:rsidR="0003777C" w:rsidRPr="00A30707">
          <w:rPr>
            <w:rStyle w:val="Hyperlink"/>
          </w:rPr>
          <w:t> </w:t>
        </w:r>
        <w:r w:rsidR="00E61632" w:rsidRPr="00A30707">
          <w:rPr>
            <w:rStyle w:val="Hyperlink"/>
          </w:rPr>
          <w:t>recommendations</w:t>
        </w:r>
        <w:r w:rsidR="00E61632" w:rsidRPr="00A30707">
          <w:rPr>
            <w:webHidden/>
          </w:rPr>
          <w:tab/>
        </w:r>
        <w:r w:rsidR="00E61632" w:rsidRPr="00A30707">
          <w:rPr>
            <w:webHidden/>
          </w:rPr>
          <w:fldChar w:fldCharType="begin"/>
        </w:r>
        <w:r w:rsidR="00E61632" w:rsidRPr="00A30707">
          <w:rPr>
            <w:webHidden/>
          </w:rPr>
          <w:instrText xml:space="preserve"> PAGEREF _Toc22627844 \h </w:instrText>
        </w:r>
        <w:r w:rsidR="00E61632" w:rsidRPr="00A30707">
          <w:rPr>
            <w:webHidden/>
          </w:rPr>
        </w:r>
        <w:r w:rsidR="00E61632" w:rsidRPr="00A30707">
          <w:rPr>
            <w:webHidden/>
          </w:rPr>
          <w:fldChar w:fldCharType="separate"/>
        </w:r>
        <w:r w:rsidR="00022664">
          <w:rPr>
            <w:webHidden/>
          </w:rPr>
          <w:t>170</w:t>
        </w:r>
        <w:r w:rsidR="00E61632" w:rsidRPr="00A30707">
          <w:rPr>
            <w:webHidden/>
          </w:rPr>
          <w:fldChar w:fldCharType="end"/>
        </w:r>
      </w:hyperlink>
    </w:p>
    <w:p w14:paraId="571E8A3E" w14:textId="78034FEE" w:rsidR="00E61632" w:rsidRPr="00A30707" w:rsidRDefault="002E5535" w:rsidP="0003777C">
      <w:pPr>
        <w:pStyle w:val="TOC1"/>
        <w:ind w:left="0" w:firstLine="0"/>
        <w:rPr>
          <w:rFonts w:eastAsiaTheme="minorEastAsia"/>
          <w:caps w:val="0"/>
          <w:color w:val="auto"/>
          <w:sz w:val="24"/>
          <w:szCs w:val="24"/>
        </w:rPr>
      </w:pPr>
      <w:hyperlink w:anchor="_Toc22627845" w:history="1">
        <w:r w:rsidR="00E61632" w:rsidRPr="00A30707">
          <w:rPr>
            <w:rStyle w:val="Hyperlink"/>
            <w:rFonts w:asciiTheme="majorHAnsi" w:hAnsiTheme="majorHAnsi"/>
            <w:b/>
            <w:bCs/>
          </w:rPr>
          <w:t>Appendix 1:</w:t>
        </w:r>
        <w:r w:rsidR="00E61632" w:rsidRPr="00A30707">
          <w:rPr>
            <w:rStyle w:val="Hyperlink"/>
          </w:rPr>
          <w:t xml:space="preserve">  Results of the NSW Police Force Child Protection Register case review</w:t>
        </w:r>
        <w:r w:rsidR="00E61632" w:rsidRPr="00A30707">
          <w:rPr>
            <w:webHidden/>
          </w:rPr>
          <w:tab/>
        </w:r>
        <w:r w:rsidR="00E61632" w:rsidRPr="00A30707">
          <w:rPr>
            <w:webHidden/>
          </w:rPr>
          <w:fldChar w:fldCharType="begin"/>
        </w:r>
        <w:r w:rsidR="00E61632" w:rsidRPr="00A30707">
          <w:rPr>
            <w:webHidden/>
          </w:rPr>
          <w:instrText xml:space="preserve"> PAGEREF _Toc22627845 \h </w:instrText>
        </w:r>
        <w:r w:rsidR="00E61632" w:rsidRPr="00A30707">
          <w:rPr>
            <w:webHidden/>
          </w:rPr>
        </w:r>
        <w:r w:rsidR="00E61632" w:rsidRPr="00A30707">
          <w:rPr>
            <w:webHidden/>
          </w:rPr>
          <w:fldChar w:fldCharType="separate"/>
        </w:r>
        <w:r w:rsidR="00022664">
          <w:rPr>
            <w:webHidden/>
          </w:rPr>
          <w:t>171</w:t>
        </w:r>
        <w:r w:rsidR="00E61632" w:rsidRPr="00A30707">
          <w:rPr>
            <w:webHidden/>
          </w:rPr>
          <w:fldChar w:fldCharType="end"/>
        </w:r>
      </w:hyperlink>
    </w:p>
    <w:p w14:paraId="49AA4AB5" w14:textId="4ED458EB" w:rsidR="00E61632" w:rsidRPr="00A30707" w:rsidRDefault="002E5535" w:rsidP="0003777C">
      <w:pPr>
        <w:pStyle w:val="TOC2"/>
        <w:rPr>
          <w:rFonts w:eastAsiaTheme="minorEastAsia"/>
          <w:caps/>
          <w:sz w:val="24"/>
          <w:szCs w:val="24"/>
        </w:rPr>
      </w:pPr>
      <w:hyperlink w:anchor="_Toc22627846" w:history="1">
        <w:r w:rsidR="00E61632" w:rsidRPr="00A30707">
          <w:rPr>
            <w:rStyle w:val="Hyperlink"/>
          </w:rPr>
          <w:t>NSW Police Force Child Protection Register case review</w:t>
        </w:r>
        <w:r w:rsidR="00E61632" w:rsidRPr="00A30707">
          <w:rPr>
            <w:webHidden/>
          </w:rPr>
          <w:tab/>
        </w:r>
        <w:r w:rsidR="00E61632" w:rsidRPr="00A30707">
          <w:rPr>
            <w:webHidden/>
          </w:rPr>
          <w:fldChar w:fldCharType="begin"/>
        </w:r>
        <w:r w:rsidR="00E61632" w:rsidRPr="00A30707">
          <w:rPr>
            <w:webHidden/>
          </w:rPr>
          <w:instrText xml:space="preserve"> PAGEREF _Toc22627846 \h </w:instrText>
        </w:r>
        <w:r w:rsidR="00E61632" w:rsidRPr="00A30707">
          <w:rPr>
            <w:webHidden/>
          </w:rPr>
        </w:r>
        <w:r w:rsidR="00E61632" w:rsidRPr="00A30707">
          <w:rPr>
            <w:webHidden/>
          </w:rPr>
          <w:fldChar w:fldCharType="separate"/>
        </w:r>
        <w:r w:rsidR="00022664">
          <w:rPr>
            <w:webHidden/>
          </w:rPr>
          <w:t>172</w:t>
        </w:r>
        <w:r w:rsidR="00E61632" w:rsidRPr="00A30707">
          <w:rPr>
            <w:webHidden/>
          </w:rPr>
          <w:fldChar w:fldCharType="end"/>
        </w:r>
      </w:hyperlink>
    </w:p>
    <w:p w14:paraId="2500E7F5" w14:textId="72D8AAB9" w:rsidR="00E61632" w:rsidRPr="00A30707" w:rsidRDefault="002E5535" w:rsidP="0003777C">
      <w:pPr>
        <w:pStyle w:val="TOC1"/>
        <w:ind w:left="0" w:firstLine="0"/>
        <w:rPr>
          <w:rFonts w:eastAsiaTheme="minorEastAsia"/>
          <w:caps w:val="0"/>
          <w:color w:val="auto"/>
          <w:sz w:val="24"/>
          <w:szCs w:val="24"/>
        </w:rPr>
      </w:pPr>
      <w:hyperlink w:anchor="_Toc22627847" w:history="1">
        <w:r w:rsidR="00E61632" w:rsidRPr="00A30707">
          <w:rPr>
            <w:rStyle w:val="Hyperlink"/>
            <w:rFonts w:asciiTheme="majorHAnsi" w:hAnsiTheme="majorHAnsi"/>
          </w:rPr>
          <w:t>Appendix 2:</w:t>
        </w:r>
        <w:r w:rsidR="00E61632" w:rsidRPr="00A30707">
          <w:rPr>
            <w:rStyle w:val="Hyperlink"/>
          </w:rPr>
          <w:t xml:space="preserve">  Analysis of the </w:t>
        </w:r>
        <w:r w:rsidR="00E61632" w:rsidRPr="00011F55">
          <w:rPr>
            <w:rStyle w:val="Hyperlink"/>
            <w:i/>
            <w:iCs/>
          </w:rPr>
          <w:t>Child Protection (Offenders Registration) Act 2000</w:t>
        </w:r>
        <w:r w:rsidR="00E61632" w:rsidRPr="00A30707">
          <w:rPr>
            <w:rStyle w:val="Hyperlink"/>
          </w:rPr>
          <w:t xml:space="preserve"> (NSW)</w:t>
        </w:r>
        <w:r w:rsidR="00E61632" w:rsidRPr="00A30707">
          <w:rPr>
            <w:webHidden/>
          </w:rPr>
          <w:tab/>
        </w:r>
        <w:r w:rsidR="00E61632" w:rsidRPr="00A30707">
          <w:rPr>
            <w:webHidden/>
          </w:rPr>
          <w:fldChar w:fldCharType="begin"/>
        </w:r>
        <w:r w:rsidR="00E61632" w:rsidRPr="00A30707">
          <w:rPr>
            <w:webHidden/>
          </w:rPr>
          <w:instrText xml:space="preserve"> PAGEREF _Toc22627847 \h </w:instrText>
        </w:r>
        <w:r w:rsidR="00E61632" w:rsidRPr="00A30707">
          <w:rPr>
            <w:webHidden/>
          </w:rPr>
        </w:r>
        <w:r w:rsidR="00E61632" w:rsidRPr="00A30707">
          <w:rPr>
            <w:webHidden/>
          </w:rPr>
          <w:fldChar w:fldCharType="separate"/>
        </w:r>
        <w:r w:rsidR="00022664">
          <w:rPr>
            <w:webHidden/>
          </w:rPr>
          <w:t>173</w:t>
        </w:r>
        <w:r w:rsidR="00E61632" w:rsidRPr="00A30707">
          <w:rPr>
            <w:webHidden/>
          </w:rPr>
          <w:fldChar w:fldCharType="end"/>
        </w:r>
      </w:hyperlink>
    </w:p>
    <w:p w14:paraId="2ECF728E" w14:textId="78CFC16A" w:rsidR="00E61632" w:rsidRPr="00A30707" w:rsidRDefault="002E5535" w:rsidP="0003777C">
      <w:pPr>
        <w:pStyle w:val="TOC7"/>
        <w:rPr>
          <w:sz w:val="24"/>
          <w:szCs w:val="24"/>
          <w:lang w:eastAsia="en-US"/>
        </w:rPr>
      </w:pPr>
      <w:hyperlink w:anchor="_Toc22627848" w:history="1">
        <w:r w:rsidR="00E61632" w:rsidRPr="00A30707">
          <w:rPr>
            <w:rStyle w:val="Hyperlink"/>
            <w:rFonts w:ascii="Gotham Book" w:hAnsi="Gotham Book"/>
          </w:rPr>
          <w:t>1.</w:t>
        </w:r>
        <w:r w:rsidR="00E61632" w:rsidRPr="00A30707">
          <w:rPr>
            <w:sz w:val="24"/>
            <w:szCs w:val="24"/>
            <w:lang w:eastAsia="en-US"/>
          </w:rPr>
          <w:tab/>
        </w:r>
        <w:r w:rsidR="00E61632" w:rsidRPr="00A30707">
          <w:rPr>
            <w:rStyle w:val="Hyperlink"/>
          </w:rPr>
          <w:t>Introduction</w:t>
        </w:r>
        <w:r w:rsidR="00E61632" w:rsidRPr="00A30707">
          <w:rPr>
            <w:webHidden/>
          </w:rPr>
          <w:tab/>
        </w:r>
        <w:r w:rsidR="00E61632" w:rsidRPr="00A30707">
          <w:rPr>
            <w:webHidden/>
          </w:rPr>
          <w:fldChar w:fldCharType="begin"/>
        </w:r>
        <w:r w:rsidR="00E61632" w:rsidRPr="00A30707">
          <w:rPr>
            <w:webHidden/>
          </w:rPr>
          <w:instrText xml:space="preserve"> PAGEREF _Toc22627848 \h </w:instrText>
        </w:r>
        <w:r w:rsidR="00E61632" w:rsidRPr="00A30707">
          <w:rPr>
            <w:webHidden/>
          </w:rPr>
        </w:r>
        <w:r w:rsidR="00E61632" w:rsidRPr="00A30707">
          <w:rPr>
            <w:webHidden/>
          </w:rPr>
          <w:fldChar w:fldCharType="separate"/>
        </w:r>
        <w:r w:rsidR="00022664">
          <w:rPr>
            <w:webHidden/>
          </w:rPr>
          <w:t>174</w:t>
        </w:r>
        <w:r w:rsidR="00E61632" w:rsidRPr="00A30707">
          <w:rPr>
            <w:webHidden/>
          </w:rPr>
          <w:fldChar w:fldCharType="end"/>
        </w:r>
      </w:hyperlink>
    </w:p>
    <w:p w14:paraId="676A6F2D" w14:textId="764CE336" w:rsidR="00E61632" w:rsidRPr="00A30707" w:rsidRDefault="002E5535" w:rsidP="0003777C">
      <w:pPr>
        <w:pStyle w:val="TOC7"/>
        <w:rPr>
          <w:sz w:val="24"/>
          <w:szCs w:val="24"/>
          <w:lang w:eastAsia="en-US"/>
        </w:rPr>
      </w:pPr>
      <w:hyperlink w:anchor="_Toc22627849" w:history="1">
        <w:r w:rsidR="00E61632" w:rsidRPr="00A30707">
          <w:rPr>
            <w:rStyle w:val="Hyperlink"/>
            <w:rFonts w:ascii="Gotham Book" w:hAnsi="Gotham Book"/>
          </w:rPr>
          <w:t>2.</w:t>
        </w:r>
        <w:r w:rsidR="00E61632" w:rsidRPr="00A30707">
          <w:rPr>
            <w:sz w:val="24"/>
            <w:szCs w:val="24"/>
            <w:lang w:eastAsia="en-US"/>
          </w:rPr>
          <w:tab/>
        </w:r>
        <w:r w:rsidR="00E61632" w:rsidRPr="00A30707">
          <w:rPr>
            <w:rStyle w:val="Hyperlink"/>
          </w:rPr>
          <w:t>Overview of problems with the CPOR Act</w:t>
        </w:r>
        <w:r w:rsidR="00E61632" w:rsidRPr="00A30707">
          <w:rPr>
            <w:webHidden/>
          </w:rPr>
          <w:tab/>
        </w:r>
        <w:r w:rsidR="00E61632" w:rsidRPr="00A30707">
          <w:rPr>
            <w:webHidden/>
          </w:rPr>
          <w:fldChar w:fldCharType="begin"/>
        </w:r>
        <w:r w:rsidR="00E61632" w:rsidRPr="00A30707">
          <w:rPr>
            <w:webHidden/>
          </w:rPr>
          <w:instrText xml:space="preserve"> PAGEREF _Toc22627849 \h </w:instrText>
        </w:r>
        <w:r w:rsidR="00E61632" w:rsidRPr="00A30707">
          <w:rPr>
            <w:webHidden/>
          </w:rPr>
        </w:r>
        <w:r w:rsidR="00E61632" w:rsidRPr="00A30707">
          <w:rPr>
            <w:webHidden/>
          </w:rPr>
          <w:fldChar w:fldCharType="separate"/>
        </w:r>
        <w:r w:rsidR="00022664">
          <w:rPr>
            <w:webHidden/>
          </w:rPr>
          <w:t>175</w:t>
        </w:r>
        <w:r w:rsidR="00E61632" w:rsidRPr="00A30707">
          <w:rPr>
            <w:webHidden/>
          </w:rPr>
          <w:fldChar w:fldCharType="end"/>
        </w:r>
      </w:hyperlink>
    </w:p>
    <w:p w14:paraId="7937F706" w14:textId="146614EF" w:rsidR="00E61632" w:rsidRPr="00A30707" w:rsidRDefault="002E5535" w:rsidP="0003777C">
      <w:pPr>
        <w:pStyle w:val="TOC7"/>
        <w:rPr>
          <w:sz w:val="24"/>
          <w:szCs w:val="24"/>
          <w:lang w:eastAsia="en-US"/>
        </w:rPr>
      </w:pPr>
      <w:hyperlink w:anchor="_Toc22627850" w:history="1">
        <w:r w:rsidR="00E61632" w:rsidRPr="00A30707">
          <w:rPr>
            <w:rStyle w:val="Hyperlink"/>
            <w:rFonts w:ascii="Gotham Book" w:hAnsi="Gotham Book"/>
          </w:rPr>
          <w:t>3.</w:t>
        </w:r>
        <w:r w:rsidR="00E61632" w:rsidRPr="00A30707">
          <w:rPr>
            <w:sz w:val="24"/>
            <w:szCs w:val="24"/>
            <w:lang w:eastAsia="en-US"/>
          </w:rPr>
          <w:tab/>
        </w:r>
        <w:r w:rsidR="00E61632" w:rsidRPr="00A30707">
          <w:rPr>
            <w:rStyle w:val="Hyperlink"/>
          </w:rPr>
          <w:t>Identifying ‘registrable offences’</w:t>
        </w:r>
        <w:r w:rsidR="00E61632" w:rsidRPr="00A30707">
          <w:rPr>
            <w:webHidden/>
          </w:rPr>
          <w:tab/>
        </w:r>
        <w:r w:rsidR="00E61632" w:rsidRPr="00A30707">
          <w:rPr>
            <w:webHidden/>
          </w:rPr>
          <w:fldChar w:fldCharType="begin"/>
        </w:r>
        <w:r w:rsidR="00E61632" w:rsidRPr="00A30707">
          <w:rPr>
            <w:webHidden/>
          </w:rPr>
          <w:instrText xml:space="preserve"> PAGEREF _Toc22627850 \h </w:instrText>
        </w:r>
        <w:r w:rsidR="00E61632" w:rsidRPr="00A30707">
          <w:rPr>
            <w:webHidden/>
          </w:rPr>
        </w:r>
        <w:r w:rsidR="00E61632" w:rsidRPr="00A30707">
          <w:rPr>
            <w:webHidden/>
          </w:rPr>
          <w:fldChar w:fldCharType="separate"/>
        </w:r>
        <w:r w:rsidR="00022664">
          <w:rPr>
            <w:webHidden/>
          </w:rPr>
          <w:t>176</w:t>
        </w:r>
        <w:r w:rsidR="00E61632" w:rsidRPr="00A30707">
          <w:rPr>
            <w:webHidden/>
          </w:rPr>
          <w:fldChar w:fldCharType="end"/>
        </w:r>
      </w:hyperlink>
    </w:p>
    <w:p w14:paraId="730C8DAC" w14:textId="7FF458B4" w:rsidR="00E61632" w:rsidRPr="00A30707" w:rsidRDefault="002E5535" w:rsidP="0003777C">
      <w:pPr>
        <w:pStyle w:val="TOC8"/>
        <w:rPr>
          <w:sz w:val="24"/>
          <w:szCs w:val="24"/>
          <w:lang w:eastAsia="en-US"/>
        </w:rPr>
      </w:pPr>
      <w:hyperlink w:anchor="_Toc22627851" w:history="1">
        <w:r w:rsidR="00E61632" w:rsidRPr="00A30707">
          <w:rPr>
            <w:rStyle w:val="Hyperlink"/>
            <w:rFonts w:ascii="Gotham Book" w:hAnsi="Gotham Book"/>
          </w:rPr>
          <w:t>3.1</w:t>
        </w:r>
        <w:r w:rsidR="00E61632" w:rsidRPr="00A30707">
          <w:rPr>
            <w:sz w:val="24"/>
            <w:szCs w:val="24"/>
            <w:lang w:eastAsia="en-US"/>
          </w:rPr>
          <w:tab/>
        </w:r>
        <w:r w:rsidR="00E61632" w:rsidRPr="00A30707">
          <w:rPr>
            <w:rStyle w:val="Hyperlink"/>
          </w:rPr>
          <w:t>CPOR Act does not specifically identify each registrable offence</w:t>
        </w:r>
        <w:r w:rsidR="00E61632" w:rsidRPr="00A30707">
          <w:rPr>
            <w:webHidden/>
          </w:rPr>
          <w:tab/>
        </w:r>
        <w:r w:rsidR="00E61632" w:rsidRPr="00A30707">
          <w:rPr>
            <w:webHidden/>
          </w:rPr>
          <w:fldChar w:fldCharType="begin"/>
        </w:r>
        <w:r w:rsidR="00E61632" w:rsidRPr="00A30707">
          <w:rPr>
            <w:webHidden/>
          </w:rPr>
          <w:instrText xml:space="preserve"> PAGEREF _Toc22627851 \h </w:instrText>
        </w:r>
        <w:r w:rsidR="00E61632" w:rsidRPr="00A30707">
          <w:rPr>
            <w:webHidden/>
          </w:rPr>
        </w:r>
        <w:r w:rsidR="00E61632" w:rsidRPr="00A30707">
          <w:rPr>
            <w:webHidden/>
          </w:rPr>
          <w:fldChar w:fldCharType="separate"/>
        </w:r>
        <w:r w:rsidR="00022664">
          <w:rPr>
            <w:webHidden/>
          </w:rPr>
          <w:t>177</w:t>
        </w:r>
        <w:r w:rsidR="00E61632" w:rsidRPr="00A30707">
          <w:rPr>
            <w:webHidden/>
          </w:rPr>
          <w:fldChar w:fldCharType="end"/>
        </w:r>
      </w:hyperlink>
    </w:p>
    <w:p w14:paraId="43A40049" w14:textId="6D4D507F" w:rsidR="00E61632" w:rsidRPr="00A30707" w:rsidRDefault="002E5535">
      <w:pPr>
        <w:pStyle w:val="TOC9"/>
        <w:tabs>
          <w:tab w:val="left" w:pos="1588"/>
        </w:tabs>
        <w:rPr>
          <w:sz w:val="24"/>
          <w:szCs w:val="24"/>
          <w:lang w:eastAsia="en-US"/>
        </w:rPr>
      </w:pPr>
      <w:hyperlink w:anchor="_Toc22627852" w:history="1">
        <w:r w:rsidR="00E61632" w:rsidRPr="00A30707">
          <w:rPr>
            <w:rStyle w:val="Hyperlink"/>
            <w:rFonts w:ascii="Gotham Book" w:hAnsi="Gotham Book"/>
          </w:rPr>
          <w:t>3.1.1</w:t>
        </w:r>
        <w:r w:rsidR="00E61632" w:rsidRPr="00A30707">
          <w:rPr>
            <w:sz w:val="24"/>
            <w:szCs w:val="24"/>
            <w:lang w:eastAsia="en-US"/>
          </w:rPr>
          <w:tab/>
        </w:r>
        <w:r w:rsidR="00E61632" w:rsidRPr="00A30707">
          <w:rPr>
            <w:rStyle w:val="Hyperlink"/>
          </w:rPr>
          <w:t>The ‘element’ limbs</w:t>
        </w:r>
        <w:r w:rsidR="00E61632" w:rsidRPr="00A30707">
          <w:rPr>
            <w:webHidden/>
          </w:rPr>
          <w:tab/>
        </w:r>
        <w:r w:rsidR="00E61632" w:rsidRPr="00A30707">
          <w:rPr>
            <w:webHidden/>
          </w:rPr>
          <w:fldChar w:fldCharType="begin"/>
        </w:r>
        <w:r w:rsidR="00E61632" w:rsidRPr="00A30707">
          <w:rPr>
            <w:webHidden/>
          </w:rPr>
          <w:instrText xml:space="preserve"> PAGEREF _Toc22627852 \h </w:instrText>
        </w:r>
        <w:r w:rsidR="00E61632" w:rsidRPr="00A30707">
          <w:rPr>
            <w:webHidden/>
          </w:rPr>
        </w:r>
        <w:r w:rsidR="00E61632" w:rsidRPr="00A30707">
          <w:rPr>
            <w:webHidden/>
          </w:rPr>
          <w:fldChar w:fldCharType="separate"/>
        </w:r>
        <w:r w:rsidR="00022664">
          <w:rPr>
            <w:webHidden/>
          </w:rPr>
          <w:t>177</w:t>
        </w:r>
        <w:r w:rsidR="00E61632" w:rsidRPr="00A30707">
          <w:rPr>
            <w:webHidden/>
          </w:rPr>
          <w:fldChar w:fldCharType="end"/>
        </w:r>
      </w:hyperlink>
    </w:p>
    <w:p w14:paraId="05ABD3A7" w14:textId="48E21F1E" w:rsidR="00E61632" w:rsidRPr="00A30707" w:rsidRDefault="002E5535">
      <w:pPr>
        <w:pStyle w:val="TOC9"/>
        <w:tabs>
          <w:tab w:val="left" w:pos="1588"/>
        </w:tabs>
        <w:rPr>
          <w:sz w:val="24"/>
          <w:szCs w:val="24"/>
          <w:lang w:eastAsia="en-US"/>
        </w:rPr>
      </w:pPr>
      <w:hyperlink w:anchor="_Toc22627853" w:history="1">
        <w:r w:rsidR="00E61632" w:rsidRPr="00A30707">
          <w:rPr>
            <w:rStyle w:val="Hyperlink"/>
            <w:rFonts w:ascii="Gotham Book" w:hAnsi="Gotham Book"/>
          </w:rPr>
          <w:t>3.1.2</w:t>
        </w:r>
        <w:r w:rsidR="00E61632" w:rsidRPr="00A30707">
          <w:rPr>
            <w:sz w:val="24"/>
            <w:szCs w:val="24"/>
            <w:lang w:eastAsia="en-US"/>
          </w:rPr>
          <w:tab/>
        </w:r>
        <w:r w:rsidR="00E61632" w:rsidRPr="00A30707">
          <w:rPr>
            <w:rStyle w:val="Hyperlink"/>
          </w:rPr>
          <w:t>Offences that ‘involve’ sexual touching or a sexual act</w:t>
        </w:r>
        <w:r w:rsidR="00E61632" w:rsidRPr="00A30707">
          <w:rPr>
            <w:webHidden/>
          </w:rPr>
          <w:tab/>
        </w:r>
        <w:r w:rsidR="00E61632" w:rsidRPr="00A30707">
          <w:rPr>
            <w:webHidden/>
          </w:rPr>
          <w:fldChar w:fldCharType="begin"/>
        </w:r>
        <w:r w:rsidR="00E61632" w:rsidRPr="00A30707">
          <w:rPr>
            <w:webHidden/>
          </w:rPr>
          <w:instrText xml:space="preserve"> PAGEREF _Toc22627853 \h </w:instrText>
        </w:r>
        <w:r w:rsidR="00E61632" w:rsidRPr="00A30707">
          <w:rPr>
            <w:webHidden/>
          </w:rPr>
        </w:r>
        <w:r w:rsidR="00E61632" w:rsidRPr="00A30707">
          <w:rPr>
            <w:webHidden/>
          </w:rPr>
          <w:fldChar w:fldCharType="separate"/>
        </w:r>
        <w:r w:rsidR="00022664">
          <w:rPr>
            <w:webHidden/>
          </w:rPr>
          <w:t>178</w:t>
        </w:r>
        <w:r w:rsidR="00E61632" w:rsidRPr="00A30707">
          <w:rPr>
            <w:webHidden/>
          </w:rPr>
          <w:fldChar w:fldCharType="end"/>
        </w:r>
      </w:hyperlink>
    </w:p>
    <w:p w14:paraId="2BE36D0F" w14:textId="51467890" w:rsidR="00E61632" w:rsidRPr="00A30707" w:rsidRDefault="002E5535" w:rsidP="0003777C">
      <w:pPr>
        <w:pStyle w:val="TOC8"/>
        <w:rPr>
          <w:sz w:val="24"/>
          <w:szCs w:val="24"/>
          <w:lang w:eastAsia="en-US"/>
        </w:rPr>
      </w:pPr>
      <w:hyperlink w:anchor="_Toc22627854" w:history="1">
        <w:r w:rsidR="00E61632" w:rsidRPr="00A30707">
          <w:rPr>
            <w:rStyle w:val="Hyperlink"/>
            <w:rFonts w:ascii="Gotham Book" w:hAnsi="Gotham Book"/>
          </w:rPr>
          <w:t>3.2</w:t>
        </w:r>
        <w:r w:rsidR="00E61632" w:rsidRPr="00A30707">
          <w:rPr>
            <w:sz w:val="24"/>
            <w:szCs w:val="24"/>
            <w:lang w:eastAsia="en-US"/>
          </w:rPr>
          <w:tab/>
        </w:r>
        <w:r w:rsidR="00E61632" w:rsidRPr="00A30707">
          <w:rPr>
            <w:rStyle w:val="Hyperlink"/>
          </w:rPr>
          <w:t>Errors in the definitions of Class 1 and Class 2 offences</w:t>
        </w:r>
        <w:r w:rsidR="00E61632" w:rsidRPr="00A30707">
          <w:rPr>
            <w:webHidden/>
          </w:rPr>
          <w:tab/>
        </w:r>
        <w:r w:rsidR="00E61632" w:rsidRPr="00A30707">
          <w:rPr>
            <w:webHidden/>
          </w:rPr>
          <w:fldChar w:fldCharType="begin"/>
        </w:r>
        <w:r w:rsidR="00E61632" w:rsidRPr="00A30707">
          <w:rPr>
            <w:webHidden/>
          </w:rPr>
          <w:instrText xml:space="preserve"> PAGEREF _Toc22627854 \h </w:instrText>
        </w:r>
        <w:r w:rsidR="00E61632" w:rsidRPr="00A30707">
          <w:rPr>
            <w:webHidden/>
          </w:rPr>
        </w:r>
        <w:r w:rsidR="00E61632" w:rsidRPr="00A30707">
          <w:rPr>
            <w:webHidden/>
          </w:rPr>
          <w:fldChar w:fldCharType="separate"/>
        </w:r>
        <w:r w:rsidR="00022664">
          <w:rPr>
            <w:webHidden/>
          </w:rPr>
          <w:t>178</w:t>
        </w:r>
        <w:r w:rsidR="00E61632" w:rsidRPr="00A30707">
          <w:rPr>
            <w:webHidden/>
          </w:rPr>
          <w:fldChar w:fldCharType="end"/>
        </w:r>
      </w:hyperlink>
    </w:p>
    <w:p w14:paraId="4EDBA58D" w14:textId="7067C843" w:rsidR="00E61632" w:rsidRPr="00A30707" w:rsidRDefault="002E5535" w:rsidP="0003777C">
      <w:pPr>
        <w:pStyle w:val="TOC8"/>
        <w:rPr>
          <w:sz w:val="24"/>
          <w:szCs w:val="24"/>
          <w:lang w:eastAsia="en-US"/>
        </w:rPr>
      </w:pPr>
      <w:hyperlink w:anchor="_Toc22627855" w:history="1">
        <w:r w:rsidR="00E61632" w:rsidRPr="00A30707">
          <w:rPr>
            <w:rStyle w:val="Hyperlink"/>
            <w:rFonts w:ascii="Gotham Book" w:hAnsi="Gotham Book"/>
          </w:rPr>
          <w:t>3.3</w:t>
        </w:r>
        <w:r w:rsidR="00E61632" w:rsidRPr="00A30707">
          <w:rPr>
            <w:sz w:val="24"/>
            <w:szCs w:val="24"/>
            <w:lang w:eastAsia="en-US"/>
          </w:rPr>
          <w:tab/>
        </w:r>
        <w:r w:rsidR="00E61632" w:rsidRPr="00A30707">
          <w:rPr>
            <w:rStyle w:val="Hyperlink"/>
          </w:rPr>
          <w:t xml:space="preserve">Definition of ‘a child’ is broader in the CPOR Act than in the </w:t>
        </w:r>
        <w:r w:rsidR="00E61632" w:rsidRPr="00A30707">
          <w:rPr>
            <w:rStyle w:val="Hyperlink"/>
            <w:i/>
          </w:rPr>
          <w:t>Crimes</w:t>
        </w:r>
        <w:r w:rsidR="0003777C" w:rsidRPr="00A30707">
          <w:rPr>
            <w:rStyle w:val="Hyperlink"/>
            <w:i/>
          </w:rPr>
          <w:t> </w:t>
        </w:r>
        <w:r w:rsidR="00E61632" w:rsidRPr="00A30707">
          <w:rPr>
            <w:rStyle w:val="Hyperlink"/>
            <w:i/>
          </w:rPr>
          <w:t>Act</w:t>
        </w:r>
        <w:r w:rsidR="0003777C" w:rsidRPr="00A30707">
          <w:rPr>
            <w:rStyle w:val="Hyperlink"/>
            <w:i/>
          </w:rPr>
          <w:t> </w:t>
        </w:r>
        <w:r w:rsidR="00E61632" w:rsidRPr="00A30707">
          <w:rPr>
            <w:rStyle w:val="Hyperlink"/>
            <w:i/>
          </w:rPr>
          <w:t>1900</w:t>
        </w:r>
        <w:r w:rsidR="0003777C" w:rsidRPr="00A30707">
          <w:rPr>
            <w:rStyle w:val="Hyperlink"/>
          </w:rPr>
          <w:t> </w:t>
        </w:r>
        <w:r w:rsidR="00E61632" w:rsidRPr="00A30707">
          <w:rPr>
            <w:rStyle w:val="Hyperlink"/>
          </w:rPr>
          <w:t>(NSW)</w:t>
        </w:r>
        <w:r w:rsidR="00E61632" w:rsidRPr="00A30707">
          <w:rPr>
            <w:webHidden/>
          </w:rPr>
          <w:tab/>
        </w:r>
        <w:r w:rsidR="00E61632" w:rsidRPr="00A30707">
          <w:rPr>
            <w:webHidden/>
          </w:rPr>
          <w:fldChar w:fldCharType="begin"/>
        </w:r>
        <w:r w:rsidR="00E61632" w:rsidRPr="00A30707">
          <w:rPr>
            <w:webHidden/>
          </w:rPr>
          <w:instrText xml:space="preserve"> PAGEREF _Toc22627855 \h </w:instrText>
        </w:r>
        <w:r w:rsidR="00E61632" w:rsidRPr="00A30707">
          <w:rPr>
            <w:webHidden/>
          </w:rPr>
        </w:r>
        <w:r w:rsidR="00E61632" w:rsidRPr="00A30707">
          <w:rPr>
            <w:webHidden/>
          </w:rPr>
          <w:fldChar w:fldCharType="separate"/>
        </w:r>
        <w:r w:rsidR="00022664">
          <w:rPr>
            <w:webHidden/>
          </w:rPr>
          <w:t>179</w:t>
        </w:r>
        <w:r w:rsidR="00E61632" w:rsidRPr="00A30707">
          <w:rPr>
            <w:webHidden/>
          </w:rPr>
          <w:fldChar w:fldCharType="end"/>
        </w:r>
      </w:hyperlink>
    </w:p>
    <w:p w14:paraId="5B6AE88A" w14:textId="740108C2" w:rsidR="00E61632" w:rsidRPr="00A30707" w:rsidRDefault="002E5535" w:rsidP="0003777C">
      <w:pPr>
        <w:pStyle w:val="TOC8"/>
        <w:rPr>
          <w:sz w:val="24"/>
          <w:szCs w:val="24"/>
          <w:lang w:eastAsia="en-US"/>
        </w:rPr>
      </w:pPr>
      <w:hyperlink w:anchor="_Toc22627856" w:history="1">
        <w:r w:rsidR="00E61632" w:rsidRPr="00A30707">
          <w:rPr>
            <w:rStyle w:val="Hyperlink"/>
            <w:rFonts w:ascii="Gotham Book" w:hAnsi="Gotham Book"/>
          </w:rPr>
          <w:t>3.4</w:t>
        </w:r>
        <w:r w:rsidR="00E61632" w:rsidRPr="00A30707">
          <w:rPr>
            <w:sz w:val="24"/>
            <w:szCs w:val="24"/>
            <w:lang w:eastAsia="en-US"/>
          </w:rPr>
          <w:tab/>
        </w:r>
        <w:r w:rsidR="00E61632" w:rsidRPr="00A30707">
          <w:rPr>
            <w:rStyle w:val="Hyperlink"/>
          </w:rPr>
          <w:t>Need for reform of definitions of Class 1 and Class 2 offences</w:t>
        </w:r>
        <w:r w:rsidR="00E61632" w:rsidRPr="00A30707">
          <w:rPr>
            <w:webHidden/>
          </w:rPr>
          <w:tab/>
        </w:r>
        <w:r w:rsidR="00E61632" w:rsidRPr="00A30707">
          <w:rPr>
            <w:webHidden/>
          </w:rPr>
          <w:fldChar w:fldCharType="begin"/>
        </w:r>
        <w:r w:rsidR="00E61632" w:rsidRPr="00A30707">
          <w:rPr>
            <w:webHidden/>
          </w:rPr>
          <w:instrText xml:space="preserve"> PAGEREF _Toc22627856 \h </w:instrText>
        </w:r>
        <w:r w:rsidR="00E61632" w:rsidRPr="00A30707">
          <w:rPr>
            <w:webHidden/>
          </w:rPr>
        </w:r>
        <w:r w:rsidR="00E61632" w:rsidRPr="00A30707">
          <w:rPr>
            <w:webHidden/>
          </w:rPr>
          <w:fldChar w:fldCharType="separate"/>
        </w:r>
        <w:r w:rsidR="00022664">
          <w:rPr>
            <w:webHidden/>
          </w:rPr>
          <w:t>179</w:t>
        </w:r>
        <w:r w:rsidR="00E61632" w:rsidRPr="00A30707">
          <w:rPr>
            <w:webHidden/>
          </w:rPr>
          <w:fldChar w:fldCharType="end"/>
        </w:r>
      </w:hyperlink>
    </w:p>
    <w:p w14:paraId="2F67D990" w14:textId="05D5EDED" w:rsidR="00E61632" w:rsidRPr="00A30707" w:rsidRDefault="002E5535" w:rsidP="0003777C">
      <w:pPr>
        <w:pStyle w:val="TOC7"/>
        <w:rPr>
          <w:sz w:val="24"/>
          <w:szCs w:val="24"/>
          <w:lang w:eastAsia="en-US"/>
        </w:rPr>
      </w:pPr>
      <w:hyperlink w:anchor="_Toc22627857" w:history="1">
        <w:r w:rsidR="00E61632" w:rsidRPr="00A30707">
          <w:rPr>
            <w:rStyle w:val="Hyperlink"/>
            <w:rFonts w:ascii="Gotham Book" w:hAnsi="Gotham Book"/>
          </w:rPr>
          <w:t>4.</w:t>
        </w:r>
        <w:r w:rsidR="00E61632" w:rsidRPr="00A30707">
          <w:rPr>
            <w:sz w:val="24"/>
            <w:szCs w:val="24"/>
            <w:lang w:eastAsia="en-US"/>
          </w:rPr>
          <w:tab/>
        </w:r>
        <w:r w:rsidR="00E61632" w:rsidRPr="00A30707">
          <w:rPr>
            <w:rStyle w:val="Hyperlink"/>
          </w:rPr>
          <w:t>Determining if an exception to registration applies</w:t>
        </w:r>
        <w:r w:rsidR="00E61632" w:rsidRPr="00A30707">
          <w:rPr>
            <w:webHidden/>
          </w:rPr>
          <w:tab/>
        </w:r>
        <w:r w:rsidR="00E61632" w:rsidRPr="00A30707">
          <w:rPr>
            <w:webHidden/>
          </w:rPr>
          <w:fldChar w:fldCharType="begin"/>
        </w:r>
        <w:r w:rsidR="00E61632" w:rsidRPr="00A30707">
          <w:rPr>
            <w:webHidden/>
          </w:rPr>
          <w:instrText xml:space="preserve"> PAGEREF _Toc22627857 \h </w:instrText>
        </w:r>
        <w:r w:rsidR="00E61632" w:rsidRPr="00A30707">
          <w:rPr>
            <w:webHidden/>
          </w:rPr>
        </w:r>
        <w:r w:rsidR="00E61632" w:rsidRPr="00A30707">
          <w:rPr>
            <w:webHidden/>
          </w:rPr>
          <w:fldChar w:fldCharType="separate"/>
        </w:r>
        <w:r w:rsidR="00022664">
          <w:rPr>
            <w:webHidden/>
          </w:rPr>
          <w:t>181</w:t>
        </w:r>
        <w:r w:rsidR="00E61632" w:rsidRPr="00A30707">
          <w:rPr>
            <w:webHidden/>
          </w:rPr>
          <w:fldChar w:fldCharType="end"/>
        </w:r>
      </w:hyperlink>
    </w:p>
    <w:p w14:paraId="3E124493" w14:textId="7DDA70E3" w:rsidR="00E61632" w:rsidRPr="00A30707" w:rsidRDefault="002E5535" w:rsidP="0003777C">
      <w:pPr>
        <w:pStyle w:val="TOC8"/>
        <w:rPr>
          <w:sz w:val="24"/>
          <w:szCs w:val="24"/>
          <w:lang w:eastAsia="en-US"/>
        </w:rPr>
      </w:pPr>
      <w:hyperlink w:anchor="_Toc22627858" w:history="1">
        <w:r w:rsidR="00E61632" w:rsidRPr="00A30707">
          <w:rPr>
            <w:rStyle w:val="Hyperlink"/>
            <w:rFonts w:ascii="Gotham Book" w:hAnsi="Gotham Book"/>
          </w:rPr>
          <w:t>4.1</w:t>
        </w:r>
        <w:r w:rsidR="00E61632" w:rsidRPr="00A30707">
          <w:rPr>
            <w:sz w:val="24"/>
            <w:szCs w:val="24"/>
            <w:lang w:eastAsia="en-US"/>
          </w:rPr>
          <w:tab/>
        </w:r>
        <w:r w:rsidR="00E61632" w:rsidRPr="00A30707">
          <w:rPr>
            <w:rStyle w:val="Hyperlink"/>
          </w:rPr>
          <w:t>Difficulties created by the need to identify the time registrable offences</w:t>
        </w:r>
        <w:r w:rsidR="0003777C" w:rsidRPr="00A30707">
          <w:rPr>
            <w:rStyle w:val="Hyperlink"/>
          </w:rPr>
          <w:t> </w:t>
        </w:r>
        <w:r w:rsidR="00E61632" w:rsidRPr="00A30707">
          <w:rPr>
            <w:rStyle w:val="Hyperlink"/>
          </w:rPr>
          <w:t>were committed</w:t>
        </w:r>
        <w:r w:rsidR="00E61632" w:rsidRPr="00A30707">
          <w:rPr>
            <w:webHidden/>
          </w:rPr>
          <w:tab/>
        </w:r>
        <w:r w:rsidR="00E61632" w:rsidRPr="00A30707">
          <w:rPr>
            <w:webHidden/>
          </w:rPr>
          <w:fldChar w:fldCharType="begin"/>
        </w:r>
        <w:r w:rsidR="00E61632" w:rsidRPr="00A30707">
          <w:rPr>
            <w:webHidden/>
          </w:rPr>
          <w:instrText xml:space="preserve"> PAGEREF _Toc22627858 \h </w:instrText>
        </w:r>
        <w:r w:rsidR="00E61632" w:rsidRPr="00A30707">
          <w:rPr>
            <w:webHidden/>
          </w:rPr>
        </w:r>
        <w:r w:rsidR="00E61632" w:rsidRPr="00A30707">
          <w:rPr>
            <w:webHidden/>
          </w:rPr>
          <w:fldChar w:fldCharType="separate"/>
        </w:r>
        <w:r w:rsidR="00022664">
          <w:rPr>
            <w:webHidden/>
          </w:rPr>
          <w:t>181</w:t>
        </w:r>
        <w:r w:rsidR="00E61632" w:rsidRPr="00A30707">
          <w:rPr>
            <w:webHidden/>
          </w:rPr>
          <w:fldChar w:fldCharType="end"/>
        </w:r>
      </w:hyperlink>
    </w:p>
    <w:p w14:paraId="5DDD9E62" w14:textId="1A751C56" w:rsidR="00E61632" w:rsidRPr="00A30707" w:rsidRDefault="002E5535">
      <w:pPr>
        <w:pStyle w:val="TOC9"/>
        <w:tabs>
          <w:tab w:val="left" w:pos="1588"/>
        </w:tabs>
        <w:rPr>
          <w:sz w:val="24"/>
          <w:szCs w:val="24"/>
          <w:lang w:eastAsia="en-US"/>
        </w:rPr>
      </w:pPr>
      <w:hyperlink w:anchor="_Toc22627859" w:history="1">
        <w:r w:rsidR="00E61632" w:rsidRPr="00A30707">
          <w:rPr>
            <w:rStyle w:val="Hyperlink"/>
            <w:rFonts w:ascii="Gotham Book" w:hAnsi="Gotham Book"/>
          </w:rPr>
          <w:t>4.1.1</w:t>
        </w:r>
        <w:r w:rsidR="00E61632" w:rsidRPr="00A30707">
          <w:rPr>
            <w:sz w:val="24"/>
            <w:szCs w:val="24"/>
            <w:lang w:eastAsia="en-US"/>
          </w:rPr>
          <w:tab/>
        </w:r>
        <w:r w:rsidR="00E61632" w:rsidRPr="00A30707">
          <w:rPr>
            <w:rStyle w:val="Hyperlink"/>
          </w:rPr>
          <w:t>Difficulties determining whether offender was under 18</w:t>
        </w:r>
        <w:r w:rsidR="00E61632" w:rsidRPr="00A30707">
          <w:rPr>
            <w:webHidden/>
          </w:rPr>
          <w:tab/>
        </w:r>
        <w:r w:rsidR="00E61632" w:rsidRPr="00A30707">
          <w:rPr>
            <w:webHidden/>
          </w:rPr>
          <w:fldChar w:fldCharType="begin"/>
        </w:r>
        <w:r w:rsidR="00E61632" w:rsidRPr="00A30707">
          <w:rPr>
            <w:webHidden/>
          </w:rPr>
          <w:instrText xml:space="preserve"> PAGEREF _Toc22627859 \h </w:instrText>
        </w:r>
        <w:r w:rsidR="00E61632" w:rsidRPr="00A30707">
          <w:rPr>
            <w:webHidden/>
          </w:rPr>
        </w:r>
        <w:r w:rsidR="00E61632" w:rsidRPr="00A30707">
          <w:rPr>
            <w:webHidden/>
          </w:rPr>
          <w:fldChar w:fldCharType="separate"/>
        </w:r>
        <w:r w:rsidR="00022664">
          <w:rPr>
            <w:webHidden/>
          </w:rPr>
          <w:t>182</w:t>
        </w:r>
        <w:r w:rsidR="00E61632" w:rsidRPr="00A30707">
          <w:rPr>
            <w:webHidden/>
          </w:rPr>
          <w:fldChar w:fldCharType="end"/>
        </w:r>
      </w:hyperlink>
    </w:p>
    <w:p w14:paraId="1A11ED6C" w14:textId="62731AB1" w:rsidR="00E61632" w:rsidRPr="00A30707" w:rsidRDefault="002E5535">
      <w:pPr>
        <w:pStyle w:val="TOC9"/>
        <w:tabs>
          <w:tab w:val="left" w:pos="1588"/>
        </w:tabs>
        <w:rPr>
          <w:sz w:val="24"/>
          <w:szCs w:val="24"/>
          <w:lang w:eastAsia="en-US"/>
        </w:rPr>
      </w:pPr>
      <w:hyperlink w:anchor="_Toc22627860" w:history="1">
        <w:r w:rsidR="00E61632" w:rsidRPr="00A30707">
          <w:rPr>
            <w:rStyle w:val="Hyperlink"/>
            <w:rFonts w:ascii="Gotham Book" w:hAnsi="Gotham Book"/>
          </w:rPr>
          <w:t>4.1.2</w:t>
        </w:r>
        <w:r w:rsidR="00E61632" w:rsidRPr="00A30707">
          <w:rPr>
            <w:sz w:val="24"/>
            <w:szCs w:val="24"/>
            <w:lang w:eastAsia="en-US"/>
          </w:rPr>
          <w:tab/>
        </w:r>
        <w:r w:rsidR="00E61632" w:rsidRPr="00A30707">
          <w:rPr>
            <w:rStyle w:val="Hyperlink"/>
          </w:rPr>
          <w:t>Difficulties determining when multiple offences should be grouped</w:t>
        </w:r>
        <w:r w:rsidR="0003777C" w:rsidRPr="00A30707">
          <w:rPr>
            <w:rStyle w:val="Hyperlink"/>
          </w:rPr>
          <w:t> </w:t>
        </w:r>
        <w:r w:rsidR="00E61632" w:rsidRPr="00A30707">
          <w:rPr>
            <w:rStyle w:val="Hyperlink"/>
          </w:rPr>
          <w:t>and</w:t>
        </w:r>
        <w:r w:rsidR="0003777C" w:rsidRPr="00A30707">
          <w:rPr>
            <w:rStyle w:val="Hyperlink"/>
          </w:rPr>
          <w:t> </w:t>
        </w:r>
        <w:r w:rsidR="00E61632" w:rsidRPr="00A30707">
          <w:rPr>
            <w:rStyle w:val="Hyperlink"/>
          </w:rPr>
          <w:t>considered a ‘single offence’</w:t>
        </w:r>
        <w:r w:rsidR="00E61632" w:rsidRPr="00A30707">
          <w:rPr>
            <w:webHidden/>
          </w:rPr>
          <w:tab/>
        </w:r>
        <w:r w:rsidR="00E61632" w:rsidRPr="00A30707">
          <w:rPr>
            <w:webHidden/>
          </w:rPr>
          <w:fldChar w:fldCharType="begin"/>
        </w:r>
        <w:r w:rsidR="00E61632" w:rsidRPr="00A30707">
          <w:rPr>
            <w:webHidden/>
          </w:rPr>
          <w:instrText xml:space="preserve"> PAGEREF _Toc22627860 \h </w:instrText>
        </w:r>
        <w:r w:rsidR="00E61632" w:rsidRPr="00A30707">
          <w:rPr>
            <w:webHidden/>
          </w:rPr>
        </w:r>
        <w:r w:rsidR="00E61632" w:rsidRPr="00A30707">
          <w:rPr>
            <w:webHidden/>
          </w:rPr>
          <w:fldChar w:fldCharType="separate"/>
        </w:r>
        <w:r w:rsidR="00022664">
          <w:rPr>
            <w:webHidden/>
          </w:rPr>
          <w:t>183</w:t>
        </w:r>
        <w:r w:rsidR="00E61632" w:rsidRPr="00A30707">
          <w:rPr>
            <w:webHidden/>
          </w:rPr>
          <w:fldChar w:fldCharType="end"/>
        </w:r>
      </w:hyperlink>
    </w:p>
    <w:p w14:paraId="3CCDF737" w14:textId="7E87915B" w:rsidR="00E61632" w:rsidRPr="00A30707" w:rsidRDefault="002E5535" w:rsidP="0003777C">
      <w:pPr>
        <w:pStyle w:val="TOC8"/>
        <w:rPr>
          <w:sz w:val="24"/>
          <w:szCs w:val="24"/>
          <w:lang w:eastAsia="en-US"/>
        </w:rPr>
      </w:pPr>
      <w:hyperlink w:anchor="_Toc22627861" w:history="1">
        <w:r w:rsidR="00E61632" w:rsidRPr="00A30707">
          <w:rPr>
            <w:rStyle w:val="Hyperlink"/>
            <w:rFonts w:ascii="Gotham Book" w:hAnsi="Gotham Book"/>
          </w:rPr>
          <w:t>4.2</w:t>
        </w:r>
        <w:r w:rsidR="00E61632" w:rsidRPr="00A30707">
          <w:rPr>
            <w:sz w:val="24"/>
            <w:szCs w:val="24"/>
            <w:lang w:eastAsia="en-US"/>
          </w:rPr>
          <w:tab/>
        </w:r>
        <w:r w:rsidR="00E61632" w:rsidRPr="00A30707">
          <w:rPr>
            <w:rStyle w:val="Hyperlink"/>
          </w:rPr>
          <w:t>Particular issues with child abuse material (CAM) offences</w:t>
        </w:r>
        <w:r w:rsidR="00E61632" w:rsidRPr="00A30707">
          <w:rPr>
            <w:webHidden/>
          </w:rPr>
          <w:tab/>
        </w:r>
        <w:r w:rsidR="00E61632" w:rsidRPr="00A30707">
          <w:rPr>
            <w:webHidden/>
          </w:rPr>
          <w:fldChar w:fldCharType="begin"/>
        </w:r>
        <w:r w:rsidR="00E61632" w:rsidRPr="00A30707">
          <w:rPr>
            <w:webHidden/>
          </w:rPr>
          <w:instrText xml:space="preserve"> PAGEREF _Toc22627861 \h </w:instrText>
        </w:r>
        <w:r w:rsidR="00E61632" w:rsidRPr="00A30707">
          <w:rPr>
            <w:webHidden/>
          </w:rPr>
        </w:r>
        <w:r w:rsidR="00E61632" w:rsidRPr="00A30707">
          <w:rPr>
            <w:webHidden/>
          </w:rPr>
          <w:fldChar w:fldCharType="separate"/>
        </w:r>
        <w:r w:rsidR="00022664">
          <w:rPr>
            <w:webHidden/>
          </w:rPr>
          <w:t>184</w:t>
        </w:r>
        <w:r w:rsidR="00E61632" w:rsidRPr="00A30707">
          <w:rPr>
            <w:webHidden/>
          </w:rPr>
          <w:fldChar w:fldCharType="end"/>
        </w:r>
      </w:hyperlink>
    </w:p>
    <w:p w14:paraId="4491CE8C" w14:textId="06A49E62" w:rsidR="00E61632" w:rsidRPr="00A30707" w:rsidRDefault="002E5535">
      <w:pPr>
        <w:pStyle w:val="TOC9"/>
        <w:tabs>
          <w:tab w:val="left" w:pos="1588"/>
        </w:tabs>
        <w:rPr>
          <w:sz w:val="24"/>
          <w:szCs w:val="24"/>
          <w:lang w:eastAsia="en-US"/>
        </w:rPr>
      </w:pPr>
      <w:hyperlink w:anchor="_Toc22627862" w:history="1">
        <w:r w:rsidR="00E61632" w:rsidRPr="00A30707">
          <w:rPr>
            <w:rStyle w:val="Hyperlink"/>
            <w:rFonts w:ascii="Gotham Book" w:hAnsi="Gotham Book"/>
          </w:rPr>
          <w:t>4.2.1</w:t>
        </w:r>
        <w:r w:rsidR="00E61632" w:rsidRPr="00A30707">
          <w:rPr>
            <w:sz w:val="24"/>
            <w:szCs w:val="24"/>
            <w:lang w:eastAsia="en-US"/>
          </w:rPr>
          <w:tab/>
        </w:r>
        <w:r w:rsidR="00E61632" w:rsidRPr="00A30707">
          <w:rPr>
            <w:rStyle w:val="Hyperlink"/>
          </w:rPr>
          <w:t>Identifying whether offences of possessing CAM were ‘committed</w:t>
        </w:r>
        <w:r w:rsidR="0003777C" w:rsidRPr="00A30707">
          <w:rPr>
            <w:rStyle w:val="Hyperlink"/>
          </w:rPr>
          <w:t> </w:t>
        </w:r>
        <w:r w:rsidR="00E61632" w:rsidRPr="00A30707">
          <w:rPr>
            <w:rStyle w:val="Hyperlink"/>
          </w:rPr>
          <w:t>within’ 24 hours</w:t>
        </w:r>
        <w:r w:rsidR="00E61632" w:rsidRPr="00A30707">
          <w:rPr>
            <w:webHidden/>
          </w:rPr>
          <w:tab/>
        </w:r>
        <w:r w:rsidR="00E61632" w:rsidRPr="00A30707">
          <w:rPr>
            <w:webHidden/>
          </w:rPr>
          <w:fldChar w:fldCharType="begin"/>
        </w:r>
        <w:r w:rsidR="00E61632" w:rsidRPr="00A30707">
          <w:rPr>
            <w:webHidden/>
          </w:rPr>
          <w:instrText xml:space="preserve"> PAGEREF _Toc22627862 \h </w:instrText>
        </w:r>
        <w:r w:rsidR="00E61632" w:rsidRPr="00A30707">
          <w:rPr>
            <w:webHidden/>
          </w:rPr>
        </w:r>
        <w:r w:rsidR="00E61632" w:rsidRPr="00A30707">
          <w:rPr>
            <w:webHidden/>
          </w:rPr>
          <w:fldChar w:fldCharType="separate"/>
        </w:r>
        <w:r w:rsidR="00022664">
          <w:rPr>
            <w:webHidden/>
          </w:rPr>
          <w:t>185</w:t>
        </w:r>
        <w:r w:rsidR="00E61632" w:rsidRPr="00A30707">
          <w:rPr>
            <w:webHidden/>
          </w:rPr>
          <w:fldChar w:fldCharType="end"/>
        </w:r>
      </w:hyperlink>
    </w:p>
    <w:p w14:paraId="28ADBB56" w14:textId="255BC44B" w:rsidR="00E61632" w:rsidRPr="00A30707" w:rsidRDefault="002E5535">
      <w:pPr>
        <w:pStyle w:val="TOC9"/>
        <w:tabs>
          <w:tab w:val="left" w:pos="1985"/>
        </w:tabs>
        <w:rPr>
          <w:sz w:val="24"/>
          <w:szCs w:val="24"/>
          <w:lang w:eastAsia="en-US"/>
        </w:rPr>
      </w:pPr>
      <w:hyperlink w:anchor="_Toc22627863" w:history="1">
        <w:r w:rsidR="00E61632" w:rsidRPr="00A30707">
          <w:rPr>
            <w:rStyle w:val="Hyperlink"/>
            <w:rFonts w:ascii="Gotham Book" w:hAnsi="Gotham Book"/>
          </w:rPr>
          <w:t>4.2.2</w:t>
        </w:r>
        <w:r w:rsidR="00E61632" w:rsidRPr="00A30707">
          <w:rPr>
            <w:sz w:val="24"/>
            <w:szCs w:val="24"/>
            <w:lang w:eastAsia="en-US"/>
          </w:rPr>
          <w:tab/>
        </w:r>
        <w:r w:rsidR="00E61632" w:rsidRPr="00A30707">
          <w:rPr>
            <w:rStyle w:val="Hyperlink"/>
          </w:rPr>
          <w:t>Requirement to identify the person CAM offences are ‘committed</w:t>
        </w:r>
        <w:r w:rsidR="0003777C" w:rsidRPr="00A30707">
          <w:rPr>
            <w:rStyle w:val="Hyperlink"/>
          </w:rPr>
          <w:t> </w:t>
        </w:r>
        <w:r w:rsidR="00E61632" w:rsidRPr="00A30707">
          <w:rPr>
            <w:rStyle w:val="Hyperlink"/>
          </w:rPr>
          <w:t>against’</w:t>
        </w:r>
        <w:r w:rsidR="00E61632" w:rsidRPr="00A30707">
          <w:rPr>
            <w:webHidden/>
          </w:rPr>
          <w:tab/>
        </w:r>
        <w:r w:rsidR="00E61632" w:rsidRPr="00A30707">
          <w:rPr>
            <w:webHidden/>
          </w:rPr>
          <w:fldChar w:fldCharType="begin"/>
        </w:r>
        <w:r w:rsidR="00E61632" w:rsidRPr="00A30707">
          <w:rPr>
            <w:webHidden/>
          </w:rPr>
          <w:instrText xml:space="preserve"> PAGEREF _Toc22627863 \h </w:instrText>
        </w:r>
        <w:r w:rsidR="00E61632" w:rsidRPr="00A30707">
          <w:rPr>
            <w:webHidden/>
          </w:rPr>
        </w:r>
        <w:r w:rsidR="00E61632" w:rsidRPr="00A30707">
          <w:rPr>
            <w:webHidden/>
          </w:rPr>
          <w:fldChar w:fldCharType="separate"/>
        </w:r>
        <w:r w:rsidR="00022664">
          <w:rPr>
            <w:webHidden/>
          </w:rPr>
          <w:t>186</w:t>
        </w:r>
        <w:r w:rsidR="00E61632" w:rsidRPr="00A30707">
          <w:rPr>
            <w:webHidden/>
          </w:rPr>
          <w:fldChar w:fldCharType="end"/>
        </w:r>
      </w:hyperlink>
    </w:p>
    <w:p w14:paraId="2BF889FE" w14:textId="567CE25A" w:rsidR="00E61632" w:rsidRPr="00A30707" w:rsidRDefault="002E5535">
      <w:pPr>
        <w:pStyle w:val="TOC9"/>
        <w:tabs>
          <w:tab w:val="left" w:pos="1985"/>
        </w:tabs>
        <w:rPr>
          <w:sz w:val="24"/>
          <w:szCs w:val="24"/>
          <w:lang w:eastAsia="en-US"/>
        </w:rPr>
      </w:pPr>
      <w:hyperlink w:anchor="_Toc22627864" w:history="1">
        <w:r w:rsidR="00E61632" w:rsidRPr="00A30707">
          <w:rPr>
            <w:rStyle w:val="Hyperlink"/>
            <w:rFonts w:ascii="Gotham Book" w:hAnsi="Gotham Book"/>
          </w:rPr>
          <w:t>4.2.3</w:t>
        </w:r>
        <w:r w:rsidR="00E61632" w:rsidRPr="00A30707">
          <w:rPr>
            <w:sz w:val="24"/>
            <w:szCs w:val="24"/>
            <w:lang w:eastAsia="en-US"/>
          </w:rPr>
          <w:tab/>
        </w:r>
        <w:r w:rsidR="00E61632" w:rsidRPr="00A30707">
          <w:rPr>
            <w:rStyle w:val="Hyperlink"/>
          </w:rPr>
          <w:t>Whether the exception applies to a juvenile convicted of ‘accessing’</w:t>
        </w:r>
        <w:r w:rsidR="0003777C" w:rsidRPr="00A30707">
          <w:rPr>
            <w:rStyle w:val="Hyperlink"/>
          </w:rPr>
          <w:t> </w:t>
        </w:r>
        <w:r w:rsidR="00E61632" w:rsidRPr="00A30707">
          <w:rPr>
            <w:rStyle w:val="Hyperlink"/>
          </w:rPr>
          <w:t>CAM</w:t>
        </w:r>
        <w:r w:rsidR="00E61632" w:rsidRPr="00A30707">
          <w:rPr>
            <w:webHidden/>
          </w:rPr>
          <w:tab/>
        </w:r>
        <w:r w:rsidR="00E61632" w:rsidRPr="00A30707">
          <w:rPr>
            <w:webHidden/>
          </w:rPr>
          <w:fldChar w:fldCharType="begin"/>
        </w:r>
        <w:r w:rsidR="00E61632" w:rsidRPr="00A30707">
          <w:rPr>
            <w:webHidden/>
          </w:rPr>
          <w:instrText xml:space="preserve"> PAGEREF _Toc22627864 \h </w:instrText>
        </w:r>
        <w:r w:rsidR="00E61632" w:rsidRPr="00A30707">
          <w:rPr>
            <w:webHidden/>
          </w:rPr>
        </w:r>
        <w:r w:rsidR="00E61632" w:rsidRPr="00A30707">
          <w:rPr>
            <w:webHidden/>
          </w:rPr>
          <w:fldChar w:fldCharType="separate"/>
        </w:r>
        <w:r w:rsidR="00022664">
          <w:rPr>
            <w:webHidden/>
          </w:rPr>
          <w:t>187</w:t>
        </w:r>
        <w:r w:rsidR="00E61632" w:rsidRPr="00A30707">
          <w:rPr>
            <w:webHidden/>
          </w:rPr>
          <w:fldChar w:fldCharType="end"/>
        </w:r>
      </w:hyperlink>
    </w:p>
    <w:p w14:paraId="78D28E24" w14:textId="197A1A1C" w:rsidR="00E61632" w:rsidRPr="00A30707" w:rsidRDefault="002E5535" w:rsidP="0003777C">
      <w:pPr>
        <w:pStyle w:val="TOC8"/>
        <w:rPr>
          <w:sz w:val="24"/>
          <w:szCs w:val="24"/>
          <w:lang w:eastAsia="en-US"/>
        </w:rPr>
      </w:pPr>
      <w:hyperlink w:anchor="_Toc22627865" w:history="1">
        <w:r w:rsidR="00E61632" w:rsidRPr="00A30707">
          <w:rPr>
            <w:rStyle w:val="Hyperlink"/>
            <w:rFonts w:ascii="Gotham Book" w:hAnsi="Gotham Book"/>
          </w:rPr>
          <w:t>4.3</w:t>
        </w:r>
        <w:r w:rsidR="00E61632" w:rsidRPr="00A30707">
          <w:rPr>
            <w:sz w:val="24"/>
            <w:szCs w:val="24"/>
            <w:lang w:eastAsia="en-US"/>
          </w:rPr>
          <w:tab/>
        </w:r>
        <w:r w:rsidR="00E61632" w:rsidRPr="00A30707">
          <w:rPr>
            <w:rStyle w:val="Hyperlink"/>
          </w:rPr>
          <w:t>Need for reform of sections 3A(2)(c), 3A(5) and 3(3) of the CPOR Act</w:t>
        </w:r>
        <w:r w:rsidR="00E61632" w:rsidRPr="00A30707">
          <w:rPr>
            <w:webHidden/>
          </w:rPr>
          <w:tab/>
        </w:r>
        <w:r w:rsidR="00E61632" w:rsidRPr="00A30707">
          <w:rPr>
            <w:webHidden/>
          </w:rPr>
          <w:fldChar w:fldCharType="begin"/>
        </w:r>
        <w:r w:rsidR="00E61632" w:rsidRPr="00A30707">
          <w:rPr>
            <w:webHidden/>
          </w:rPr>
          <w:instrText xml:space="preserve"> PAGEREF _Toc22627865 \h </w:instrText>
        </w:r>
        <w:r w:rsidR="00E61632" w:rsidRPr="00A30707">
          <w:rPr>
            <w:webHidden/>
          </w:rPr>
        </w:r>
        <w:r w:rsidR="00E61632" w:rsidRPr="00A30707">
          <w:rPr>
            <w:webHidden/>
          </w:rPr>
          <w:fldChar w:fldCharType="separate"/>
        </w:r>
        <w:r w:rsidR="00022664">
          <w:rPr>
            <w:webHidden/>
          </w:rPr>
          <w:t>188</w:t>
        </w:r>
        <w:r w:rsidR="00E61632" w:rsidRPr="00A30707">
          <w:rPr>
            <w:webHidden/>
          </w:rPr>
          <w:fldChar w:fldCharType="end"/>
        </w:r>
      </w:hyperlink>
    </w:p>
    <w:p w14:paraId="40A3F61C" w14:textId="0234207E" w:rsidR="00E61632" w:rsidRPr="00A30707" w:rsidRDefault="002E5535" w:rsidP="0003777C">
      <w:pPr>
        <w:pStyle w:val="TOC7"/>
        <w:rPr>
          <w:sz w:val="24"/>
          <w:szCs w:val="24"/>
          <w:lang w:eastAsia="en-US"/>
        </w:rPr>
      </w:pPr>
      <w:hyperlink w:anchor="_Toc22627866" w:history="1">
        <w:r w:rsidR="00E61632" w:rsidRPr="00A30707">
          <w:rPr>
            <w:rStyle w:val="Hyperlink"/>
            <w:rFonts w:ascii="Gotham Book" w:hAnsi="Gotham Book"/>
          </w:rPr>
          <w:t>5.</w:t>
        </w:r>
        <w:r w:rsidR="00E61632" w:rsidRPr="00A30707">
          <w:rPr>
            <w:sz w:val="24"/>
            <w:szCs w:val="24"/>
            <w:lang w:eastAsia="en-US"/>
          </w:rPr>
          <w:tab/>
        </w:r>
        <w:r w:rsidR="00E61632" w:rsidRPr="00A30707">
          <w:rPr>
            <w:rStyle w:val="Hyperlink"/>
          </w:rPr>
          <w:t>Calculating the person’s reporting period</w:t>
        </w:r>
        <w:r w:rsidR="00E61632" w:rsidRPr="00A30707">
          <w:rPr>
            <w:webHidden/>
          </w:rPr>
          <w:tab/>
        </w:r>
        <w:r w:rsidR="00E61632" w:rsidRPr="00A30707">
          <w:rPr>
            <w:webHidden/>
          </w:rPr>
          <w:fldChar w:fldCharType="begin"/>
        </w:r>
        <w:r w:rsidR="00E61632" w:rsidRPr="00A30707">
          <w:rPr>
            <w:webHidden/>
          </w:rPr>
          <w:instrText xml:space="preserve"> PAGEREF _Toc22627866 \h </w:instrText>
        </w:r>
        <w:r w:rsidR="00E61632" w:rsidRPr="00A30707">
          <w:rPr>
            <w:webHidden/>
          </w:rPr>
        </w:r>
        <w:r w:rsidR="00E61632" w:rsidRPr="00A30707">
          <w:rPr>
            <w:webHidden/>
          </w:rPr>
          <w:fldChar w:fldCharType="separate"/>
        </w:r>
        <w:r w:rsidR="00022664">
          <w:rPr>
            <w:webHidden/>
          </w:rPr>
          <w:t>189</w:t>
        </w:r>
        <w:r w:rsidR="00E61632" w:rsidRPr="00A30707">
          <w:rPr>
            <w:webHidden/>
          </w:rPr>
          <w:fldChar w:fldCharType="end"/>
        </w:r>
      </w:hyperlink>
    </w:p>
    <w:p w14:paraId="6D2573E6" w14:textId="3C742757" w:rsidR="00E61632" w:rsidRPr="00A30707" w:rsidRDefault="002E5535" w:rsidP="0003777C">
      <w:pPr>
        <w:pStyle w:val="TOC8"/>
        <w:rPr>
          <w:sz w:val="24"/>
          <w:szCs w:val="24"/>
          <w:lang w:eastAsia="en-US"/>
        </w:rPr>
      </w:pPr>
      <w:hyperlink w:anchor="_Toc22627867" w:history="1">
        <w:r w:rsidR="00E61632" w:rsidRPr="00A30707">
          <w:rPr>
            <w:rStyle w:val="Hyperlink"/>
            <w:rFonts w:ascii="Gotham Book" w:hAnsi="Gotham Book"/>
          </w:rPr>
          <w:t>5.1</w:t>
        </w:r>
        <w:r w:rsidR="00E61632" w:rsidRPr="00A30707">
          <w:rPr>
            <w:sz w:val="24"/>
            <w:szCs w:val="24"/>
            <w:lang w:eastAsia="en-US"/>
          </w:rPr>
          <w:tab/>
        </w:r>
        <w:r w:rsidR="00E61632" w:rsidRPr="00A30707">
          <w:rPr>
            <w:rStyle w:val="Hyperlink"/>
          </w:rPr>
          <w:t>Identifying the age of the offender on the date of offending</w:t>
        </w:r>
        <w:r w:rsidR="00E61632" w:rsidRPr="00A30707">
          <w:rPr>
            <w:webHidden/>
          </w:rPr>
          <w:tab/>
        </w:r>
        <w:r w:rsidR="00E61632" w:rsidRPr="00A30707">
          <w:rPr>
            <w:webHidden/>
          </w:rPr>
          <w:fldChar w:fldCharType="begin"/>
        </w:r>
        <w:r w:rsidR="00E61632" w:rsidRPr="00A30707">
          <w:rPr>
            <w:webHidden/>
          </w:rPr>
          <w:instrText xml:space="preserve"> PAGEREF _Toc22627867 \h </w:instrText>
        </w:r>
        <w:r w:rsidR="00E61632" w:rsidRPr="00A30707">
          <w:rPr>
            <w:webHidden/>
          </w:rPr>
        </w:r>
        <w:r w:rsidR="00E61632" w:rsidRPr="00A30707">
          <w:rPr>
            <w:webHidden/>
          </w:rPr>
          <w:fldChar w:fldCharType="separate"/>
        </w:r>
        <w:r w:rsidR="00022664">
          <w:rPr>
            <w:webHidden/>
          </w:rPr>
          <w:t>192</w:t>
        </w:r>
        <w:r w:rsidR="00E61632" w:rsidRPr="00A30707">
          <w:rPr>
            <w:webHidden/>
          </w:rPr>
          <w:fldChar w:fldCharType="end"/>
        </w:r>
      </w:hyperlink>
    </w:p>
    <w:p w14:paraId="50DC35B1" w14:textId="18FC0235" w:rsidR="00E61632" w:rsidRPr="00A30707" w:rsidRDefault="002E5535" w:rsidP="0003777C">
      <w:pPr>
        <w:pStyle w:val="TOC8"/>
        <w:rPr>
          <w:sz w:val="24"/>
          <w:szCs w:val="24"/>
          <w:lang w:eastAsia="en-US"/>
        </w:rPr>
      </w:pPr>
      <w:hyperlink w:anchor="_Toc22627868" w:history="1">
        <w:r w:rsidR="00E61632" w:rsidRPr="00A30707">
          <w:rPr>
            <w:rStyle w:val="Hyperlink"/>
            <w:rFonts w:ascii="Gotham Book" w:hAnsi="Gotham Book" w:cs="Arial"/>
          </w:rPr>
          <w:t>5.2</w:t>
        </w:r>
        <w:r w:rsidR="00E61632" w:rsidRPr="00A30707">
          <w:rPr>
            <w:sz w:val="24"/>
            <w:szCs w:val="24"/>
            <w:lang w:eastAsia="en-US"/>
          </w:rPr>
          <w:tab/>
        </w:r>
        <w:r w:rsidR="00E61632" w:rsidRPr="00A30707">
          <w:rPr>
            <w:rStyle w:val="Hyperlink"/>
          </w:rPr>
          <w:t>Grouping of multiple offences</w:t>
        </w:r>
        <w:r w:rsidR="00E61632" w:rsidRPr="00A30707">
          <w:rPr>
            <w:webHidden/>
          </w:rPr>
          <w:tab/>
        </w:r>
        <w:r w:rsidR="00E61632" w:rsidRPr="00A30707">
          <w:rPr>
            <w:webHidden/>
          </w:rPr>
          <w:fldChar w:fldCharType="begin"/>
        </w:r>
        <w:r w:rsidR="00E61632" w:rsidRPr="00A30707">
          <w:rPr>
            <w:webHidden/>
          </w:rPr>
          <w:instrText xml:space="preserve"> PAGEREF _Toc22627868 \h </w:instrText>
        </w:r>
        <w:r w:rsidR="00E61632" w:rsidRPr="00A30707">
          <w:rPr>
            <w:webHidden/>
          </w:rPr>
        </w:r>
        <w:r w:rsidR="00E61632" w:rsidRPr="00A30707">
          <w:rPr>
            <w:webHidden/>
          </w:rPr>
          <w:fldChar w:fldCharType="separate"/>
        </w:r>
        <w:r w:rsidR="00022664">
          <w:rPr>
            <w:webHidden/>
          </w:rPr>
          <w:t>193</w:t>
        </w:r>
        <w:r w:rsidR="00E61632" w:rsidRPr="00A30707">
          <w:rPr>
            <w:webHidden/>
          </w:rPr>
          <w:fldChar w:fldCharType="end"/>
        </w:r>
      </w:hyperlink>
    </w:p>
    <w:p w14:paraId="2B0499F3" w14:textId="2A4CA9A2" w:rsidR="00E61632" w:rsidRPr="00A30707" w:rsidRDefault="002E5535" w:rsidP="0003777C">
      <w:pPr>
        <w:pStyle w:val="TOC8"/>
        <w:rPr>
          <w:sz w:val="24"/>
          <w:szCs w:val="24"/>
          <w:lang w:eastAsia="en-US"/>
        </w:rPr>
      </w:pPr>
      <w:hyperlink w:anchor="_Toc22627869" w:history="1">
        <w:r w:rsidR="00E61632" w:rsidRPr="00A30707">
          <w:rPr>
            <w:rStyle w:val="Hyperlink"/>
            <w:rFonts w:ascii="Gotham Book" w:hAnsi="Gotham Book"/>
          </w:rPr>
          <w:t>5.3</w:t>
        </w:r>
        <w:r w:rsidR="00E61632" w:rsidRPr="00A30707">
          <w:rPr>
            <w:sz w:val="24"/>
            <w:szCs w:val="24"/>
            <w:lang w:eastAsia="en-US"/>
          </w:rPr>
          <w:tab/>
        </w:r>
        <w:r w:rsidR="00E61632" w:rsidRPr="00A30707">
          <w:rPr>
            <w:rStyle w:val="Hyperlink"/>
          </w:rPr>
          <w:t>Particular issues with counting CAM offences</w:t>
        </w:r>
        <w:r w:rsidR="00E61632" w:rsidRPr="00A30707">
          <w:rPr>
            <w:webHidden/>
          </w:rPr>
          <w:tab/>
        </w:r>
        <w:r w:rsidR="00E61632" w:rsidRPr="00A30707">
          <w:rPr>
            <w:webHidden/>
          </w:rPr>
          <w:fldChar w:fldCharType="begin"/>
        </w:r>
        <w:r w:rsidR="00E61632" w:rsidRPr="00A30707">
          <w:rPr>
            <w:webHidden/>
          </w:rPr>
          <w:instrText xml:space="preserve"> PAGEREF _Toc22627869 \h </w:instrText>
        </w:r>
        <w:r w:rsidR="00E61632" w:rsidRPr="00A30707">
          <w:rPr>
            <w:webHidden/>
          </w:rPr>
        </w:r>
        <w:r w:rsidR="00E61632" w:rsidRPr="00A30707">
          <w:rPr>
            <w:webHidden/>
          </w:rPr>
          <w:fldChar w:fldCharType="separate"/>
        </w:r>
        <w:r w:rsidR="00022664">
          <w:rPr>
            <w:webHidden/>
          </w:rPr>
          <w:t>194</w:t>
        </w:r>
        <w:r w:rsidR="00E61632" w:rsidRPr="00A30707">
          <w:rPr>
            <w:webHidden/>
          </w:rPr>
          <w:fldChar w:fldCharType="end"/>
        </w:r>
      </w:hyperlink>
    </w:p>
    <w:p w14:paraId="6A92C02A" w14:textId="603A0A65" w:rsidR="00E61632" w:rsidRPr="00A30707" w:rsidRDefault="002E5535" w:rsidP="0003777C">
      <w:pPr>
        <w:pStyle w:val="TOC8"/>
        <w:rPr>
          <w:sz w:val="24"/>
          <w:szCs w:val="24"/>
          <w:lang w:eastAsia="en-US"/>
        </w:rPr>
      </w:pPr>
      <w:hyperlink w:anchor="_Toc22627870" w:history="1">
        <w:r w:rsidR="00E61632" w:rsidRPr="00A30707">
          <w:rPr>
            <w:rStyle w:val="Hyperlink"/>
            <w:rFonts w:ascii="Gotham Book" w:hAnsi="Gotham Book"/>
          </w:rPr>
          <w:t>5.4</w:t>
        </w:r>
        <w:r w:rsidR="00E61632" w:rsidRPr="00A30707">
          <w:rPr>
            <w:sz w:val="24"/>
            <w:szCs w:val="24"/>
            <w:lang w:eastAsia="en-US"/>
          </w:rPr>
          <w:tab/>
        </w:r>
        <w:r w:rsidR="00E61632" w:rsidRPr="00A30707">
          <w:rPr>
            <w:rStyle w:val="Hyperlink"/>
          </w:rPr>
          <w:t>Need for reform of formulas for calculating reporting periods</w:t>
        </w:r>
        <w:r w:rsidR="00E61632" w:rsidRPr="00A30707">
          <w:rPr>
            <w:webHidden/>
          </w:rPr>
          <w:tab/>
        </w:r>
        <w:r w:rsidR="00E61632" w:rsidRPr="00A30707">
          <w:rPr>
            <w:webHidden/>
          </w:rPr>
          <w:fldChar w:fldCharType="begin"/>
        </w:r>
        <w:r w:rsidR="00E61632" w:rsidRPr="00A30707">
          <w:rPr>
            <w:webHidden/>
          </w:rPr>
          <w:instrText xml:space="preserve"> PAGEREF _Toc22627870 \h </w:instrText>
        </w:r>
        <w:r w:rsidR="00E61632" w:rsidRPr="00A30707">
          <w:rPr>
            <w:webHidden/>
          </w:rPr>
        </w:r>
        <w:r w:rsidR="00E61632" w:rsidRPr="00A30707">
          <w:rPr>
            <w:webHidden/>
          </w:rPr>
          <w:fldChar w:fldCharType="separate"/>
        </w:r>
        <w:r w:rsidR="00022664">
          <w:rPr>
            <w:webHidden/>
          </w:rPr>
          <w:t>197</w:t>
        </w:r>
        <w:r w:rsidR="00E61632" w:rsidRPr="00A30707">
          <w:rPr>
            <w:webHidden/>
          </w:rPr>
          <w:fldChar w:fldCharType="end"/>
        </w:r>
      </w:hyperlink>
    </w:p>
    <w:p w14:paraId="1AE2F0A3" w14:textId="79A1ADD3" w:rsidR="00E61632" w:rsidRPr="00A30707" w:rsidRDefault="002E5535" w:rsidP="0003777C">
      <w:pPr>
        <w:pStyle w:val="TOC7"/>
        <w:rPr>
          <w:sz w:val="24"/>
          <w:szCs w:val="24"/>
          <w:lang w:eastAsia="en-US"/>
        </w:rPr>
      </w:pPr>
      <w:hyperlink w:anchor="_Toc22627871" w:history="1">
        <w:r w:rsidR="00E61632" w:rsidRPr="00A30707">
          <w:rPr>
            <w:rStyle w:val="Hyperlink"/>
            <w:rFonts w:ascii="Gotham Book" w:hAnsi="Gotham Book"/>
          </w:rPr>
          <w:t>6.</w:t>
        </w:r>
        <w:r w:rsidR="00E61632" w:rsidRPr="00A30707">
          <w:rPr>
            <w:sz w:val="24"/>
            <w:szCs w:val="24"/>
            <w:lang w:eastAsia="en-US"/>
          </w:rPr>
          <w:tab/>
        </w:r>
        <w:r w:rsidR="00E61632" w:rsidRPr="00A30707">
          <w:rPr>
            <w:rStyle w:val="Hyperlink"/>
          </w:rPr>
          <w:t>Identifying when persons who have offended in other jurisdictions need</w:t>
        </w:r>
        <w:r w:rsidR="0003777C" w:rsidRPr="00A30707">
          <w:rPr>
            <w:rStyle w:val="Hyperlink"/>
          </w:rPr>
          <w:t> </w:t>
        </w:r>
        <w:r w:rsidR="00E61632" w:rsidRPr="00A30707">
          <w:rPr>
            <w:rStyle w:val="Hyperlink"/>
          </w:rPr>
          <w:t>to</w:t>
        </w:r>
        <w:r w:rsidR="0003777C" w:rsidRPr="00A30707">
          <w:rPr>
            <w:rStyle w:val="Hyperlink"/>
          </w:rPr>
          <w:t> </w:t>
        </w:r>
        <w:r w:rsidR="00E61632" w:rsidRPr="00A30707">
          <w:rPr>
            <w:rStyle w:val="Hyperlink"/>
          </w:rPr>
          <w:t>report</w:t>
        </w:r>
        <w:r w:rsidR="0003777C" w:rsidRPr="00A30707">
          <w:rPr>
            <w:rStyle w:val="Hyperlink"/>
          </w:rPr>
          <w:t> </w:t>
        </w:r>
        <w:r w:rsidR="00E61632" w:rsidRPr="00A30707">
          <w:rPr>
            <w:rStyle w:val="Hyperlink"/>
          </w:rPr>
          <w:t>under the CPOR Act</w:t>
        </w:r>
        <w:r w:rsidR="00E61632" w:rsidRPr="00A30707">
          <w:rPr>
            <w:webHidden/>
          </w:rPr>
          <w:tab/>
        </w:r>
        <w:r w:rsidR="00E61632" w:rsidRPr="00A30707">
          <w:rPr>
            <w:webHidden/>
          </w:rPr>
          <w:fldChar w:fldCharType="begin"/>
        </w:r>
        <w:r w:rsidR="00E61632" w:rsidRPr="00A30707">
          <w:rPr>
            <w:webHidden/>
          </w:rPr>
          <w:instrText xml:space="preserve"> PAGEREF _Toc22627871 \h </w:instrText>
        </w:r>
        <w:r w:rsidR="00E61632" w:rsidRPr="00A30707">
          <w:rPr>
            <w:webHidden/>
          </w:rPr>
        </w:r>
        <w:r w:rsidR="00E61632" w:rsidRPr="00A30707">
          <w:rPr>
            <w:webHidden/>
          </w:rPr>
          <w:fldChar w:fldCharType="separate"/>
        </w:r>
        <w:r w:rsidR="00022664">
          <w:rPr>
            <w:webHidden/>
          </w:rPr>
          <w:t>198</w:t>
        </w:r>
        <w:r w:rsidR="00E61632" w:rsidRPr="00A30707">
          <w:rPr>
            <w:webHidden/>
          </w:rPr>
          <w:fldChar w:fldCharType="end"/>
        </w:r>
      </w:hyperlink>
    </w:p>
    <w:p w14:paraId="0F366DD7" w14:textId="0772D5E7" w:rsidR="00E61632" w:rsidRPr="00A30707" w:rsidRDefault="002E5535" w:rsidP="0003777C">
      <w:pPr>
        <w:pStyle w:val="TOC8"/>
        <w:rPr>
          <w:sz w:val="24"/>
          <w:szCs w:val="24"/>
          <w:lang w:eastAsia="en-US"/>
        </w:rPr>
      </w:pPr>
      <w:hyperlink w:anchor="_Toc22627872" w:history="1">
        <w:r w:rsidR="00E61632" w:rsidRPr="00A30707">
          <w:rPr>
            <w:rStyle w:val="Hyperlink"/>
            <w:rFonts w:ascii="Gotham Book" w:hAnsi="Gotham Book"/>
          </w:rPr>
          <w:t>6.1</w:t>
        </w:r>
        <w:r w:rsidR="00E61632" w:rsidRPr="00A30707">
          <w:rPr>
            <w:sz w:val="24"/>
            <w:szCs w:val="24"/>
            <w:lang w:eastAsia="en-US"/>
          </w:rPr>
          <w:tab/>
        </w:r>
        <w:r w:rsidR="00E61632" w:rsidRPr="00A30707">
          <w:rPr>
            <w:rStyle w:val="Hyperlink"/>
          </w:rPr>
          <w:t>Identifying when a person who has committed offences ‘under the</w:t>
        </w:r>
        <w:r w:rsidR="0003777C" w:rsidRPr="00A30707">
          <w:rPr>
            <w:rStyle w:val="Hyperlink"/>
          </w:rPr>
          <w:t> </w:t>
        </w:r>
        <w:r w:rsidR="00E61632" w:rsidRPr="00A30707">
          <w:rPr>
            <w:rStyle w:val="Hyperlink"/>
          </w:rPr>
          <w:t>law</w:t>
        </w:r>
        <w:r w:rsidR="0003777C" w:rsidRPr="00A30707">
          <w:rPr>
            <w:rStyle w:val="Hyperlink"/>
          </w:rPr>
          <w:t> </w:t>
        </w:r>
        <w:r w:rsidR="00E61632" w:rsidRPr="00A30707">
          <w:rPr>
            <w:rStyle w:val="Hyperlink"/>
          </w:rPr>
          <w:t>of</w:t>
        </w:r>
        <w:r w:rsidR="0003777C" w:rsidRPr="00A30707">
          <w:rPr>
            <w:rStyle w:val="Hyperlink"/>
          </w:rPr>
          <w:t> </w:t>
        </w:r>
        <w:r w:rsidR="00E61632" w:rsidRPr="00A30707">
          <w:rPr>
            <w:rStyle w:val="Hyperlink"/>
          </w:rPr>
          <w:t>a</w:t>
        </w:r>
        <w:r w:rsidR="0003777C" w:rsidRPr="00A30707">
          <w:rPr>
            <w:rStyle w:val="Hyperlink"/>
          </w:rPr>
          <w:t> </w:t>
        </w:r>
        <w:r w:rsidR="00E61632" w:rsidRPr="00A30707">
          <w:rPr>
            <w:rStyle w:val="Hyperlink"/>
          </w:rPr>
          <w:t>foreign jurisdiction’ is registrable</w:t>
        </w:r>
        <w:r w:rsidR="00E61632" w:rsidRPr="00A30707">
          <w:rPr>
            <w:webHidden/>
          </w:rPr>
          <w:tab/>
        </w:r>
        <w:r w:rsidR="00E61632" w:rsidRPr="00A30707">
          <w:rPr>
            <w:webHidden/>
          </w:rPr>
          <w:fldChar w:fldCharType="begin"/>
        </w:r>
        <w:r w:rsidR="00E61632" w:rsidRPr="00A30707">
          <w:rPr>
            <w:webHidden/>
          </w:rPr>
          <w:instrText xml:space="preserve"> PAGEREF _Toc22627872 \h </w:instrText>
        </w:r>
        <w:r w:rsidR="00E61632" w:rsidRPr="00A30707">
          <w:rPr>
            <w:webHidden/>
          </w:rPr>
        </w:r>
        <w:r w:rsidR="00E61632" w:rsidRPr="00A30707">
          <w:rPr>
            <w:webHidden/>
          </w:rPr>
          <w:fldChar w:fldCharType="separate"/>
        </w:r>
        <w:r w:rsidR="00022664">
          <w:rPr>
            <w:webHidden/>
          </w:rPr>
          <w:t>198</w:t>
        </w:r>
        <w:r w:rsidR="00E61632" w:rsidRPr="00A30707">
          <w:rPr>
            <w:webHidden/>
          </w:rPr>
          <w:fldChar w:fldCharType="end"/>
        </w:r>
      </w:hyperlink>
    </w:p>
    <w:p w14:paraId="362095AA" w14:textId="0AB455C6" w:rsidR="00E61632" w:rsidRPr="00A30707" w:rsidRDefault="002E5535" w:rsidP="0003777C">
      <w:pPr>
        <w:pStyle w:val="TOC8"/>
        <w:rPr>
          <w:sz w:val="24"/>
          <w:szCs w:val="24"/>
          <w:lang w:eastAsia="en-US"/>
        </w:rPr>
      </w:pPr>
      <w:hyperlink w:anchor="_Toc22627873" w:history="1">
        <w:r w:rsidR="00E61632" w:rsidRPr="00A30707">
          <w:rPr>
            <w:rStyle w:val="Hyperlink"/>
            <w:rFonts w:ascii="Gotham Book" w:hAnsi="Gotham Book"/>
          </w:rPr>
          <w:t>6.2</w:t>
        </w:r>
        <w:r w:rsidR="00E61632" w:rsidRPr="00A30707">
          <w:rPr>
            <w:sz w:val="24"/>
            <w:szCs w:val="24"/>
            <w:lang w:eastAsia="en-US"/>
          </w:rPr>
          <w:tab/>
        </w:r>
        <w:r w:rsidR="00E61632" w:rsidRPr="00A30707">
          <w:rPr>
            <w:rStyle w:val="Hyperlink"/>
          </w:rPr>
          <w:t>Identifying persons who are ‘corresponding registrable persons’</w:t>
        </w:r>
        <w:r w:rsidR="00E61632" w:rsidRPr="00A30707">
          <w:rPr>
            <w:webHidden/>
          </w:rPr>
          <w:tab/>
        </w:r>
        <w:r w:rsidR="00E61632" w:rsidRPr="00A30707">
          <w:rPr>
            <w:webHidden/>
          </w:rPr>
          <w:fldChar w:fldCharType="begin"/>
        </w:r>
        <w:r w:rsidR="00E61632" w:rsidRPr="00A30707">
          <w:rPr>
            <w:webHidden/>
          </w:rPr>
          <w:instrText xml:space="preserve"> PAGEREF _Toc22627873 \h </w:instrText>
        </w:r>
        <w:r w:rsidR="00E61632" w:rsidRPr="00A30707">
          <w:rPr>
            <w:webHidden/>
          </w:rPr>
        </w:r>
        <w:r w:rsidR="00E61632" w:rsidRPr="00A30707">
          <w:rPr>
            <w:webHidden/>
          </w:rPr>
          <w:fldChar w:fldCharType="separate"/>
        </w:r>
        <w:r w:rsidR="00022664">
          <w:rPr>
            <w:webHidden/>
          </w:rPr>
          <w:t>199</w:t>
        </w:r>
        <w:r w:rsidR="00E61632" w:rsidRPr="00A30707">
          <w:rPr>
            <w:webHidden/>
          </w:rPr>
          <w:fldChar w:fldCharType="end"/>
        </w:r>
      </w:hyperlink>
    </w:p>
    <w:p w14:paraId="1B1A7C51" w14:textId="3B6DEADF" w:rsidR="00E61632" w:rsidRPr="00A30707" w:rsidRDefault="002E5535" w:rsidP="0003777C">
      <w:pPr>
        <w:pStyle w:val="TOC8"/>
        <w:rPr>
          <w:sz w:val="24"/>
          <w:szCs w:val="24"/>
          <w:lang w:eastAsia="en-US"/>
        </w:rPr>
      </w:pPr>
      <w:hyperlink w:anchor="_Toc22627874" w:history="1">
        <w:r w:rsidR="00E61632" w:rsidRPr="00A30707">
          <w:rPr>
            <w:rStyle w:val="Hyperlink"/>
            <w:rFonts w:ascii="Gotham Book" w:hAnsi="Gotham Book"/>
          </w:rPr>
          <w:t>6.3</w:t>
        </w:r>
        <w:r w:rsidR="00E61632" w:rsidRPr="00A30707">
          <w:rPr>
            <w:sz w:val="24"/>
            <w:szCs w:val="24"/>
            <w:lang w:eastAsia="en-US"/>
          </w:rPr>
          <w:tab/>
        </w:r>
        <w:r w:rsidR="00E61632" w:rsidRPr="00A30707">
          <w:rPr>
            <w:rStyle w:val="Hyperlink"/>
          </w:rPr>
          <w:t>Determining whether the foreign jurisdiction offence provisions and/or</w:t>
        </w:r>
        <w:r w:rsidR="0003777C" w:rsidRPr="00A30707">
          <w:rPr>
            <w:rStyle w:val="Hyperlink"/>
          </w:rPr>
          <w:t> </w:t>
        </w:r>
        <w:r w:rsidR="00E61632" w:rsidRPr="00A30707">
          <w:rPr>
            <w:rStyle w:val="Hyperlink"/>
          </w:rPr>
          <w:t>the</w:t>
        </w:r>
        <w:r w:rsidR="0003777C" w:rsidRPr="00A30707">
          <w:rPr>
            <w:rStyle w:val="Hyperlink"/>
          </w:rPr>
          <w:t> </w:t>
        </w:r>
        <w:r w:rsidR="00E61632" w:rsidRPr="00A30707">
          <w:rPr>
            <w:rStyle w:val="Hyperlink"/>
          </w:rPr>
          <w:t>corresponding registrable person provisions apply</w:t>
        </w:r>
        <w:r w:rsidR="00E61632" w:rsidRPr="00A30707">
          <w:rPr>
            <w:webHidden/>
          </w:rPr>
          <w:tab/>
        </w:r>
        <w:r w:rsidR="00E61632" w:rsidRPr="00A30707">
          <w:rPr>
            <w:webHidden/>
          </w:rPr>
          <w:fldChar w:fldCharType="begin"/>
        </w:r>
        <w:r w:rsidR="00E61632" w:rsidRPr="00A30707">
          <w:rPr>
            <w:webHidden/>
          </w:rPr>
          <w:instrText xml:space="preserve"> PAGEREF _Toc22627874 \h </w:instrText>
        </w:r>
        <w:r w:rsidR="00E61632" w:rsidRPr="00A30707">
          <w:rPr>
            <w:webHidden/>
          </w:rPr>
        </w:r>
        <w:r w:rsidR="00E61632" w:rsidRPr="00A30707">
          <w:rPr>
            <w:webHidden/>
          </w:rPr>
          <w:fldChar w:fldCharType="separate"/>
        </w:r>
        <w:r w:rsidR="00022664">
          <w:rPr>
            <w:webHidden/>
          </w:rPr>
          <w:t>200</w:t>
        </w:r>
        <w:r w:rsidR="00E61632" w:rsidRPr="00A30707">
          <w:rPr>
            <w:webHidden/>
          </w:rPr>
          <w:fldChar w:fldCharType="end"/>
        </w:r>
      </w:hyperlink>
    </w:p>
    <w:p w14:paraId="621FF5EE" w14:textId="3F8FFA71" w:rsidR="00E61632" w:rsidRPr="00A30707" w:rsidRDefault="002E5535" w:rsidP="0003777C">
      <w:pPr>
        <w:pStyle w:val="TOC8"/>
        <w:rPr>
          <w:sz w:val="24"/>
          <w:szCs w:val="24"/>
          <w:lang w:eastAsia="en-US"/>
        </w:rPr>
      </w:pPr>
      <w:hyperlink w:anchor="_Toc22627875" w:history="1">
        <w:r w:rsidR="00E61632" w:rsidRPr="00A30707">
          <w:rPr>
            <w:rStyle w:val="Hyperlink"/>
            <w:rFonts w:ascii="Gotham Book" w:hAnsi="Gotham Book"/>
          </w:rPr>
          <w:t>6.4</w:t>
        </w:r>
        <w:r w:rsidR="00E61632" w:rsidRPr="00A30707">
          <w:rPr>
            <w:sz w:val="24"/>
            <w:szCs w:val="24"/>
            <w:lang w:eastAsia="en-US"/>
          </w:rPr>
          <w:tab/>
        </w:r>
        <w:r w:rsidR="00E61632" w:rsidRPr="00A30707">
          <w:rPr>
            <w:rStyle w:val="Hyperlink"/>
          </w:rPr>
          <w:t>Determining the reporting period for a person who has had reporting obligations in multiple jurisdictions</w:t>
        </w:r>
        <w:r w:rsidR="00E61632" w:rsidRPr="00A30707">
          <w:rPr>
            <w:webHidden/>
          </w:rPr>
          <w:tab/>
        </w:r>
        <w:r w:rsidR="00E61632" w:rsidRPr="00A30707">
          <w:rPr>
            <w:webHidden/>
          </w:rPr>
          <w:fldChar w:fldCharType="begin"/>
        </w:r>
        <w:r w:rsidR="00E61632" w:rsidRPr="00A30707">
          <w:rPr>
            <w:webHidden/>
          </w:rPr>
          <w:instrText xml:space="preserve"> PAGEREF _Toc22627875 \h </w:instrText>
        </w:r>
        <w:r w:rsidR="00E61632" w:rsidRPr="00A30707">
          <w:rPr>
            <w:webHidden/>
          </w:rPr>
        </w:r>
        <w:r w:rsidR="00E61632" w:rsidRPr="00A30707">
          <w:rPr>
            <w:webHidden/>
          </w:rPr>
          <w:fldChar w:fldCharType="separate"/>
        </w:r>
        <w:r w:rsidR="00022664">
          <w:rPr>
            <w:webHidden/>
          </w:rPr>
          <w:t>204</w:t>
        </w:r>
        <w:r w:rsidR="00E61632" w:rsidRPr="00A30707">
          <w:rPr>
            <w:webHidden/>
          </w:rPr>
          <w:fldChar w:fldCharType="end"/>
        </w:r>
      </w:hyperlink>
    </w:p>
    <w:p w14:paraId="7F2AA8BD" w14:textId="1C4ACE9D" w:rsidR="00E61632" w:rsidRPr="00A30707" w:rsidRDefault="002E5535" w:rsidP="0003777C">
      <w:pPr>
        <w:pStyle w:val="TOC7"/>
        <w:rPr>
          <w:sz w:val="24"/>
          <w:szCs w:val="24"/>
          <w:lang w:eastAsia="en-US"/>
        </w:rPr>
      </w:pPr>
      <w:hyperlink w:anchor="_Toc22627876" w:history="1">
        <w:r w:rsidR="00E61632" w:rsidRPr="00A30707">
          <w:rPr>
            <w:rStyle w:val="Hyperlink"/>
            <w:rFonts w:ascii="Gotham Book" w:hAnsi="Gotham Book"/>
          </w:rPr>
          <w:t>7.</w:t>
        </w:r>
        <w:r w:rsidR="00E61632" w:rsidRPr="00A30707">
          <w:rPr>
            <w:sz w:val="24"/>
            <w:szCs w:val="24"/>
            <w:lang w:eastAsia="en-US"/>
          </w:rPr>
          <w:tab/>
        </w:r>
        <w:r w:rsidR="00E61632" w:rsidRPr="00A30707">
          <w:rPr>
            <w:rStyle w:val="Hyperlink"/>
          </w:rPr>
          <w:t>Interpreting and enforcing reporting obligations</w:t>
        </w:r>
        <w:r w:rsidR="00E61632" w:rsidRPr="00A30707">
          <w:rPr>
            <w:webHidden/>
          </w:rPr>
          <w:tab/>
        </w:r>
        <w:r w:rsidR="00E61632" w:rsidRPr="00A30707">
          <w:rPr>
            <w:webHidden/>
          </w:rPr>
          <w:fldChar w:fldCharType="begin"/>
        </w:r>
        <w:r w:rsidR="00E61632" w:rsidRPr="00A30707">
          <w:rPr>
            <w:webHidden/>
          </w:rPr>
          <w:instrText xml:space="preserve"> PAGEREF _Toc22627876 \h </w:instrText>
        </w:r>
        <w:r w:rsidR="00E61632" w:rsidRPr="00A30707">
          <w:rPr>
            <w:webHidden/>
          </w:rPr>
        </w:r>
        <w:r w:rsidR="00E61632" w:rsidRPr="00A30707">
          <w:rPr>
            <w:webHidden/>
          </w:rPr>
          <w:fldChar w:fldCharType="separate"/>
        </w:r>
        <w:r w:rsidR="00022664">
          <w:rPr>
            <w:webHidden/>
          </w:rPr>
          <w:t>205</w:t>
        </w:r>
        <w:r w:rsidR="00E61632" w:rsidRPr="00A30707">
          <w:rPr>
            <w:webHidden/>
          </w:rPr>
          <w:fldChar w:fldCharType="end"/>
        </w:r>
      </w:hyperlink>
    </w:p>
    <w:p w14:paraId="22984F7A" w14:textId="7EF5D25F" w:rsidR="00E61632" w:rsidRPr="00A30707" w:rsidRDefault="002E5535" w:rsidP="0003777C">
      <w:pPr>
        <w:pStyle w:val="TOC8"/>
        <w:rPr>
          <w:sz w:val="24"/>
          <w:szCs w:val="24"/>
          <w:lang w:eastAsia="en-US"/>
        </w:rPr>
      </w:pPr>
      <w:hyperlink w:anchor="_Toc22627877" w:history="1">
        <w:r w:rsidR="00E61632" w:rsidRPr="00A30707">
          <w:rPr>
            <w:rStyle w:val="Hyperlink"/>
            <w:rFonts w:ascii="Gotham Book" w:hAnsi="Gotham Book"/>
          </w:rPr>
          <w:t>7.1</w:t>
        </w:r>
        <w:r w:rsidR="00E61632" w:rsidRPr="00A30707">
          <w:rPr>
            <w:sz w:val="24"/>
            <w:szCs w:val="24"/>
            <w:lang w:eastAsia="en-US"/>
          </w:rPr>
          <w:tab/>
        </w:r>
        <w:r w:rsidR="00E61632" w:rsidRPr="00A30707">
          <w:rPr>
            <w:rStyle w:val="Hyperlink"/>
          </w:rPr>
          <w:t>Obligation to report changes regarding residence with children</w:t>
        </w:r>
        <w:r w:rsidR="00E61632" w:rsidRPr="00A30707">
          <w:rPr>
            <w:webHidden/>
          </w:rPr>
          <w:tab/>
        </w:r>
        <w:r w:rsidR="00E61632" w:rsidRPr="00A30707">
          <w:rPr>
            <w:webHidden/>
          </w:rPr>
          <w:fldChar w:fldCharType="begin"/>
        </w:r>
        <w:r w:rsidR="00E61632" w:rsidRPr="00A30707">
          <w:rPr>
            <w:webHidden/>
          </w:rPr>
          <w:instrText xml:space="preserve"> PAGEREF _Toc22627877 \h </w:instrText>
        </w:r>
        <w:r w:rsidR="00E61632" w:rsidRPr="00A30707">
          <w:rPr>
            <w:webHidden/>
          </w:rPr>
        </w:r>
        <w:r w:rsidR="00E61632" w:rsidRPr="00A30707">
          <w:rPr>
            <w:webHidden/>
          </w:rPr>
          <w:fldChar w:fldCharType="separate"/>
        </w:r>
        <w:r w:rsidR="00022664">
          <w:rPr>
            <w:webHidden/>
          </w:rPr>
          <w:t>206</w:t>
        </w:r>
        <w:r w:rsidR="00E61632" w:rsidRPr="00A30707">
          <w:rPr>
            <w:webHidden/>
          </w:rPr>
          <w:fldChar w:fldCharType="end"/>
        </w:r>
      </w:hyperlink>
    </w:p>
    <w:p w14:paraId="482DB5B0" w14:textId="5A3452E1" w:rsidR="00E61632" w:rsidRPr="00A30707" w:rsidRDefault="002E5535" w:rsidP="0003777C">
      <w:pPr>
        <w:pStyle w:val="TOC8"/>
        <w:rPr>
          <w:sz w:val="24"/>
          <w:szCs w:val="24"/>
          <w:lang w:eastAsia="en-US"/>
        </w:rPr>
      </w:pPr>
      <w:hyperlink w:anchor="_Toc22627878" w:history="1">
        <w:r w:rsidR="00E61632" w:rsidRPr="00A30707">
          <w:rPr>
            <w:rStyle w:val="Hyperlink"/>
            <w:rFonts w:ascii="Gotham Book" w:hAnsi="Gotham Book"/>
          </w:rPr>
          <w:t>7.2</w:t>
        </w:r>
        <w:r w:rsidR="00E61632" w:rsidRPr="00A30707">
          <w:rPr>
            <w:sz w:val="24"/>
            <w:szCs w:val="24"/>
            <w:lang w:eastAsia="en-US"/>
          </w:rPr>
          <w:tab/>
        </w:r>
        <w:r w:rsidR="00E61632" w:rsidRPr="00A30707">
          <w:rPr>
            <w:rStyle w:val="Hyperlink"/>
          </w:rPr>
          <w:t>Obligation to report employment</w:t>
        </w:r>
        <w:r w:rsidR="00E61632" w:rsidRPr="00A30707">
          <w:rPr>
            <w:webHidden/>
          </w:rPr>
          <w:tab/>
        </w:r>
        <w:r w:rsidR="00E61632" w:rsidRPr="00A30707">
          <w:rPr>
            <w:webHidden/>
          </w:rPr>
          <w:fldChar w:fldCharType="begin"/>
        </w:r>
        <w:r w:rsidR="00E61632" w:rsidRPr="00A30707">
          <w:rPr>
            <w:webHidden/>
          </w:rPr>
          <w:instrText xml:space="preserve"> PAGEREF _Toc22627878 \h </w:instrText>
        </w:r>
        <w:r w:rsidR="00E61632" w:rsidRPr="00A30707">
          <w:rPr>
            <w:webHidden/>
          </w:rPr>
        </w:r>
        <w:r w:rsidR="00E61632" w:rsidRPr="00A30707">
          <w:rPr>
            <w:webHidden/>
          </w:rPr>
          <w:fldChar w:fldCharType="separate"/>
        </w:r>
        <w:r w:rsidR="00022664">
          <w:rPr>
            <w:webHidden/>
          </w:rPr>
          <w:t>208</w:t>
        </w:r>
        <w:r w:rsidR="00E61632" w:rsidRPr="00A30707">
          <w:rPr>
            <w:webHidden/>
          </w:rPr>
          <w:fldChar w:fldCharType="end"/>
        </w:r>
      </w:hyperlink>
    </w:p>
    <w:p w14:paraId="1CA00DE3" w14:textId="06DBA6D0" w:rsidR="00E61632" w:rsidRPr="00A30707" w:rsidRDefault="002E5535">
      <w:pPr>
        <w:pStyle w:val="TOC9"/>
        <w:tabs>
          <w:tab w:val="left" w:pos="1588"/>
        </w:tabs>
        <w:rPr>
          <w:sz w:val="24"/>
          <w:szCs w:val="24"/>
          <w:lang w:eastAsia="en-US"/>
        </w:rPr>
      </w:pPr>
      <w:hyperlink w:anchor="_Toc22627879" w:history="1">
        <w:r w:rsidR="00E61632" w:rsidRPr="00A30707">
          <w:rPr>
            <w:rStyle w:val="Hyperlink"/>
            <w:rFonts w:ascii="Gotham Book" w:hAnsi="Gotham Book"/>
          </w:rPr>
          <w:t>7.2.1</w:t>
        </w:r>
        <w:r w:rsidR="00E61632" w:rsidRPr="00A30707">
          <w:rPr>
            <w:sz w:val="24"/>
            <w:szCs w:val="24"/>
            <w:lang w:eastAsia="en-US"/>
          </w:rPr>
          <w:tab/>
        </w:r>
        <w:r w:rsidR="00E61632" w:rsidRPr="00A30707">
          <w:rPr>
            <w:rStyle w:val="Hyperlink"/>
          </w:rPr>
          <w:t>Calculating timeframes for reporting changes to employment</w:t>
        </w:r>
        <w:r w:rsidR="00E61632" w:rsidRPr="00A30707">
          <w:rPr>
            <w:webHidden/>
          </w:rPr>
          <w:tab/>
        </w:r>
        <w:r w:rsidR="00E61632" w:rsidRPr="00A30707">
          <w:rPr>
            <w:webHidden/>
          </w:rPr>
          <w:fldChar w:fldCharType="begin"/>
        </w:r>
        <w:r w:rsidR="00E61632" w:rsidRPr="00A30707">
          <w:rPr>
            <w:webHidden/>
          </w:rPr>
          <w:instrText xml:space="preserve"> PAGEREF _Toc22627879 \h </w:instrText>
        </w:r>
        <w:r w:rsidR="00E61632" w:rsidRPr="00A30707">
          <w:rPr>
            <w:webHidden/>
          </w:rPr>
        </w:r>
        <w:r w:rsidR="00E61632" w:rsidRPr="00A30707">
          <w:rPr>
            <w:webHidden/>
          </w:rPr>
          <w:fldChar w:fldCharType="separate"/>
        </w:r>
        <w:r w:rsidR="00022664">
          <w:rPr>
            <w:webHidden/>
          </w:rPr>
          <w:t>208</w:t>
        </w:r>
        <w:r w:rsidR="00E61632" w:rsidRPr="00A30707">
          <w:rPr>
            <w:webHidden/>
          </w:rPr>
          <w:fldChar w:fldCharType="end"/>
        </w:r>
      </w:hyperlink>
    </w:p>
    <w:p w14:paraId="434174FD" w14:textId="61192174" w:rsidR="00E61632" w:rsidRPr="00A30707" w:rsidRDefault="002E5535">
      <w:pPr>
        <w:pStyle w:val="TOC9"/>
        <w:tabs>
          <w:tab w:val="left" w:pos="1985"/>
        </w:tabs>
        <w:rPr>
          <w:sz w:val="24"/>
          <w:szCs w:val="24"/>
          <w:lang w:eastAsia="en-US"/>
        </w:rPr>
      </w:pPr>
      <w:hyperlink w:anchor="_Toc22627880" w:history="1">
        <w:r w:rsidR="00E61632" w:rsidRPr="00A30707">
          <w:rPr>
            <w:rStyle w:val="Hyperlink"/>
            <w:rFonts w:ascii="Gotham Book" w:hAnsi="Gotham Book"/>
          </w:rPr>
          <w:t>7.2.2</w:t>
        </w:r>
        <w:r w:rsidR="00E61632" w:rsidRPr="00A30707">
          <w:rPr>
            <w:sz w:val="24"/>
            <w:szCs w:val="24"/>
            <w:lang w:eastAsia="en-US"/>
          </w:rPr>
          <w:tab/>
        </w:r>
        <w:r w:rsidR="00E61632" w:rsidRPr="00A30707">
          <w:rPr>
            <w:rStyle w:val="Hyperlink"/>
          </w:rPr>
          <w:t>Question whether Work for the Dole has to be reported</w:t>
        </w:r>
        <w:r w:rsidR="00E61632" w:rsidRPr="00A30707">
          <w:rPr>
            <w:webHidden/>
          </w:rPr>
          <w:tab/>
        </w:r>
        <w:r w:rsidR="00E61632" w:rsidRPr="00A30707">
          <w:rPr>
            <w:webHidden/>
          </w:rPr>
          <w:fldChar w:fldCharType="begin"/>
        </w:r>
        <w:r w:rsidR="00E61632" w:rsidRPr="00A30707">
          <w:rPr>
            <w:webHidden/>
          </w:rPr>
          <w:instrText xml:space="preserve"> PAGEREF _Toc22627880 \h </w:instrText>
        </w:r>
        <w:r w:rsidR="00E61632" w:rsidRPr="00A30707">
          <w:rPr>
            <w:webHidden/>
          </w:rPr>
        </w:r>
        <w:r w:rsidR="00E61632" w:rsidRPr="00A30707">
          <w:rPr>
            <w:webHidden/>
          </w:rPr>
          <w:fldChar w:fldCharType="separate"/>
        </w:r>
        <w:r w:rsidR="00022664">
          <w:rPr>
            <w:webHidden/>
          </w:rPr>
          <w:t>211</w:t>
        </w:r>
        <w:r w:rsidR="00E61632" w:rsidRPr="00A30707">
          <w:rPr>
            <w:webHidden/>
          </w:rPr>
          <w:fldChar w:fldCharType="end"/>
        </w:r>
      </w:hyperlink>
    </w:p>
    <w:p w14:paraId="4131D83D" w14:textId="5C46D880" w:rsidR="00E61632" w:rsidRPr="00A30707" w:rsidRDefault="002E5535" w:rsidP="0003777C">
      <w:pPr>
        <w:pStyle w:val="TOC8"/>
        <w:rPr>
          <w:sz w:val="24"/>
          <w:szCs w:val="24"/>
          <w:lang w:eastAsia="en-US"/>
        </w:rPr>
      </w:pPr>
      <w:hyperlink w:anchor="_Toc22627881" w:history="1">
        <w:r w:rsidR="00E61632" w:rsidRPr="00A30707">
          <w:rPr>
            <w:rStyle w:val="Hyperlink"/>
            <w:rFonts w:ascii="Gotham Book" w:hAnsi="Gotham Book"/>
          </w:rPr>
          <w:t>7.3</w:t>
        </w:r>
        <w:r w:rsidR="00E61632" w:rsidRPr="00A30707">
          <w:rPr>
            <w:sz w:val="24"/>
            <w:szCs w:val="24"/>
            <w:lang w:eastAsia="en-US"/>
          </w:rPr>
          <w:tab/>
        </w:r>
        <w:r w:rsidR="00AD66B7" w:rsidRPr="00A30707">
          <w:rPr>
            <w:rStyle w:val="Hyperlink"/>
          </w:rPr>
          <w:t>I</w:t>
        </w:r>
        <w:r w:rsidR="00E61632" w:rsidRPr="00A30707">
          <w:rPr>
            <w:rStyle w:val="Hyperlink"/>
          </w:rPr>
          <w:t>dentifying when corresponding registrable persons need to make their</w:t>
        </w:r>
        <w:r w:rsidR="0003777C" w:rsidRPr="00A30707">
          <w:rPr>
            <w:rStyle w:val="Hyperlink"/>
          </w:rPr>
          <w:t> </w:t>
        </w:r>
        <w:r w:rsidR="00E61632" w:rsidRPr="00A30707">
          <w:rPr>
            <w:rStyle w:val="Hyperlink"/>
          </w:rPr>
          <w:t>initial report</w:t>
        </w:r>
        <w:r w:rsidR="00E61632" w:rsidRPr="00A30707">
          <w:rPr>
            <w:webHidden/>
          </w:rPr>
          <w:tab/>
        </w:r>
        <w:r w:rsidR="00E61632" w:rsidRPr="00A30707">
          <w:rPr>
            <w:webHidden/>
          </w:rPr>
          <w:fldChar w:fldCharType="begin"/>
        </w:r>
        <w:r w:rsidR="00E61632" w:rsidRPr="00A30707">
          <w:rPr>
            <w:webHidden/>
          </w:rPr>
          <w:instrText xml:space="preserve"> PAGEREF _Toc22627881 \h </w:instrText>
        </w:r>
        <w:r w:rsidR="00E61632" w:rsidRPr="00A30707">
          <w:rPr>
            <w:webHidden/>
          </w:rPr>
        </w:r>
        <w:r w:rsidR="00E61632" w:rsidRPr="00A30707">
          <w:rPr>
            <w:webHidden/>
          </w:rPr>
          <w:fldChar w:fldCharType="separate"/>
        </w:r>
        <w:r w:rsidR="00022664">
          <w:rPr>
            <w:webHidden/>
          </w:rPr>
          <w:t>212</w:t>
        </w:r>
        <w:r w:rsidR="00E61632" w:rsidRPr="00A30707">
          <w:rPr>
            <w:webHidden/>
          </w:rPr>
          <w:fldChar w:fldCharType="end"/>
        </w:r>
      </w:hyperlink>
    </w:p>
    <w:p w14:paraId="30417D32" w14:textId="20633703" w:rsidR="00E61632" w:rsidRPr="00A30707" w:rsidRDefault="002E5535" w:rsidP="0003777C">
      <w:pPr>
        <w:pStyle w:val="TOC8"/>
        <w:rPr>
          <w:sz w:val="24"/>
          <w:szCs w:val="24"/>
          <w:lang w:eastAsia="en-US"/>
        </w:rPr>
      </w:pPr>
      <w:hyperlink w:anchor="_Toc22627882" w:history="1">
        <w:r w:rsidR="00E61632" w:rsidRPr="00A30707">
          <w:rPr>
            <w:rStyle w:val="Hyperlink"/>
            <w:rFonts w:ascii="Gotham Book" w:hAnsi="Gotham Book"/>
          </w:rPr>
          <w:t>7.4</w:t>
        </w:r>
        <w:r w:rsidR="00E61632" w:rsidRPr="00A30707">
          <w:rPr>
            <w:sz w:val="24"/>
            <w:szCs w:val="24"/>
            <w:lang w:eastAsia="en-US"/>
          </w:rPr>
          <w:tab/>
        </w:r>
        <w:r w:rsidR="00E61632" w:rsidRPr="00A30707">
          <w:rPr>
            <w:rStyle w:val="Hyperlink"/>
          </w:rPr>
          <w:t xml:space="preserve">Error in provisions regarding modified obligations for </w:t>
        </w:r>
        <w:r w:rsidR="0003777C" w:rsidRPr="00A30707">
          <w:rPr>
            <w:rStyle w:val="Hyperlink"/>
          </w:rPr>
          <w:br/>
        </w:r>
        <w:r w:rsidR="00E61632" w:rsidRPr="00A30707">
          <w:rPr>
            <w:rStyle w:val="Hyperlink"/>
          </w:rPr>
          <w:t>protected witnesses</w:t>
        </w:r>
        <w:r w:rsidR="00E61632" w:rsidRPr="00A30707">
          <w:rPr>
            <w:webHidden/>
          </w:rPr>
          <w:tab/>
        </w:r>
        <w:r w:rsidR="00E61632" w:rsidRPr="00A30707">
          <w:rPr>
            <w:webHidden/>
          </w:rPr>
          <w:fldChar w:fldCharType="begin"/>
        </w:r>
        <w:r w:rsidR="00E61632" w:rsidRPr="00A30707">
          <w:rPr>
            <w:webHidden/>
          </w:rPr>
          <w:instrText xml:space="preserve"> PAGEREF _Toc22627882 \h </w:instrText>
        </w:r>
        <w:r w:rsidR="00E61632" w:rsidRPr="00A30707">
          <w:rPr>
            <w:webHidden/>
          </w:rPr>
        </w:r>
        <w:r w:rsidR="00E61632" w:rsidRPr="00A30707">
          <w:rPr>
            <w:webHidden/>
          </w:rPr>
          <w:fldChar w:fldCharType="separate"/>
        </w:r>
        <w:r w:rsidR="00022664">
          <w:rPr>
            <w:webHidden/>
          </w:rPr>
          <w:t>214</w:t>
        </w:r>
        <w:r w:rsidR="00E61632" w:rsidRPr="00A30707">
          <w:rPr>
            <w:webHidden/>
          </w:rPr>
          <w:fldChar w:fldCharType="end"/>
        </w:r>
      </w:hyperlink>
    </w:p>
    <w:p w14:paraId="5B6CA341" w14:textId="1B9B0BFE" w:rsidR="00E61632" w:rsidRPr="00A30707" w:rsidRDefault="002E5535" w:rsidP="0003777C">
      <w:pPr>
        <w:pStyle w:val="TOC7"/>
        <w:rPr>
          <w:sz w:val="24"/>
          <w:szCs w:val="24"/>
          <w:lang w:eastAsia="en-US"/>
        </w:rPr>
      </w:pPr>
      <w:hyperlink w:anchor="_Toc22627883" w:history="1">
        <w:r w:rsidR="00E61632" w:rsidRPr="00A30707">
          <w:rPr>
            <w:rStyle w:val="Hyperlink"/>
            <w:rFonts w:ascii="Gotham Book" w:hAnsi="Gotham Book"/>
          </w:rPr>
          <w:t>8.</w:t>
        </w:r>
        <w:r w:rsidR="00E61632" w:rsidRPr="00A30707">
          <w:rPr>
            <w:sz w:val="24"/>
            <w:szCs w:val="24"/>
            <w:lang w:eastAsia="en-US"/>
          </w:rPr>
          <w:tab/>
        </w:r>
        <w:r w:rsidR="00E61632" w:rsidRPr="00A30707">
          <w:rPr>
            <w:rStyle w:val="Hyperlink"/>
          </w:rPr>
          <w:t>Calculating extensions to reporting obligations for travel</w:t>
        </w:r>
        <w:r w:rsidR="00E61632" w:rsidRPr="00A30707">
          <w:rPr>
            <w:webHidden/>
          </w:rPr>
          <w:tab/>
        </w:r>
        <w:r w:rsidR="00E61632" w:rsidRPr="00A30707">
          <w:rPr>
            <w:webHidden/>
          </w:rPr>
          <w:fldChar w:fldCharType="begin"/>
        </w:r>
        <w:r w:rsidR="00E61632" w:rsidRPr="00A30707">
          <w:rPr>
            <w:webHidden/>
          </w:rPr>
          <w:instrText xml:space="preserve"> PAGEREF _Toc22627883 \h </w:instrText>
        </w:r>
        <w:r w:rsidR="00E61632" w:rsidRPr="00A30707">
          <w:rPr>
            <w:webHidden/>
          </w:rPr>
        </w:r>
        <w:r w:rsidR="00E61632" w:rsidRPr="00A30707">
          <w:rPr>
            <w:webHidden/>
          </w:rPr>
          <w:fldChar w:fldCharType="separate"/>
        </w:r>
        <w:r w:rsidR="00022664">
          <w:rPr>
            <w:webHidden/>
          </w:rPr>
          <w:t>214</w:t>
        </w:r>
        <w:r w:rsidR="00E61632" w:rsidRPr="00A30707">
          <w:rPr>
            <w:webHidden/>
          </w:rPr>
          <w:fldChar w:fldCharType="end"/>
        </w:r>
      </w:hyperlink>
    </w:p>
    <w:p w14:paraId="71BFE860" w14:textId="61DF4975" w:rsidR="00E61632" w:rsidRPr="00A30707" w:rsidRDefault="002E5535" w:rsidP="0003777C">
      <w:pPr>
        <w:pStyle w:val="TOC8"/>
        <w:rPr>
          <w:sz w:val="24"/>
          <w:szCs w:val="24"/>
          <w:lang w:eastAsia="en-US"/>
        </w:rPr>
      </w:pPr>
      <w:hyperlink w:anchor="_Toc22627884" w:history="1">
        <w:r w:rsidR="00E61632" w:rsidRPr="00A30707">
          <w:rPr>
            <w:rStyle w:val="Hyperlink"/>
            <w:rFonts w:ascii="Gotham Book" w:hAnsi="Gotham Book"/>
          </w:rPr>
          <w:t>8.1</w:t>
        </w:r>
        <w:r w:rsidR="00E61632" w:rsidRPr="00A30707">
          <w:rPr>
            <w:sz w:val="24"/>
            <w:szCs w:val="24"/>
            <w:lang w:eastAsia="en-US"/>
          </w:rPr>
          <w:tab/>
        </w:r>
        <w:r w:rsidR="00E61632" w:rsidRPr="00A30707">
          <w:rPr>
            <w:rStyle w:val="Hyperlink"/>
          </w:rPr>
          <w:t>Threshold for when travel will trigger extension</w:t>
        </w:r>
        <w:r w:rsidR="00E61632" w:rsidRPr="00A30707">
          <w:rPr>
            <w:webHidden/>
          </w:rPr>
          <w:tab/>
        </w:r>
        <w:r w:rsidR="00E61632" w:rsidRPr="00A30707">
          <w:rPr>
            <w:webHidden/>
          </w:rPr>
          <w:fldChar w:fldCharType="begin"/>
        </w:r>
        <w:r w:rsidR="00E61632" w:rsidRPr="00A30707">
          <w:rPr>
            <w:webHidden/>
          </w:rPr>
          <w:instrText xml:space="preserve"> PAGEREF _Toc22627884 \h </w:instrText>
        </w:r>
        <w:r w:rsidR="00E61632" w:rsidRPr="00A30707">
          <w:rPr>
            <w:webHidden/>
          </w:rPr>
        </w:r>
        <w:r w:rsidR="00E61632" w:rsidRPr="00A30707">
          <w:rPr>
            <w:webHidden/>
          </w:rPr>
          <w:fldChar w:fldCharType="separate"/>
        </w:r>
        <w:r w:rsidR="00022664">
          <w:rPr>
            <w:webHidden/>
          </w:rPr>
          <w:t>215</w:t>
        </w:r>
        <w:r w:rsidR="00E61632" w:rsidRPr="00A30707">
          <w:rPr>
            <w:webHidden/>
          </w:rPr>
          <w:fldChar w:fldCharType="end"/>
        </w:r>
      </w:hyperlink>
    </w:p>
    <w:p w14:paraId="6A429D10" w14:textId="2476D802" w:rsidR="00E61632" w:rsidRPr="00A30707" w:rsidRDefault="002E5535" w:rsidP="0003777C">
      <w:pPr>
        <w:pStyle w:val="TOC8"/>
        <w:rPr>
          <w:sz w:val="24"/>
          <w:szCs w:val="24"/>
          <w:lang w:eastAsia="en-US"/>
        </w:rPr>
      </w:pPr>
      <w:hyperlink w:anchor="_Toc22627885" w:history="1">
        <w:r w:rsidR="00E61632" w:rsidRPr="00A30707">
          <w:rPr>
            <w:rStyle w:val="Hyperlink"/>
            <w:rFonts w:ascii="Gotham Book" w:hAnsi="Gotham Book"/>
          </w:rPr>
          <w:t>8.2</w:t>
        </w:r>
        <w:r w:rsidR="00E61632" w:rsidRPr="00A30707">
          <w:rPr>
            <w:sz w:val="24"/>
            <w:szCs w:val="24"/>
            <w:lang w:eastAsia="en-US"/>
          </w:rPr>
          <w:tab/>
        </w:r>
        <w:r w:rsidR="00E61632" w:rsidRPr="00A30707">
          <w:rPr>
            <w:rStyle w:val="Hyperlink"/>
          </w:rPr>
          <w:t>Length of extensions for international travel</w:t>
        </w:r>
        <w:r w:rsidR="00E61632" w:rsidRPr="00A30707">
          <w:rPr>
            <w:webHidden/>
          </w:rPr>
          <w:tab/>
        </w:r>
        <w:r w:rsidR="00E61632" w:rsidRPr="00A30707">
          <w:rPr>
            <w:webHidden/>
          </w:rPr>
          <w:fldChar w:fldCharType="begin"/>
        </w:r>
        <w:r w:rsidR="00E61632" w:rsidRPr="00A30707">
          <w:rPr>
            <w:webHidden/>
          </w:rPr>
          <w:instrText xml:space="preserve"> PAGEREF _Toc22627885 \h </w:instrText>
        </w:r>
        <w:r w:rsidR="00E61632" w:rsidRPr="00A30707">
          <w:rPr>
            <w:webHidden/>
          </w:rPr>
        </w:r>
        <w:r w:rsidR="00E61632" w:rsidRPr="00A30707">
          <w:rPr>
            <w:webHidden/>
          </w:rPr>
          <w:fldChar w:fldCharType="separate"/>
        </w:r>
        <w:r w:rsidR="00022664">
          <w:rPr>
            <w:webHidden/>
          </w:rPr>
          <w:t>215</w:t>
        </w:r>
        <w:r w:rsidR="00E61632" w:rsidRPr="00A30707">
          <w:rPr>
            <w:webHidden/>
          </w:rPr>
          <w:fldChar w:fldCharType="end"/>
        </w:r>
      </w:hyperlink>
    </w:p>
    <w:p w14:paraId="18906820" w14:textId="651F02D8" w:rsidR="00E61632" w:rsidRDefault="002E5535">
      <w:pPr>
        <w:pStyle w:val="TOC1"/>
        <w:rPr>
          <w:rFonts w:eastAsiaTheme="minorEastAsia"/>
          <w:caps w:val="0"/>
          <w:color w:val="auto"/>
          <w:sz w:val="24"/>
          <w:szCs w:val="24"/>
        </w:rPr>
      </w:pPr>
      <w:hyperlink w:anchor="_Toc22627886" w:history="1">
        <w:r w:rsidR="00E61632" w:rsidRPr="00A30707">
          <w:rPr>
            <w:rStyle w:val="Hyperlink"/>
          </w:rPr>
          <w:t>Glossary</w:t>
        </w:r>
        <w:r w:rsidR="00E61632" w:rsidRPr="00A30707">
          <w:rPr>
            <w:webHidden/>
          </w:rPr>
          <w:tab/>
        </w:r>
        <w:r w:rsidR="00E61632" w:rsidRPr="00A30707">
          <w:rPr>
            <w:webHidden/>
          </w:rPr>
          <w:fldChar w:fldCharType="begin"/>
        </w:r>
        <w:r w:rsidR="00E61632" w:rsidRPr="00A30707">
          <w:rPr>
            <w:webHidden/>
          </w:rPr>
          <w:instrText xml:space="preserve"> PAGEREF _Toc22627886 \h </w:instrText>
        </w:r>
        <w:r w:rsidR="00E61632" w:rsidRPr="00A30707">
          <w:rPr>
            <w:webHidden/>
          </w:rPr>
        </w:r>
        <w:r w:rsidR="00E61632" w:rsidRPr="00A30707">
          <w:rPr>
            <w:webHidden/>
          </w:rPr>
          <w:fldChar w:fldCharType="separate"/>
        </w:r>
        <w:r w:rsidR="00022664">
          <w:rPr>
            <w:webHidden/>
          </w:rPr>
          <w:t>217</w:t>
        </w:r>
        <w:r w:rsidR="00E61632" w:rsidRPr="00A30707">
          <w:rPr>
            <w:webHidden/>
          </w:rPr>
          <w:fldChar w:fldCharType="end"/>
        </w:r>
      </w:hyperlink>
    </w:p>
    <w:p w14:paraId="55B1E35D" w14:textId="1DA0A288" w:rsidR="00310EC2" w:rsidRPr="004A3983" w:rsidRDefault="00E61632" w:rsidP="00A2160D">
      <w:pPr>
        <w:spacing w:after="160"/>
        <w:ind w:right="-2"/>
      </w:pPr>
      <w:r>
        <w:rPr>
          <w:noProof/>
          <w:color w:val="0067A0" w:themeColor="accent1"/>
        </w:rPr>
        <w:fldChar w:fldCharType="end"/>
      </w:r>
    </w:p>
    <w:p w14:paraId="1C26A749" w14:textId="77777777" w:rsidR="00856A8D" w:rsidRPr="004A3983" w:rsidRDefault="00856A8D" w:rsidP="00E61632">
      <w:pPr>
        <w:pStyle w:val="NonNumberHeading2"/>
      </w:pPr>
      <w:bookmarkStart w:id="2" w:name="_Toc22627718"/>
      <w:r w:rsidRPr="004A3983">
        <w:lastRenderedPageBreak/>
        <w:t xml:space="preserve">List of </w:t>
      </w:r>
      <w:r w:rsidRPr="00E61632">
        <w:t>Findings</w:t>
      </w:r>
      <w:bookmarkEnd w:id="2"/>
    </w:p>
    <w:p w14:paraId="470DE2E7" w14:textId="3938A870" w:rsidR="00FE2D60" w:rsidRPr="004A3983" w:rsidRDefault="00856A8D" w:rsidP="00B9479E">
      <w:pPr>
        <w:pStyle w:val="TOC6"/>
        <w:rPr>
          <w:rFonts w:eastAsiaTheme="minorEastAsia"/>
          <w:lang w:eastAsia="en-AU"/>
        </w:rPr>
      </w:pPr>
      <w:r w:rsidRPr="004A3983">
        <w:fldChar w:fldCharType="begin"/>
      </w:r>
      <w:r w:rsidRPr="004A3983">
        <w:instrText xml:space="preserve"> TOC \h \z \t "Findings Heading,6" </w:instrText>
      </w:r>
      <w:r w:rsidRPr="004A3983">
        <w:fldChar w:fldCharType="separate"/>
      </w:r>
      <w:hyperlink w:anchor="_Toc22277093" w:history="1">
        <w:r w:rsidR="00FE2D60" w:rsidRPr="004A3983">
          <w:rPr>
            <w:rStyle w:val="Hyperlink"/>
            <w:b/>
            <w:caps w:val="0"/>
            <w:u w:val="none"/>
          </w:rPr>
          <w:t>Finding 1:</w:t>
        </w:r>
        <w:r w:rsidR="00FE2D60" w:rsidRPr="004A3983">
          <w:rPr>
            <w:rFonts w:eastAsiaTheme="minorEastAsia"/>
            <w:lang w:eastAsia="en-AU"/>
          </w:rPr>
          <w:tab/>
        </w:r>
        <w:r w:rsidR="00FE2D60" w:rsidRPr="004A3983">
          <w:rPr>
            <w:rStyle w:val="Hyperlink"/>
            <w:b/>
            <w:caps w:val="0"/>
            <w:u w:val="none"/>
          </w:rPr>
          <w:t>Since 2002 the NSW Police Force has made over 700 incorrect decisions about the administration of the Child Protection Register, including:</w:t>
        </w:r>
      </w:hyperlink>
    </w:p>
    <w:p w14:paraId="3BCBC0CA" w14:textId="4DA2B2D8" w:rsidR="00F0671F" w:rsidRPr="004A3983" w:rsidRDefault="002E5535" w:rsidP="00593D70">
      <w:pPr>
        <w:pStyle w:val="ListBullet"/>
        <w:rPr>
          <w:noProof/>
        </w:rPr>
      </w:pPr>
      <w:hyperlink w:anchor="_Toc22277094" w:history="1">
        <w:r w:rsidR="00FE2D60" w:rsidRPr="004A3983">
          <w:rPr>
            <w:noProof/>
          </w:rPr>
          <w:t>i</w:t>
        </w:r>
        <w:r w:rsidR="00FE2D60" w:rsidRPr="001564F6">
          <w:rPr>
            <w:rStyle w:val="Bold"/>
            <w:noProof/>
          </w:rPr>
          <w:t>ncorrect decisions that 96 people were not ‘registrable persons’ under the</w:t>
        </w:r>
        <w:r w:rsidR="000550B8" w:rsidRPr="001564F6">
          <w:rPr>
            <w:rStyle w:val="Bold"/>
            <w:noProof/>
          </w:rPr>
          <w:t> </w:t>
        </w:r>
        <w:r w:rsidR="00FE2D60" w:rsidRPr="001564F6">
          <w:rPr>
            <w:rStyle w:val="Bold"/>
            <w:noProof/>
          </w:rPr>
          <w:t>CPOR Act;</w:t>
        </w:r>
      </w:hyperlink>
    </w:p>
    <w:p w14:paraId="11E7B95C" w14:textId="75B3E05B" w:rsidR="00F0671F" w:rsidRPr="004A3983" w:rsidRDefault="002E5535" w:rsidP="00593D70">
      <w:pPr>
        <w:pStyle w:val="ListBullet"/>
        <w:rPr>
          <w:noProof/>
        </w:rPr>
      </w:pPr>
      <w:hyperlink w:anchor="_Toc22277095" w:history="1">
        <w:r w:rsidR="00FE2D60" w:rsidRPr="004A3983">
          <w:rPr>
            <w:rStyle w:val="Hyperlink"/>
            <w:b/>
            <w:noProof/>
            <w:u w:val="none"/>
          </w:rPr>
          <w:t>incorrect decisions that 43 people were ‘registrable persons’ under the CPOR Act;</w:t>
        </w:r>
      </w:hyperlink>
    </w:p>
    <w:p w14:paraId="7C2F9DC6" w14:textId="10B305BD" w:rsidR="00F0671F" w:rsidRPr="004A3983" w:rsidRDefault="002E5535" w:rsidP="00593D70">
      <w:pPr>
        <w:pStyle w:val="ListBullet"/>
        <w:rPr>
          <w:rStyle w:val="Hyperlink"/>
          <w:noProof/>
          <w:color w:val="auto"/>
          <w:u w:val="none"/>
        </w:rPr>
      </w:pPr>
      <w:hyperlink w:anchor="_Toc22277096" w:history="1">
        <w:r w:rsidR="00FE2D60" w:rsidRPr="004A3983">
          <w:rPr>
            <w:rStyle w:val="Hyperlink"/>
            <w:b/>
            <w:noProof/>
            <w:u w:val="none"/>
          </w:rPr>
          <w:t>incorrectly calculating the reporting periods of 485 registrable persons as</w:t>
        </w:r>
        <w:r w:rsidR="00B9479E">
          <w:rPr>
            <w:rStyle w:val="Hyperlink"/>
            <w:b/>
            <w:noProof/>
            <w:u w:val="none"/>
          </w:rPr>
          <w:t> </w:t>
        </w:r>
        <w:r w:rsidR="00FE2D60" w:rsidRPr="004A3983">
          <w:rPr>
            <w:rStyle w:val="Hyperlink"/>
            <w:b/>
            <w:noProof/>
            <w:u w:val="none"/>
          </w:rPr>
          <w:t>being s</w:t>
        </w:r>
        <w:r w:rsidR="00E53E35" w:rsidRPr="004A3983">
          <w:rPr>
            <w:rStyle w:val="Hyperlink"/>
            <w:b/>
            <w:noProof/>
            <w:u w:val="none"/>
          </w:rPr>
          <w:t>horter than the periods required by</w:t>
        </w:r>
        <w:r w:rsidR="00FE2D60" w:rsidRPr="004A3983">
          <w:rPr>
            <w:rStyle w:val="Hyperlink"/>
            <w:b/>
            <w:noProof/>
            <w:u w:val="none"/>
          </w:rPr>
          <w:t xml:space="preserve"> the CPOR Act, and</w:t>
        </w:r>
      </w:hyperlink>
    </w:p>
    <w:p w14:paraId="2A1CA5FA" w14:textId="3EEFCEBF" w:rsidR="00FE2D60" w:rsidRPr="004A3983" w:rsidRDefault="002E5535" w:rsidP="00593D70">
      <w:pPr>
        <w:pStyle w:val="ListBullet"/>
        <w:rPr>
          <w:noProof/>
        </w:rPr>
      </w:pPr>
      <w:hyperlink w:anchor="_Toc22277097" w:history="1">
        <w:r w:rsidR="00FE2D60" w:rsidRPr="004A3983">
          <w:rPr>
            <w:rStyle w:val="Hyperlink"/>
            <w:b/>
            <w:noProof/>
            <w:u w:val="none"/>
          </w:rPr>
          <w:t>incorrectly calculating the reporting periods of 144 registrable persons as</w:t>
        </w:r>
        <w:r w:rsidR="00B9479E">
          <w:rPr>
            <w:rStyle w:val="Hyperlink"/>
            <w:b/>
            <w:noProof/>
            <w:u w:val="none"/>
          </w:rPr>
          <w:t> </w:t>
        </w:r>
        <w:r w:rsidR="00FE2D60" w:rsidRPr="004A3983">
          <w:rPr>
            <w:rStyle w:val="Hyperlink"/>
            <w:b/>
            <w:noProof/>
            <w:u w:val="none"/>
          </w:rPr>
          <w:t xml:space="preserve">being longer than </w:t>
        </w:r>
        <w:r w:rsidR="00E53E35" w:rsidRPr="004A3983">
          <w:rPr>
            <w:rStyle w:val="Hyperlink"/>
            <w:b/>
            <w:noProof/>
            <w:u w:val="none"/>
          </w:rPr>
          <w:t xml:space="preserve">the periods required by </w:t>
        </w:r>
        <w:r w:rsidR="00FE2D60" w:rsidRPr="004A3983">
          <w:rPr>
            <w:rStyle w:val="Hyperlink"/>
            <w:b/>
            <w:noProof/>
            <w:u w:val="none"/>
          </w:rPr>
          <w:t>the CPOR Act.</w:t>
        </w:r>
      </w:hyperlink>
      <w:r w:rsidR="00FE2D60" w:rsidRPr="004A3983">
        <w:rPr>
          <w:rFonts w:eastAsiaTheme="minorEastAsia"/>
          <w:noProof/>
          <w:lang w:eastAsia="en-AU"/>
        </w:rPr>
        <w:t xml:space="preserve"> </w:t>
      </w:r>
    </w:p>
    <w:p w14:paraId="28182ABC" w14:textId="2712B57B" w:rsidR="00FE2D60" w:rsidRPr="004A3983" w:rsidRDefault="002E5535" w:rsidP="00B9479E">
      <w:pPr>
        <w:pStyle w:val="TOC6"/>
        <w:rPr>
          <w:rFonts w:eastAsiaTheme="minorEastAsia"/>
          <w:lang w:eastAsia="en-AU"/>
        </w:rPr>
      </w:pPr>
      <w:hyperlink w:anchor="_Toc22277098" w:history="1">
        <w:r w:rsidR="00F0671F" w:rsidRPr="000D61FC">
          <w:rPr>
            <w:rStyle w:val="Hyperlink"/>
            <w:b/>
            <w:caps w:val="0"/>
            <w:u w:val="none"/>
          </w:rPr>
          <w:t>T</w:t>
        </w:r>
        <w:r w:rsidR="00FE2D60" w:rsidRPr="000D61FC">
          <w:rPr>
            <w:rStyle w:val="Hyperlink"/>
            <w:b/>
            <w:caps w:val="0"/>
            <w:u w:val="none"/>
          </w:rPr>
          <w:t xml:space="preserve">hese incorrect decisions arose, wholly or in part, from mistakes of </w:t>
        </w:r>
        <w:r w:rsidR="00C17775" w:rsidRPr="000D61FC">
          <w:rPr>
            <w:rStyle w:val="Hyperlink"/>
            <w:b/>
            <w:caps w:val="0"/>
            <w:u w:val="none"/>
          </w:rPr>
          <w:br/>
        </w:r>
        <w:r w:rsidR="00073334">
          <w:rPr>
            <w:rStyle w:val="Hyperlink"/>
            <w:b/>
            <w:caps w:val="0"/>
            <w:u w:val="none"/>
          </w:rPr>
          <w:t xml:space="preserve">law </w:t>
        </w:r>
        <w:r w:rsidR="00FE2D60" w:rsidRPr="000D61FC">
          <w:rPr>
            <w:rStyle w:val="Hyperlink"/>
            <w:b/>
            <w:caps w:val="0"/>
            <w:u w:val="none"/>
          </w:rPr>
          <w:t>or</w:t>
        </w:r>
        <w:r w:rsidR="00B9479E" w:rsidRPr="000D61FC">
          <w:rPr>
            <w:rStyle w:val="Hyperlink"/>
            <w:b/>
            <w:caps w:val="0"/>
            <w:u w:val="none"/>
          </w:rPr>
          <w:t> </w:t>
        </w:r>
        <w:r w:rsidR="00FE2D60" w:rsidRPr="000D61FC">
          <w:rPr>
            <w:rStyle w:val="Hyperlink"/>
            <w:b/>
            <w:caps w:val="0"/>
            <w:u w:val="none"/>
          </w:rPr>
          <w:t>fact</w:t>
        </w:r>
        <w:r w:rsidR="00BE5044" w:rsidRPr="000D61FC">
          <w:rPr>
            <w:rStyle w:val="Hyperlink"/>
            <w:b/>
            <w:caps w:val="0"/>
            <w:u w:val="none"/>
          </w:rPr>
          <w:t>.</w:t>
        </w:r>
        <w:r w:rsidR="00FE2D60" w:rsidRPr="000D61FC">
          <w:rPr>
            <w:webHidden/>
          </w:rPr>
          <w:tab/>
        </w:r>
        <w:r w:rsidR="000D61FC" w:rsidRPr="000D61FC">
          <w:rPr>
            <w:webHidden/>
          </w:rPr>
          <w:tab/>
        </w:r>
        <w:r w:rsidR="00FE2D60" w:rsidRPr="000D61FC">
          <w:rPr>
            <w:webHidden/>
          </w:rPr>
          <w:fldChar w:fldCharType="begin"/>
        </w:r>
        <w:r w:rsidR="00FE2D60" w:rsidRPr="000D61FC">
          <w:rPr>
            <w:webHidden/>
          </w:rPr>
          <w:instrText xml:space="preserve"> PAGEREF _Toc22277098 \h </w:instrText>
        </w:r>
        <w:r w:rsidR="00FE2D60" w:rsidRPr="000D61FC">
          <w:rPr>
            <w:webHidden/>
          </w:rPr>
        </w:r>
        <w:r w:rsidR="00FE2D60" w:rsidRPr="000D61FC">
          <w:rPr>
            <w:webHidden/>
          </w:rPr>
          <w:fldChar w:fldCharType="separate"/>
        </w:r>
        <w:r w:rsidR="00022664">
          <w:rPr>
            <w:webHidden/>
          </w:rPr>
          <w:t>59</w:t>
        </w:r>
        <w:r w:rsidR="00FE2D60" w:rsidRPr="000D61FC">
          <w:rPr>
            <w:webHidden/>
          </w:rPr>
          <w:fldChar w:fldCharType="end"/>
        </w:r>
      </w:hyperlink>
    </w:p>
    <w:p w14:paraId="422C29A4" w14:textId="650A4B58" w:rsidR="00FE2D60" w:rsidRPr="004A3983" w:rsidRDefault="002E5535" w:rsidP="00B9479E">
      <w:pPr>
        <w:pStyle w:val="TOC6"/>
        <w:rPr>
          <w:rFonts w:eastAsiaTheme="minorEastAsia"/>
          <w:lang w:eastAsia="en-AU"/>
        </w:rPr>
      </w:pPr>
      <w:hyperlink w:anchor="_Toc22277099" w:history="1">
        <w:r w:rsidR="00C648F6" w:rsidRPr="004A3983">
          <w:rPr>
            <w:rStyle w:val="Hyperlink"/>
            <w:b/>
            <w:caps w:val="0"/>
            <w:u w:val="none"/>
          </w:rPr>
          <w:t>Finding 2:</w:t>
        </w:r>
        <w:r w:rsidR="00C648F6" w:rsidRPr="004A3983">
          <w:rPr>
            <w:rFonts w:eastAsiaTheme="minorEastAsia"/>
            <w:lang w:eastAsia="en-AU"/>
          </w:rPr>
          <w:tab/>
        </w:r>
        <w:r w:rsidR="00C648F6" w:rsidRPr="004A3983">
          <w:rPr>
            <w:rStyle w:val="Hyperlink"/>
            <w:b/>
            <w:caps w:val="0"/>
            <w:u w:val="none"/>
          </w:rPr>
          <w:t>As a result of the incorrect decisions referred to in Finding 1, the NSW</w:t>
        </w:r>
        <w:r w:rsidR="00B9479E">
          <w:rPr>
            <w:rStyle w:val="Hyperlink"/>
            <w:b/>
            <w:caps w:val="0"/>
            <w:u w:val="none"/>
          </w:rPr>
          <w:t> </w:t>
        </w:r>
        <w:r w:rsidR="00C648F6" w:rsidRPr="004A3983">
          <w:rPr>
            <w:rStyle w:val="Hyperlink"/>
            <w:b/>
            <w:caps w:val="0"/>
            <w:u w:val="none"/>
          </w:rPr>
          <w:t>Police Force unlawfully required persons to report their personal details to</w:t>
        </w:r>
        <w:r w:rsidR="00B9479E">
          <w:rPr>
            <w:rStyle w:val="Hyperlink"/>
            <w:b/>
            <w:caps w:val="0"/>
            <w:u w:val="none"/>
          </w:rPr>
          <w:t> </w:t>
        </w:r>
        <w:r w:rsidR="00C648F6" w:rsidRPr="004A3983">
          <w:rPr>
            <w:rStyle w:val="Hyperlink"/>
            <w:b/>
            <w:caps w:val="0"/>
            <w:u w:val="none"/>
          </w:rPr>
          <w:t>police for a number of years. Some of these persons were also subjected to unlawful home inspections by the NSW Police Force, in purported relianc</w:t>
        </w:r>
        <w:r w:rsidR="00F0671F" w:rsidRPr="004A3983">
          <w:rPr>
            <w:rStyle w:val="Hyperlink"/>
            <w:b/>
            <w:caps w:val="0"/>
            <w:u w:val="none"/>
          </w:rPr>
          <w:t>e on the</w:t>
        </w:r>
        <w:r w:rsidR="00B9479E">
          <w:rPr>
            <w:rStyle w:val="Hyperlink"/>
            <w:b/>
            <w:caps w:val="0"/>
            <w:u w:val="none"/>
          </w:rPr>
          <w:t> </w:t>
        </w:r>
        <w:r w:rsidR="00F0671F" w:rsidRPr="004A3983">
          <w:rPr>
            <w:rStyle w:val="Hyperlink"/>
            <w:b/>
            <w:caps w:val="0"/>
            <w:u w:val="none"/>
          </w:rPr>
          <w:t>power in s 16C</w:t>
        </w:r>
        <w:r w:rsidR="00C648F6" w:rsidRPr="004A3983">
          <w:rPr>
            <w:rStyle w:val="Hyperlink"/>
            <w:b/>
            <w:caps w:val="0"/>
            <w:u w:val="none"/>
          </w:rPr>
          <w:t xml:space="preserve"> of the CPOR Act</w:t>
        </w:r>
        <w:r w:rsidR="00C648F6" w:rsidRPr="00BE5044">
          <w:rPr>
            <w:rStyle w:val="Hyperlink"/>
            <w:b/>
            <w:caps w:val="0"/>
            <w:u w:val="none"/>
          </w:rPr>
          <w:t>.</w:t>
        </w:r>
        <w:r w:rsidR="00C648F6" w:rsidRPr="004A3983">
          <w:rPr>
            <w:webHidden/>
          </w:rPr>
          <w:tab/>
        </w:r>
        <w:r w:rsidR="00FE2D60" w:rsidRPr="004A3983">
          <w:rPr>
            <w:webHidden/>
          </w:rPr>
          <w:fldChar w:fldCharType="begin"/>
        </w:r>
        <w:r w:rsidR="00FE2D60" w:rsidRPr="004A3983">
          <w:rPr>
            <w:webHidden/>
          </w:rPr>
          <w:instrText xml:space="preserve"> PAGEREF _Toc22277099 \h </w:instrText>
        </w:r>
        <w:r w:rsidR="00FE2D60" w:rsidRPr="004A3983">
          <w:rPr>
            <w:webHidden/>
          </w:rPr>
        </w:r>
        <w:r w:rsidR="00FE2D60" w:rsidRPr="004A3983">
          <w:rPr>
            <w:webHidden/>
          </w:rPr>
          <w:fldChar w:fldCharType="separate"/>
        </w:r>
        <w:r w:rsidR="00022664">
          <w:rPr>
            <w:webHidden/>
          </w:rPr>
          <w:t>62</w:t>
        </w:r>
        <w:r w:rsidR="00FE2D60" w:rsidRPr="004A3983">
          <w:rPr>
            <w:webHidden/>
          </w:rPr>
          <w:fldChar w:fldCharType="end"/>
        </w:r>
      </w:hyperlink>
    </w:p>
    <w:p w14:paraId="33464D06" w14:textId="38B7ED57" w:rsidR="00FE2D60" w:rsidRPr="004A3983" w:rsidRDefault="002E5535" w:rsidP="00B9479E">
      <w:pPr>
        <w:pStyle w:val="TOC6"/>
        <w:rPr>
          <w:rFonts w:eastAsiaTheme="minorEastAsia"/>
          <w:lang w:eastAsia="en-AU"/>
        </w:rPr>
      </w:pPr>
      <w:hyperlink w:anchor="_Toc22277100" w:history="1">
        <w:r w:rsidR="00F0671F" w:rsidRPr="004A3983">
          <w:rPr>
            <w:rStyle w:val="Hyperlink"/>
            <w:b/>
            <w:caps w:val="0"/>
            <w:u w:val="none"/>
          </w:rPr>
          <w:t>F</w:t>
        </w:r>
        <w:r w:rsidR="00C648F6" w:rsidRPr="004A3983">
          <w:rPr>
            <w:rStyle w:val="Hyperlink"/>
            <w:b/>
            <w:caps w:val="0"/>
            <w:u w:val="none"/>
          </w:rPr>
          <w:t>inding 3:</w:t>
        </w:r>
        <w:r w:rsidR="00C648F6" w:rsidRPr="004A3983">
          <w:rPr>
            <w:rFonts w:eastAsiaTheme="minorEastAsia"/>
            <w:lang w:eastAsia="en-AU"/>
          </w:rPr>
          <w:tab/>
        </w:r>
        <w:r w:rsidR="00F0671F" w:rsidRPr="004A3983">
          <w:rPr>
            <w:rStyle w:val="Hyperlink"/>
            <w:b/>
            <w:caps w:val="0"/>
            <w:u w:val="none"/>
          </w:rPr>
          <w:t>A</w:t>
        </w:r>
        <w:r w:rsidR="00C648F6" w:rsidRPr="004A3983">
          <w:rPr>
            <w:rStyle w:val="Hyperlink"/>
            <w:b/>
            <w:caps w:val="0"/>
            <w:u w:val="none"/>
          </w:rPr>
          <w:t>s a result of the inco</w:t>
        </w:r>
        <w:r w:rsidR="00F0671F" w:rsidRPr="004A3983">
          <w:rPr>
            <w:rStyle w:val="Hyperlink"/>
            <w:b/>
            <w:caps w:val="0"/>
            <w:u w:val="none"/>
          </w:rPr>
          <w:t>rrect decisions referred to in F</w:t>
        </w:r>
        <w:r w:rsidR="00C648F6" w:rsidRPr="004A3983">
          <w:rPr>
            <w:rStyle w:val="Hyperlink"/>
            <w:b/>
            <w:caps w:val="0"/>
            <w:u w:val="none"/>
          </w:rPr>
          <w:t xml:space="preserve">inding 1, the NSW Police Force charged </w:t>
        </w:r>
        <w:r w:rsidR="00F0671F" w:rsidRPr="004A3983">
          <w:rPr>
            <w:rStyle w:val="Hyperlink"/>
            <w:b/>
            <w:caps w:val="0"/>
            <w:u w:val="none"/>
          </w:rPr>
          <w:t>and arrested persons for failing</w:t>
        </w:r>
        <w:r w:rsidR="00C648F6" w:rsidRPr="004A3983">
          <w:rPr>
            <w:rStyle w:val="Hyperlink"/>
            <w:b/>
            <w:caps w:val="0"/>
            <w:u w:val="none"/>
          </w:rPr>
          <w:t xml:space="preserve"> to comply with reporting obligations or providing false or misleading information under the CPOR Act, when those persons were not under any o</w:t>
        </w:r>
        <w:r w:rsidR="0066023F" w:rsidRPr="004A3983">
          <w:rPr>
            <w:rStyle w:val="Hyperlink"/>
            <w:b/>
            <w:caps w:val="0"/>
            <w:u w:val="none"/>
          </w:rPr>
          <w:t>bligation to report under that A</w:t>
        </w:r>
        <w:r w:rsidR="00C648F6" w:rsidRPr="004A3983">
          <w:rPr>
            <w:rStyle w:val="Hyperlink"/>
            <w:b/>
            <w:caps w:val="0"/>
            <w:u w:val="none"/>
          </w:rPr>
          <w:t>ct at the</w:t>
        </w:r>
        <w:r w:rsidR="00B9479E">
          <w:rPr>
            <w:rStyle w:val="Hyperlink"/>
            <w:b/>
            <w:caps w:val="0"/>
            <w:u w:val="none"/>
          </w:rPr>
          <w:t> </w:t>
        </w:r>
        <w:r w:rsidR="00C648F6" w:rsidRPr="004A3983">
          <w:rPr>
            <w:rStyle w:val="Hyperlink"/>
            <w:b/>
            <w:caps w:val="0"/>
            <w:u w:val="none"/>
          </w:rPr>
          <w:t>relevant time. These</w:t>
        </w:r>
        <w:r w:rsidR="00C648F6" w:rsidRPr="004A3983">
          <w:rPr>
            <w:rStyle w:val="Hyperlink"/>
            <w:caps w:val="0"/>
            <w:u w:val="none"/>
          </w:rPr>
          <w:t xml:space="preserve"> </w:t>
        </w:r>
        <w:r w:rsidR="00C648F6" w:rsidRPr="004A3983">
          <w:rPr>
            <w:rStyle w:val="Hyperlink"/>
            <w:b/>
            <w:caps w:val="0"/>
            <w:u w:val="none"/>
          </w:rPr>
          <w:t>were actions of a serious nature which, although not unlawful, were unjust or oppressive in their effects.</w:t>
        </w:r>
        <w:r w:rsidR="00C648F6" w:rsidRPr="004A3983">
          <w:rPr>
            <w:webHidden/>
          </w:rPr>
          <w:tab/>
        </w:r>
        <w:r w:rsidR="00FE2D60" w:rsidRPr="004A3983">
          <w:rPr>
            <w:webHidden/>
          </w:rPr>
          <w:fldChar w:fldCharType="begin"/>
        </w:r>
        <w:r w:rsidR="00FE2D60" w:rsidRPr="004A3983">
          <w:rPr>
            <w:webHidden/>
          </w:rPr>
          <w:instrText xml:space="preserve"> PAGEREF _Toc22277100 \h </w:instrText>
        </w:r>
        <w:r w:rsidR="00FE2D60" w:rsidRPr="004A3983">
          <w:rPr>
            <w:webHidden/>
          </w:rPr>
        </w:r>
        <w:r w:rsidR="00FE2D60" w:rsidRPr="004A3983">
          <w:rPr>
            <w:webHidden/>
          </w:rPr>
          <w:fldChar w:fldCharType="separate"/>
        </w:r>
        <w:r w:rsidR="00022664">
          <w:rPr>
            <w:webHidden/>
          </w:rPr>
          <w:t>62</w:t>
        </w:r>
        <w:r w:rsidR="00FE2D60" w:rsidRPr="004A3983">
          <w:rPr>
            <w:webHidden/>
          </w:rPr>
          <w:fldChar w:fldCharType="end"/>
        </w:r>
      </w:hyperlink>
    </w:p>
    <w:p w14:paraId="2B05ADDB" w14:textId="6FB65D4D" w:rsidR="00FE2D60" w:rsidRPr="004A3983" w:rsidRDefault="002E5535" w:rsidP="00B9479E">
      <w:pPr>
        <w:pStyle w:val="TOC6"/>
        <w:rPr>
          <w:rFonts w:eastAsiaTheme="minorEastAsia"/>
          <w:lang w:eastAsia="en-AU"/>
        </w:rPr>
      </w:pPr>
      <w:hyperlink w:anchor="_Toc22277101" w:history="1">
        <w:r w:rsidR="0066023F" w:rsidRPr="004A3983">
          <w:rPr>
            <w:rStyle w:val="Hyperlink"/>
            <w:b/>
            <w:caps w:val="0"/>
            <w:u w:val="none"/>
          </w:rPr>
          <w:t>F</w:t>
        </w:r>
        <w:r w:rsidR="00C648F6" w:rsidRPr="004A3983">
          <w:rPr>
            <w:rStyle w:val="Hyperlink"/>
            <w:b/>
            <w:caps w:val="0"/>
            <w:u w:val="none"/>
          </w:rPr>
          <w:t>inding 4:</w:t>
        </w:r>
        <w:r w:rsidR="00C648F6" w:rsidRPr="004A3983">
          <w:rPr>
            <w:rFonts w:eastAsiaTheme="minorEastAsia"/>
            <w:lang w:eastAsia="en-AU"/>
          </w:rPr>
          <w:tab/>
        </w:r>
        <w:r w:rsidR="0066023F" w:rsidRPr="004A3983">
          <w:rPr>
            <w:rStyle w:val="Hyperlink"/>
            <w:b/>
            <w:caps w:val="0"/>
            <w:u w:val="none"/>
          </w:rPr>
          <w:t>T</w:t>
        </w:r>
        <w:r w:rsidR="00C648F6" w:rsidRPr="004A3983">
          <w:rPr>
            <w:rStyle w:val="Hyperlink"/>
            <w:b/>
            <w:caps w:val="0"/>
            <w:u w:val="none"/>
          </w:rPr>
          <w:t xml:space="preserve">he NSW Police Force made </w:t>
        </w:r>
        <w:r w:rsidR="0066023F" w:rsidRPr="004A3983">
          <w:rPr>
            <w:rStyle w:val="Hyperlink"/>
            <w:b/>
            <w:caps w:val="0"/>
            <w:u w:val="none"/>
          </w:rPr>
          <w:t>decisions to write letters to Mr DD, Mr NN</w:t>
        </w:r>
        <w:r w:rsidR="00B9479E">
          <w:rPr>
            <w:rStyle w:val="Hyperlink"/>
            <w:b/>
            <w:caps w:val="0"/>
            <w:u w:val="none"/>
          </w:rPr>
          <w:t> </w:t>
        </w:r>
        <w:r w:rsidR="0066023F" w:rsidRPr="004A3983">
          <w:rPr>
            <w:rStyle w:val="Hyperlink"/>
            <w:b/>
            <w:caps w:val="0"/>
            <w:u w:val="none"/>
          </w:rPr>
          <w:t>and Mr KK</w:t>
        </w:r>
        <w:r w:rsidR="00C648F6" w:rsidRPr="004A3983">
          <w:rPr>
            <w:rStyle w:val="Hyperlink"/>
            <w:b/>
            <w:caps w:val="0"/>
            <w:u w:val="none"/>
          </w:rPr>
          <w:t xml:space="preserve"> about their obligations under the CPOR Act, which were in effect misleading. These decisions, although not unlawful, were unreasonable or</w:t>
        </w:r>
        <w:r w:rsidR="00B9479E">
          <w:rPr>
            <w:rStyle w:val="Hyperlink"/>
            <w:b/>
            <w:caps w:val="0"/>
            <w:u w:val="none"/>
          </w:rPr>
          <w:t> </w:t>
        </w:r>
        <w:r w:rsidR="00C648F6" w:rsidRPr="004A3983">
          <w:rPr>
            <w:rStyle w:val="Hyperlink"/>
            <w:b/>
            <w:caps w:val="0"/>
            <w:u w:val="none"/>
          </w:rPr>
          <w:t>unjust in their effects.</w:t>
        </w:r>
        <w:r w:rsidR="00C648F6" w:rsidRPr="004A3983">
          <w:rPr>
            <w:webHidden/>
          </w:rPr>
          <w:tab/>
        </w:r>
        <w:r w:rsidR="00FE2D60" w:rsidRPr="004A3983">
          <w:rPr>
            <w:webHidden/>
          </w:rPr>
          <w:fldChar w:fldCharType="begin"/>
        </w:r>
        <w:r w:rsidR="00FE2D60" w:rsidRPr="004A3983">
          <w:rPr>
            <w:webHidden/>
          </w:rPr>
          <w:instrText xml:space="preserve"> PAGEREF _Toc22277101 \h </w:instrText>
        </w:r>
        <w:r w:rsidR="00FE2D60" w:rsidRPr="004A3983">
          <w:rPr>
            <w:webHidden/>
          </w:rPr>
        </w:r>
        <w:r w:rsidR="00FE2D60" w:rsidRPr="004A3983">
          <w:rPr>
            <w:webHidden/>
          </w:rPr>
          <w:fldChar w:fldCharType="separate"/>
        </w:r>
        <w:r w:rsidR="00022664">
          <w:rPr>
            <w:webHidden/>
          </w:rPr>
          <w:t>86</w:t>
        </w:r>
        <w:r w:rsidR="00FE2D60" w:rsidRPr="004A3983">
          <w:rPr>
            <w:webHidden/>
          </w:rPr>
          <w:fldChar w:fldCharType="end"/>
        </w:r>
      </w:hyperlink>
    </w:p>
    <w:p w14:paraId="246C54C8" w14:textId="2053B7ED" w:rsidR="003871C5" w:rsidRPr="004A3983" w:rsidRDefault="00856A8D" w:rsidP="00E61632">
      <w:pPr>
        <w:pStyle w:val="NonNumberHeading2"/>
      </w:pPr>
      <w:r w:rsidRPr="004A3983">
        <w:lastRenderedPageBreak/>
        <w:fldChar w:fldCharType="end"/>
      </w:r>
      <w:bookmarkStart w:id="3" w:name="_Toc22627719"/>
      <w:r w:rsidR="000E2E79" w:rsidRPr="004A3983">
        <w:t>List of</w:t>
      </w:r>
      <w:r w:rsidR="004E593E" w:rsidRPr="004A3983">
        <w:t xml:space="preserve"> </w:t>
      </w:r>
      <w:r w:rsidR="00F018AC" w:rsidRPr="00E61632">
        <w:t>Recommendations</w:t>
      </w:r>
      <w:bookmarkEnd w:id="3"/>
    </w:p>
    <w:p w14:paraId="6E67DF58" w14:textId="220997AE" w:rsidR="00C648F6" w:rsidRPr="004A3983" w:rsidRDefault="00C96810" w:rsidP="00802DCA">
      <w:pPr>
        <w:pStyle w:val="TOC4"/>
        <w:rPr>
          <w:rFonts w:eastAsiaTheme="minorEastAsia"/>
          <w:lang w:eastAsia="en-AU"/>
        </w:rPr>
      </w:pPr>
      <w:r w:rsidRPr="004A3983">
        <w:fldChar w:fldCharType="begin"/>
      </w:r>
      <w:r w:rsidRPr="004A3983">
        <w:instrText xml:space="preserve"> TOC \h \z \t "Recommendation Headings,4" </w:instrText>
      </w:r>
      <w:r w:rsidRPr="004A3983">
        <w:fldChar w:fldCharType="separate"/>
      </w:r>
      <w:hyperlink w:anchor="_Toc22277335" w:history="1">
        <w:r w:rsidR="00C648F6" w:rsidRPr="004A3983">
          <w:rPr>
            <w:rStyle w:val="Hyperlink"/>
            <w:rFonts w:ascii="Gotham Book" w:hAnsi="Gotham Book" w:cs="Gotham Book"/>
            <w:b/>
            <w:caps w:val="0"/>
          </w:rPr>
          <w:t>Recommendation 1:</w:t>
        </w:r>
        <w:r w:rsidR="00C648F6" w:rsidRPr="004A3983">
          <w:rPr>
            <w:rFonts w:eastAsiaTheme="minorEastAsia"/>
            <w:lang w:eastAsia="en-AU"/>
          </w:rPr>
          <w:tab/>
        </w:r>
        <w:r w:rsidR="00173135" w:rsidRPr="004A3983">
          <w:rPr>
            <w:rStyle w:val="Hyperlink"/>
            <w:b/>
            <w:caps w:val="0"/>
          </w:rPr>
          <w:t>N</w:t>
        </w:r>
        <w:r w:rsidR="00C648F6" w:rsidRPr="004A3983">
          <w:rPr>
            <w:rStyle w:val="Hyperlink"/>
            <w:b/>
            <w:caps w:val="0"/>
          </w:rPr>
          <w:t>otify persons who may have been subjected to unlawful</w:t>
        </w:r>
        <w:r w:rsidR="00802DCA">
          <w:rPr>
            <w:rStyle w:val="Hyperlink"/>
            <w:b/>
            <w:caps w:val="0"/>
          </w:rPr>
          <w:t> </w:t>
        </w:r>
        <w:r w:rsidR="00C648F6" w:rsidRPr="004A3983">
          <w:rPr>
            <w:rStyle w:val="Hyperlink"/>
            <w:b/>
            <w:caps w:val="0"/>
          </w:rPr>
          <w:t>or unjust actions by the NSW Police Force.</w:t>
        </w:r>
        <w:r w:rsidR="00C648F6" w:rsidRPr="004A3983">
          <w:rPr>
            <w:rStyle w:val="Hyperlink"/>
            <w:caps w:val="0"/>
          </w:rPr>
          <w:t xml:space="preserve"> The NSW Police Force write</w:t>
        </w:r>
        <w:r w:rsidR="00802DCA">
          <w:rPr>
            <w:rStyle w:val="Hyperlink"/>
            <w:caps w:val="0"/>
          </w:rPr>
          <w:t> </w:t>
        </w:r>
        <w:r w:rsidR="00C648F6" w:rsidRPr="004A3983">
          <w:rPr>
            <w:rStyle w:val="Hyperlink"/>
            <w:caps w:val="0"/>
          </w:rPr>
          <w:t>to</w:t>
        </w:r>
        <w:r w:rsidR="00802DCA">
          <w:rPr>
            <w:rStyle w:val="Hyperlink"/>
            <w:caps w:val="0"/>
          </w:rPr>
          <w:t> </w:t>
        </w:r>
        <w:r w:rsidR="00C648F6" w:rsidRPr="004A3983">
          <w:rPr>
            <w:rStyle w:val="Hyperlink"/>
            <w:caps w:val="0"/>
          </w:rPr>
          <w:t>each of the 277 people id</w:t>
        </w:r>
        <w:r w:rsidR="00173135" w:rsidRPr="004A3983">
          <w:rPr>
            <w:rStyle w:val="Hyperlink"/>
            <w:caps w:val="0"/>
          </w:rPr>
          <w:t>entified by the CPR</w:t>
        </w:r>
        <w:r w:rsidR="00C648F6" w:rsidRPr="004A3983">
          <w:rPr>
            <w:rStyle w:val="Hyperlink"/>
            <w:caps w:val="0"/>
          </w:rPr>
          <w:t xml:space="preserve"> case review who may have been subjected to unlawful or unjust actions by the NSW Police Force as a result of</w:t>
        </w:r>
        <w:r w:rsidR="00802DCA">
          <w:rPr>
            <w:rStyle w:val="Hyperlink"/>
            <w:caps w:val="0"/>
          </w:rPr>
          <w:t> </w:t>
        </w:r>
        <w:r w:rsidR="00C648F6" w:rsidRPr="004A3983">
          <w:rPr>
            <w:rStyle w:val="Hyperlink"/>
            <w:caps w:val="0"/>
          </w:rPr>
          <w:t xml:space="preserve">errors in the </w:t>
        </w:r>
        <w:r w:rsidR="00173135" w:rsidRPr="004A3983">
          <w:rPr>
            <w:rStyle w:val="Hyperlink"/>
            <w:caps w:val="0"/>
          </w:rPr>
          <w:t>Child Protection Register</w:t>
        </w:r>
        <w:r w:rsidR="00C648F6" w:rsidRPr="004A3983">
          <w:rPr>
            <w:rStyle w:val="Hyperlink"/>
            <w:caps w:val="0"/>
          </w:rPr>
          <w:t>. Each letter should:</w:t>
        </w:r>
      </w:hyperlink>
      <w:r w:rsidR="00173135" w:rsidRPr="004A3983">
        <w:rPr>
          <w:rFonts w:eastAsiaTheme="minorEastAsia"/>
          <w:lang w:eastAsia="en-AU"/>
        </w:rPr>
        <w:t xml:space="preserve"> </w:t>
      </w:r>
    </w:p>
    <w:p w14:paraId="21F01534" w14:textId="650CA582" w:rsidR="00C648F6" w:rsidRPr="00802DCA" w:rsidRDefault="002E5535" w:rsidP="00802DCA">
      <w:pPr>
        <w:pStyle w:val="ListBullet"/>
        <w:rPr>
          <w:rFonts w:eastAsiaTheme="minorEastAsia"/>
          <w:noProof/>
          <w:lang w:eastAsia="en-AU"/>
        </w:rPr>
      </w:pPr>
      <w:hyperlink w:anchor="_Toc22277336" w:history="1">
        <w:r w:rsidR="00C648F6" w:rsidRPr="00802DCA">
          <w:rPr>
            <w:rStyle w:val="Hyperlink"/>
            <w:noProof/>
          </w:rPr>
          <w:t>explain the specific error that was made in their case;</w:t>
        </w:r>
      </w:hyperlink>
      <w:r w:rsidR="00173135" w:rsidRPr="00802DCA">
        <w:rPr>
          <w:rFonts w:eastAsiaTheme="minorEastAsia"/>
          <w:noProof/>
          <w:lang w:eastAsia="en-AU"/>
        </w:rPr>
        <w:t xml:space="preserve"> </w:t>
      </w:r>
    </w:p>
    <w:p w14:paraId="126A2477" w14:textId="31364804" w:rsidR="00C648F6" w:rsidRPr="000D61FC" w:rsidRDefault="002E5535" w:rsidP="00802DCA">
      <w:pPr>
        <w:pStyle w:val="ListBullet"/>
        <w:rPr>
          <w:rFonts w:eastAsiaTheme="minorEastAsia"/>
          <w:noProof/>
          <w:lang w:eastAsia="en-AU"/>
        </w:rPr>
      </w:pPr>
      <w:hyperlink w:anchor="_Toc22277337" w:history="1">
        <w:r w:rsidR="00C648F6" w:rsidRPr="000D61FC">
          <w:rPr>
            <w:rStyle w:val="Hyperlink"/>
            <w:noProof/>
          </w:rPr>
          <w:t>identify each of the types of actions that the NSW Police Force may have</w:t>
        </w:r>
        <w:r w:rsidR="00802DCA" w:rsidRPr="000D61FC">
          <w:rPr>
            <w:rStyle w:val="Hyperlink"/>
            <w:noProof/>
          </w:rPr>
          <w:t> </w:t>
        </w:r>
        <w:r w:rsidR="00C648F6" w:rsidRPr="000D61FC">
          <w:rPr>
            <w:rStyle w:val="Hyperlink"/>
            <w:noProof/>
          </w:rPr>
          <w:t>mistakenly subjected the person to as a result of that error, and</w:t>
        </w:r>
      </w:hyperlink>
    </w:p>
    <w:p w14:paraId="0D05A208" w14:textId="504C90E3" w:rsidR="00C648F6" w:rsidRPr="000D61FC" w:rsidRDefault="002E5535" w:rsidP="000D61FC">
      <w:pPr>
        <w:pStyle w:val="ListBullet"/>
        <w:tabs>
          <w:tab w:val="right" w:leader="dot" w:pos="9354"/>
        </w:tabs>
        <w:rPr>
          <w:rFonts w:eastAsiaTheme="minorEastAsia"/>
          <w:noProof/>
          <w:lang w:eastAsia="en-AU"/>
        </w:rPr>
      </w:pPr>
      <w:hyperlink w:anchor="_Toc22277338" w:history="1">
        <w:r w:rsidR="00C648F6" w:rsidRPr="000D61FC">
          <w:rPr>
            <w:rStyle w:val="Hyperlink"/>
            <w:noProof/>
          </w:rPr>
          <w:t>apologise for these errors, and suggest the person may wish to obtain independent legal advice</w:t>
        </w:r>
        <w:r w:rsidR="000D61FC">
          <w:rPr>
            <w:rStyle w:val="Hyperlink"/>
            <w:noProof/>
          </w:rPr>
          <w:t>.</w:t>
        </w:r>
        <w:r w:rsidR="000D61FC">
          <w:rPr>
            <w:rStyle w:val="Hyperlink"/>
            <w:noProof/>
          </w:rPr>
          <w:tab/>
        </w:r>
        <w:r w:rsidR="00C648F6" w:rsidRPr="000D61FC">
          <w:rPr>
            <w:noProof/>
            <w:webHidden/>
          </w:rPr>
          <w:fldChar w:fldCharType="begin"/>
        </w:r>
        <w:r w:rsidR="00C648F6" w:rsidRPr="000D61FC">
          <w:rPr>
            <w:noProof/>
            <w:webHidden/>
          </w:rPr>
          <w:instrText xml:space="preserve"> PAGEREF _Toc22277338 \h </w:instrText>
        </w:r>
        <w:r w:rsidR="00C648F6" w:rsidRPr="000D61FC">
          <w:rPr>
            <w:noProof/>
            <w:webHidden/>
          </w:rPr>
        </w:r>
        <w:r w:rsidR="00C648F6" w:rsidRPr="000D61FC">
          <w:rPr>
            <w:noProof/>
            <w:webHidden/>
          </w:rPr>
          <w:fldChar w:fldCharType="separate"/>
        </w:r>
        <w:r w:rsidR="00022664">
          <w:rPr>
            <w:noProof/>
            <w:webHidden/>
          </w:rPr>
          <w:t>91</w:t>
        </w:r>
        <w:r w:rsidR="00C648F6" w:rsidRPr="000D61FC">
          <w:rPr>
            <w:noProof/>
            <w:webHidden/>
          </w:rPr>
          <w:fldChar w:fldCharType="end"/>
        </w:r>
      </w:hyperlink>
    </w:p>
    <w:p w14:paraId="2C25B43F" w14:textId="71862342" w:rsidR="00C648F6" w:rsidRPr="004A3983" w:rsidRDefault="002E5535" w:rsidP="000D61FC">
      <w:pPr>
        <w:pStyle w:val="TOC4"/>
        <w:tabs>
          <w:tab w:val="clear" w:pos="9356"/>
          <w:tab w:val="right" w:leader="dot" w:pos="9354"/>
        </w:tabs>
        <w:rPr>
          <w:rFonts w:eastAsiaTheme="minorEastAsia"/>
          <w:lang w:eastAsia="en-AU"/>
        </w:rPr>
      </w:pPr>
      <w:hyperlink w:anchor="_Toc22277339" w:history="1">
        <w:r w:rsidR="00173135" w:rsidRPr="004A3983">
          <w:rPr>
            <w:rStyle w:val="Hyperlink"/>
            <w:rFonts w:ascii="Gotham Book" w:hAnsi="Gotham Book" w:cs="Gotham Book"/>
            <w:b/>
            <w:caps w:val="0"/>
          </w:rPr>
          <w:t>R</w:t>
        </w:r>
        <w:r w:rsidR="00C648F6" w:rsidRPr="004A3983">
          <w:rPr>
            <w:rStyle w:val="Hyperlink"/>
            <w:rFonts w:ascii="Gotham Book" w:hAnsi="Gotham Book" w:cs="Gotham Book"/>
            <w:b/>
            <w:caps w:val="0"/>
          </w:rPr>
          <w:t>ecommendation 2:</w:t>
        </w:r>
        <w:r w:rsidR="00C648F6" w:rsidRPr="004A3983">
          <w:rPr>
            <w:rFonts w:eastAsiaTheme="minorEastAsia"/>
            <w:lang w:eastAsia="en-AU"/>
          </w:rPr>
          <w:tab/>
        </w:r>
        <w:r w:rsidR="003F2E00" w:rsidRPr="004A3983">
          <w:rPr>
            <w:rStyle w:val="Hyperlink"/>
            <w:b/>
            <w:caps w:val="0"/>
          </w:rPr>
          <w:t>A</w:t>
        </w:r>
        <w:r w:rsidR="00C648F6" w:rsidRPr="004A3983">
          <w:rPr>
            <w:rStyle w:val="Hyperlink"/>
            <w:b/>
            <w:caps w:val="0"/>
          </w:rPr>
          <w:t>dopt a responsive</w:t>
        </w:r>
        <w:r w:rsidR="003F2E00" w:rsidRPr="004A3983">
          <w:rPr>
            <w:rStyle w:val="Hyperlink"/>
            <w:b/>
            <w:caps w:val="0"/>
          </w:rPr>
          <w:t xml:space="preserve"> model of resourcing for the Child</w:t>
        </w:r>
        <w:r w:rsidR="000D61FC">
          <w:rPr>
            <w:rStyle w:val="Hyperlink"/>
            <w:b/>
            <w:caps w:val="0"/>
          </w:rPr>
          <w:t> </w:t>
        </w:r>
        <w:r w:rsidR="003F2E00" w:rsidRPr="004A3983">
          <w:rPr>
            <w:rStyle w:val="Hyperlink"/>
            <w:b/>
            <w:caps w:val="0"/>
          </w:rPr>
          <w:t>Protection R</w:t>
        </w:r>
        <w:r w:rsidR="00C648F6" w:rsidRPr="004A3983">
          <w:rPr>
            <w:rStyle w:val="Hyperlink"/>
            <w:b/>
            <w:caps w:val="0"/>
          </w:rPr>
          <w:t>egistry</w:t>
        </w:r>
        <w:r w:rsidR="00C648F6" w:rsidRPr="004A3983">
          <w:rPr>
            <w:rStyle w:val="Hyperlink"/>
            <w:caps w:val="0"/>
          </w:rPr>
          <w:t>. The</w:t>
        </w:r>
        <w:r w:rsidR="00AC2C6D">
          <w:rPr>
            <w:rStyle w:val="Hyperlink"/>
            <w:caps w:val="0"/>
          </w:rPr>
          <w:t> </w:t>
        </w:r>
        <w:r w:rsidR="00C648F6" w:rsidRPr="004A3983">
          <w:rPr>
            <w:rStyle w:val="Hyperlink"/>
            <w:caps w:val="0"/>
          </w:rPr>
          <w:t>NSW Police Force ensu</w:t>
        </w:r>
        <w:r w:rsidR="003F2E00" w:rsidRPr="004A3983">
          <w:rPr>
            <w:rStyle w:val="Hyperlink"/>
            <w:caps w:val="0"/>
          </w:rPr>
          <w:t>re that the resourcing of the</w:t>
        </w:r>
        <w:r w:rsidR="000D61FC">
          <w:rPr>
            <w:rStyle w:val="Hyperlink"/>
            <w:caps w:val="0"/>
          </w:rPr>
          <w:t> </w:t>
        </w:r>
        <w:r w:rsidR="003F2E00" w:rsidRPr="004A3983">
          <w:rPr>
            <w:rStyle w:val="Hyperlink"/>
            <w:caps w:val="0"/>
          </w:rPr>
          <w:t>R</w:t>
        </w:r>
        <w:r w:rsidR="00C648F6" w:rsidRPr="004A3983">
          <w:rPr>
            <w:rStyle w:val="Hyperlink"/>
            <w:caps w:val="0"/>
          </w:rPr>
          <w:t>egistry is reviewed at least</w:t>
        </w:r>
        <w:r w:rsidR="00AC2C6D">
          <w:rPr>
            <w:rStyle w:val="Hyperlink"/>
            <w:caps w:val="0"/>
          </w:rPr>
          <w:t> </w:t>
        </w:r>
        <w:r w:rsidR="00C648F6" w:rsidRPr="004A3983">
          <w:rPr>
            <w:rStyle w:val="Hyperlink"/>
            <w:caps w:val="0"/>
          </w:rPr>
          <w:t>every two years, and that staffing is maintained at</w:t>
        </w:r>
        <w:r w:rsidR="000D61FC">
          <w:rPr>
            <w:rStyle w:val="Hyperlink"/>
            <w:caps w:val="0"/>
          </w:rPr>
          <w:t> </w:t>
        </w:r>
        <w:r w:rsidR="00C648F6" w:rsidRPr="004A3983">
          <w:rPr>
            <w:rStyle w:val="Hyperlink"/>
            <w:caps w:val="0"/>
          </w:rPr>
          <w:t>a</w:t>
        </w:r>
        <w:r w:rsidR="00802DCA">
          <w:rPr>
            <w:rStyle w:val="Hyperlink"/>
            <w:caps w:val="0"/>
          </w:rPr>
          <w:t> </w:t>
        </w:r>
        <w:r w:rsidR="00C648F6" w:rsidRPr="004A3983">
          <w:rPr>
            <w:rStyle w:val="Hyperlink"/>
            <w:caps w:val="0"/>
          </w:rPr>
          <w:t>level suffi</w:t>
        </w:r>
        <w:r w:rsidR="00C648F6" w:rsidRPr="000D61FC">
          <w:rPr>
            <w:rStyle w:val="Hyperlink"/>
            <w:caps w:val="0"/>
          </w:rPr>
          <w:t>cient to perform statutory functions under the CPOR Act efficiently</w:t>
        </w:r>
        <w:r w:rsidR="000D61FC">
          <w:rPr>
            <w:rStyle w:val="Hyperlink"/>
            <w:caps w:val="0"/>
          </w:rPr>
          <w:t> </w:t>
        </w:r>
        <w:r w:rsidR="00C648F6" w:rsidRPr="000D61FC">
          <w:rPr>
            <w:rStyle w:val="Hyperlink"/>
            <w:caps w:val="0"/>
          </w:rPr>
          <w:t>and</w:t>
        </w:r>
        <w:r w:rsidR="00802DCA" w:rsidRPr="000D61FC">
          <w:rPr>
            <w:rStyle w:val="Hyperlink"/>
            <w:caps w:val="0"/>
          </w:rPr>
          <w:t> </w:t>
        </w:r>
        <w:r w:rsidR="00C648F6" w:rsidRPr="000D61FC">
          <w:rPr>
            <w:rStyle w:val="Hyperlink"/>
            <w:caps w:val="0"/>
          </w:rPr>
          <w:t>accurately</w:t>
        </w:r>
        <w:r w:rsidR="000D61FC" w:rsidRPr="000D61FC">
          <w:rPr>
            <w:rStyle w:val="Hyperlink"/>
            <w:caps w:val="0"/>
          </w:rPr>
          <w:t>.</w:t>
        </w:r>
        <w:r w:rsidR="000D61FC" w:rsidRPr="000D61FC">
          <w:rPr>
            <w:rStyle w:val="Hyperlink"/>
            <w:caps w:val="0"/>
          </w:rPr>
          <w:tab/>
        </w:r>
        <w:r w:rsidR="00C648F6" w:rsidRPr="000D61FC">
          <w:rPr>
            <w:webHidden/>
          </w:rPr>
          <w:fldChar w:fldCharType="begin"/>
        </w:r>
        <w:r w:rsidR="00C648F6" w:rsidRPr="000D61FC">
          <w:rPr>
            <w:webHidden/>
          </w:rPr>
          <w:instrText xml:space="preserve"> PAGEREF _Toc22277339 \h </w:instrText>
        </w:r>
        <w:r w:rsidR="00C648F6" w:rsidRPr="000D61FC">
          <w:rPr>
            <w:webHidden/>
          </w:rPr>
        </w:r>
        <w:r w:rsidR="00C648F6" w:rsidRPr="000D61FC">
          <w:rPr>
            <w:webHidden/>
          </w:rPr>
          <w:fldChar w:fldCharType="separate"/>
        </w:r>
        <w:r w:rsidR="00022664">
          <w:rPr>
            <w:webHidden/>
          </w:rPr>
          <w:t>115</w:t>
        </w:r>
        <w:r w:rsidR="00C648F6" w:rsidRPr="000D61FC">
          <w:rPr>
            <w:webHidden/>
          </w:rPr>
          <w:fldChar w:fldCharType="end"/>
        </w:r>
      </w:hyperlink>
    </w:p>
    <w:p w14:paraId="3D80963A" w14:textId="1B90D1A3" w:rsidR="00C648F6" w:rsidRPr="004A3983" w:rsidRDefault="002E5535" w:rsidP="00802DCA">
      <w:pPr>
        <w:pStyle w:val="TOC4"/>
        <w:rPr>
          <w:rFonts w:eastAsiaTheme="minorEastAsia"/>
          <w:lang w:eastAsia="en-AU"/>
        </w:rPr>
      </w:pPr>
      <w:hyperlink w:anchor="_Toc22277340" w:history="1">
        <w:r w:rsidR="00173135" w:rsidRPr="004A3983">
          <w:rPr>
            <w:rStyle w:val="Hyperlink"/>
            <w:rFonts w:ascii="Gotham Book" w:hAnsi="Gotham Book" w:cs="Gotham Book"/>
            <w:b/>
            <w:caps w:val="0"/>
          </w:rPr>
          <w:t>R</w:t>
        </w:r>
        <w:r w:rsidR="00C648F6" w:rsidRPr="004A3983">
          <w:rPr>
            <w:rStyle w:val="Hyperlink"/>
            <w:rFonts w:ascii="Gotham Book" w:hAnsi="Gotham Book" w:cs="Gotham Book"/>
            <w:b/>
            <w:caps w:val="0"/>
          </w:rPr>
          <w:t>ecommendation 3:</w:t>
        </w:r>
        <w:r w:rsidR="00C648F6" w:rsidRPr="004A3983">
          <w:rPr>
            <w:rFonts w:eastAsiaTheme="minorEastAsia"/>
            <w:lang w:eastAsia="en-AU"/>
          </w:rPr>
          <w:tab/>
        </w:r>
        <w:r w:rsidR="00C14157" w:rsidRPr="004A3983">
          <w:rPr>
            <w:rStyle w:val="Hyperlink"/>
            <w:b/>
            <w:caps w:val="0"/>
          </w:rPr>
          <w:t>R</w:t>
        </w:r>
        <w:r w:rsidR="00C648F6" w:rsidRPr="004A3983">
          <w:rPr>
            <w:rStyle w:val="Hyperlink"/>
            <w:b/>
            <w:caps w:val="0"/>
          </w:rPr>
          <w:t>efer the CPOR Act</w:t>
        </w:r>
        <w:r w:rsidR="00C14157" w:rsidRPr="004A3983">
          <w:rPr>
            <w:rStyle w:val="Hyperlink"/>
            <w:b/>
            <w:caps w:val="0"/>
          </w:rPr>
          <w:t xml:space="preserve"> to the NSW Law Reform C</w:t>
        </w:r>
        <w:r w:rsidR="00C648F6" w:rsidRPr="004A3983">
          <w:rPr>
            <w:rStyle w:val="Hyperlink"/>
            <w:b/>
            <w:caps w:val="0"/>
          </w:rPr>
          <w:t>ommission</w:t>
        </w:r>
        <w:r w:rsidR="00E440A3">
          <w:rPr>
            <w:rStyle w:val="Hyperlink"/>
            <w:b/>
            <w:caps w:val="0"/>
          </w:rPr>
          <w:t> </w:t>
        </w:r>
        <w:r w:rsidR="00C648F6" w:rsidRPr="004A3983">
          <w:rPr>
            <w:rStyle w:val="Hyperlink"/>
            <w:b/>
            <w:caps w:val="0"/>
          </w:rPr>
          <w:t>for review</w:t>
        </w:r>
        <w:r w:rsidR="00C648F6" w:rsidRPr="004A3983">
          <w:rPr>
            <w:rStyle w:val="Hyperlink"/>
          </w:rPr>
          <w:t xml:space="preserve">. </w:t>
        </w:r>
        <w:r w:rsidR="00C14157" w:rsidRPr="004A3983">
          <w:rPr>
            <w:rStyle w:val="Hyperlink"/>
            <w:caps w:val="0"/>
          </w:rPr>
          <w:t>The Attorney-G</w:t>
        </w:r>
        <w:r w:rsidR="00C648F6" w:rsidRPr="004A3983">
          <w:rPr>
            <w:rStyle w:val="Hyperlink"/>
            <w:caps w:val="0"/>
          </w:rPr>
          <w:t>eneral urgently r</w:t>
        </w:r>
        <w:r w:rsidR="00C648F6" w:rsidRPr="000D61FC">
          <w:rPr>
            <w:rStyle w:val="Hyperlink"/>
            <w:caps w:val="0"/>
          </w:rPr>
          <w:t xml:space="preserve">efer the </w:t>
        </w:r>
        <w:r w:rsidR="00C14157" w:rsidRPr="000D61FC">
          <w:rPr>
            <w:rStyle w:val="Hyperlink"/>
            <w:i/>
            <w:caps w:val="0"/>
          </w:rPr>
          <w:t>Child Protection (Offenders Registration) A</w:t>
        </w:r>
        <w:r w:rsidR="00C648F6" w:rsidRPr="000D61FC">
          <w:rPr>
            <w:rStyle w:val="Hyperlink"/>
            <w:i/>
            <w:caps w:val="0"/>
          </w:rPr>
          <w:t>ct 2000</w:t>
        </w:r>
        <w:r w:rsidR="00C14157" w:rsidRPr="000D61FC">
          <w:rPr>
            <w:rStyle w:val="Hyperlink"/>
            <w:caps w:val="0"/>
          </w:rPr>
          <w:t xml:space="preserve"> (NSW) to the NSW Law Reform C</w:t>
        </w:r>
        <w:r w:rsidR="00C648F6" w:rsidRPr="000D61FC">
          <w:rPr>
            <w:rStyle w:val="Hyperlink"/>
            <w:caps w:val="0"/>
          </w:rPr>
          <w:t>ommission for</w:t>
        </w:r>
        <w:r w:rsidR="00E440A3" w:rsidRPr="000D61FC">
          <w:rPr>
            <w:rStyle w:val="Hyperlink"/>
            <w:caps w:val="0"/>
          </w:rPr>
          <w:t> </w:t>
        </w:r>
        <w:r w:rsidR="00C648F6" w:rsidRPr="000D61FC">
          <w:rPr>
            <w:rStyle w:val="Hyperlink"/>
            <w:caps w:val="0"/>
          </w:rPr>
          <w:t>comprehensive review, to be completed within six months.</w:t>
        </w:r>
        <w:r w:rsidR="00C648F6" w:rsidRPr="000D61FC">
          <w:rPr>
            <w:webHidden/>
          </w:rPr>
          <w:tab/>
        </w:r>
        <w:r w:rsidR="00C648F6" w:rsidRPr="000D61FC">
          <w:rPr>
            <w:webHidden/>
          </w:rPr>
          <w:fldChar w:fldCharType="begin"/>
        </w:r>
        <w:r w:rsidR="00C648F6" w:rsidRPr="000D61FC">
          <w:rPr>
            <w:webHidden/>
          </w:rPr>
          <w:instrText xml:space="preserve"> PAGEREF _Toc22277340 \h </w:instrText>
        </w:r>
        <w:r w:rsidR="00C648F6" w:rsidRPr="000D61FC">
          <w:rPr>
            <w:webHidden/>
          </w:rPr>
        </w:r>
        <w:r w:rsidR="00C648F6" w:rsidRPr="000D61FC">
          <w:rPr>
            <w:webHidden/>
          </w:rPr>
          <w:fldChar w:fldCharType="separate"/>
        </w:r>
        <w:r w:rsidR="00022664">
          <w:rPr>
            <w:webHidden/>
          </w:rPr>
          <w:t>128</w:t>
        </w:r>
        <w:r w:rsidR="00C648F6" w:rsidRPr="000D61FC">
          <w:rPr>
            <w:webHidden/>
          </w:rPr>
          <w:fldChar w:fldCharType="end"/>
        </w:r>
      </w:hyperlink>
    </w:p>
    <w:p w14:paraId="090FF189" w14:textId="784B3222" w:rsidR="00C648F6" w:rsidRPr="000D61FC" w:rsidRDefault="002E5535" w:rsidP="00802DCA">
      <w:pPr>
        <w:pStyle w:val="TOC4"/>
        <w:rPr>
          <w:rFonts w:eastAsiaTheme="minorEastAsia"/>
          <w:lang w:eastAsia="en-AU"/>
        </w:rPr>
      </w:pPr>
      <w:hyperlink w:anchor="_Toc22277341" w:history="1">
        <w:r w:rsidR="00173135" w:rsidRPr="000D61FC">
          <w:rPr>
            <w:rStyle w:val="Hyperlink"/>
            <w:rFonts w:ascii="Gotham Book" w:hAnsi="Gotham Book" w:cs="Gotham Book"/>
            <w:b/>
            <w:caps w:val="0"/>
          </w:rPr>
          <w:t>Recommendation</w:t>
        </w:r>
        <w:r w:rsidR="00C648F6" w:rsidRPr="000D61FC">
          <w:rPr>
            <w:rStyle w:val="Hyperlink"/>
            <w:rFonts w:ascii="Gotham Book" w:hAnsi="Gotham Book" w:cs="Gotham Book"/>
            <w:b/>
            <w:caps w:val="0"/>
          </w:rPr>
          <w:t xml:space="preserve"> 4:</w:t>
        </w:r>
        <w:r w:rsidR="00C648F6" w:rsidRPr="000D61FC">
          <w:rPr>
            <w:rFonts w:eastAsiaTheme="minorEastAsia"/>
            <w:lang w:eastAsia="en-AU"/>
          </w:rPr>
          <w:tab/>
        </w:r>
        <w:r w:rsidR="00C14157" w:rsidRPr="000D61FC">
          <w:rPr>
            <w:rStyle w:val="Hyperlink"/>
            <w:b/>
            <w:caps w:val="0"/>
          </w:rPr>
          <w:t>I</w:t>
        </w:r>
        <w:r w:rsidR="00C648F6" w:rsidRPr="000D61FC">
          <w:rPr>
            <w:rStyle w:val="Hyperlink"/>
            <w:b/>
            <w:caps w:val="0"/>
          </w:rPr>
          <w:t>ntroduce a statutory review mechanism</w:t>
        </w:r>
        <w:r w:rsidR="00C648F6" w:rsidRPr="000D61FC">
          <w:rPr>
            <w:rStyle w:val="Hyperlink"/>
            <w:caps w:val="0"/>
          </w:rPr>
          <w:t>. A provision should</w:t>
        </w:r>
        <w:r w:rsidR="00E440A3" w:rsidRPr="000D61FC">
          <w:rPr>
            <w:rStyle w:val="Hyperlink"/>
            <w:caps w:val="0"/>
          </w:rPr>
          <w:t> </w:t>
        </w:r>
        <w:r w:rsidR="00C648F6" w:rsidRPr="000D61FC">
          <w:rPr>
            <w:rStyle w:val="Hyperlink"/>
            <w:caps w:val="0"/>
          </w:rPr>
          <w:t xml:space="preserve">be included in the </w:t>
        </w:r>
        <w:r w:rsidR="00C14157" w:rsidRPr="000D61FC">
          <w:rPr>
            <w:rStyle w:val="Hyperlink"/>
            <w:i/>
            <w:caps w:val="0"/>
          </w:rPr>
          <w:t>Child Protection (Offenders Registration) A</w:t>
        </w:r>
        <w:r w:rsidR="00C648F6" w:rsidRPr="000D61FC">
          <w:rPr>
            <w:rStyle w:val="Hyperlink"/>
            <w:i/>
            <w:caps w:val="0"/>
          </w:rPr>
          <w:t>ct 2000</w:t>
        </w:r>
        <w:r w:rsidR="00C14157" w:rsidRPr="000D61FC">
          <w:rPr>
            <w:rStyle w:val="Hyperlink"/>
            <w:caps w:val="0"/>
          </w:rPr>
          <w:t xml:space="preserve"> (NSW)</w:t>
        </w:r>
        <w:r w:rsidR="00E440A3" w:rsidRPr="000D61FC">
          <w:rPr>
            <w:rStyle w:val="Hyperlink"/>
            <w:caps w:val="0"/>
          </w:rPr>
          <w:t> </w:t>
        </w:r>
        <w:r w:rsidR="00C14157" w:rsidRPr="000D61FC">
          <w:rPr>
            <w:rStyle w:val="Hyperlink"/>
            <w:caps w:val="0"/>
          </w:rPr>
          <w:t>(or any A</w:t>
        </w:r>
        <w:r w:rsidR="00C648F6" w:rsidRPr="000D61FC">
          <w:rPr>
            <w:rStyle w:val="Hyperlink"/>
            <w:caps w:val="0"/>
          </w:rPr>
          <w:t>ct which replaces it) which gives a person the right to seek review</w:t>
        </w:r>
        <w:r w:rsidR="00E440A3" w:rsidRPr="000D61FC">
          <w:rPr>
            <w:rStyle w:val="Hyperlink"/>
            <w:caps w:val="0"/>
          </w:rPr>
          <w:t> </w:t>
        </w:r>
        <w:r w:rsidR="00C648F6" w:rsidRPr="000D61FC">
          <w:rPr>
            <w:rStyle w:val="Hyperlink"/>
            <w:caps w:val="0"/>
          </w:rPr>
          <w:t xml:space="preserve">by the NSW Police Force of the decision that they meet the definition of </w:t>
        </w:r>
        <w:r w:rsidR="00C14157" w:rsidRPr="000D61FC">
          <w:rPr>
            <w:rStyle w:val="Hyperlink"/>
            <w:caps w:val="0"/>
          </w:rPr>
          <w:t>a</w:t>
        </w:r>
        <w:r w:rsidR="00E440A3" w:rsidRPr="000D61FC">
          <w:rPr>
            <w:rStyle w:val="Hyperlink"/>
            <w:caps w:val="0"/>
          </w:rPr>
          <w:t> </w:t>
        </w:r>
        <w:r w:rsidR="00C14157" w:rsidRPr="000D61FC">
          <w:rPr>
            <w:rStyle w:val="Hyperlink"/>
            <w:caps w:val="0"/>
          </w:rPr>
          <w:t>registrable person under the A</w:t>
        </w:r>
        <w:r w:rsidR="00C648F6" w:rsidRPr="000D61FC">
          <w:rPr>
            <w:rStyle w:val="Hyperlink"/>
            <w:caps w:val="0"/>
          </w:rPr>
          <w:t>ct, and/or the decision as to which reporting period</w:t>
        </w:r>
        <w:r w:rsidR="00E440A3" w:rsidRPr="000D61FC">
          <w:rPr>
            <w:rStyle w:val="Hyperlink"/>
            <w:caps w:val="0"/>
          </w:rPr>
          <w:t> </w:t>
        </w:r>
        <w:r w:rsidR="00C648F6" w:rsidRPr="000D61FC">
          <w:rPr>
            <w:rStyle w:val="Hyperlink"/>
            <w:caps w:val="0"/>
          </w:rPr>
          <w:t>applies to the</w:t>
        </w:r>
        <w:r w:rsidR="00E440A3" w:rsidRPr="000D61FC">
          <w:rPr>
            <w:rStyle w:val="Hyperlink"/>
            <w:caps w:val="0"/>
          </w:rPr>
          <w:t> </w:t>
        </w:r>
        <w:r w:rsidR="00C648F6" w:rsidRPr="000D61FC">
          <w:rPr>
            <w:rStyle w:val="Hyperlink"/>
            <w:caps w:val="0"/>
          </w:rPr>
          <w:t>person. Consideration should be given to providing a right of</w:t>
        </w:r>
        <w:r w:rsidR="00E440A3" w:rsidRPr="000D61FC">
          <w:rPr>
            <w:rStyle w:val="Hyperlink"/>
            <w:caps w:val="0"/>
          </w:rPr>
          <w:t> </w:t>
        </w:r>
        <w:r w:rsidR="00C648F6" w:rsidRPr="000D61FC">
          <w:rPr>
            <w:rStyle w:val="Hyperlink"/>
            <w:caps w:val="0"/>
          </w:rPr>
          <w:t>appeal</w:t>
        </w:r>
        <w:r w:rsidR="00E440A3" w:rsidRPr="000D61FC">
          <w:rPr>
            <w:rStyle w:val="Hyperlink"/>
            <w:caps w:val="0"/>
          </w:rPr>
          <w:t> </w:t>
        </w:r>
        <w:r w:rsidR="00C648F6" w:rsidRPr="000D61FC">
          <w:rPr>
            <w:rStyle w:val="Hyperlink"/>
            <w:caps w:val="0"/>
          </w:rPr>
          <w:t>from the NSW Police Force review t</w:t>
        </w:r>
        <w:r w:rsidR="00F15CF9" w:rsidRPr="000D61FC">
          <w:rPr>
            <w:rStyle w:val="Hyperlink"/>
            <w:caps w:val="0"/>
          </w:rPr>
          <w:t>o a tribunal or court.</w:t>
        </w:r>
        <w:r w:rsidR="00C648F6" w:rsidRPr="000D61FC">
          <w:rPr>
            <w:webHidden/>
          </w:rPr>
          <w:tab/>
        </w:r>
        <w:r w:rsidR="00C648F6" w:rsidRPr="000D61FC">
          <w:rPr>
            <w:webHidden/>
          </w:rPr>
          <w:fldChar w:fldCharType="begin"/>
        </w:r>
        <w:r w:rsidR="00C648F6" w:rsidRPr="000D61FC">
          <w:rPr>
            <w:webHidden/>
          </w:rPr>
          <w:instrText xml:space="preserve"> PAGEREF _Toc22277341 \h </w:instrText>
        </w:r>
        <w:r w:rsidR="00C648F6" w:rsidRPr="000D61FC">
          <w:rPr>
            <w:webHidden/>
          </w:rPr>
        </w:r>
        <w:r w:rsidR="00C648F6" w:rsidRPr="000D61FC">
          <w:rPr>
            <w:webHidden/>
          </w:rPr>
          <w:fldChar w:fldCharType="separate"/>
        </w:r>
        <w:r w:rsidR="00022664">
          <w:rPr>
            <w:webHidden/>
          </w:rPr>
          <w:t>129</w:t>
        </w:r>
        <w:r w:rsidR="00C648F6" w:rsidRPr="000D61FC">
          <w:rPr>
            <w:webHidden/>
          </w:rPr>
          <w:fldChar w:fldCharType="end"/>
        </w:r>
      </w:hyperlink>
    </w:p>
    <w:p w14:paraId="43B1CCAB" w14:textId="64F6F63B" w:rsidR="00C648F6" w:rsidRPr="000D61FC" w:rsidRDefault="002E5535" w:rsidP="00802DCA">
      <w:pPr>
        <w:pStyle w:val="TOC4"/>
        <w:rPr>
          <w:rFonts w:eastAsiaTheme="minorEastAsia"/>
          <w:lang w:eastAsia="en-AU"/>
        </w:rPr>
      </w:pPr>
      <w:hyperlink w:anchor="_Toc22277342" w:history="1">
        <w:r w:rsidR="00173135" w:rsidRPr="000D61FC">
          <w:rPr>
            <w:rStyle w:val="Hyperlink"/>
            <w:rFonts w:ascii="Gotham Book" w:hAnsi="Gotham Book" w:cs="Gotham Book"/>
            <w:b/>
            <w:caps w:val="0"/>
          </w:rPr>
          <w:t>Recommendation</w:t>
        </w:r>
        <w:r w:rsidR="00C648F6" w:rsidRPr="000D61FC">
          <w:rPr>
            <w:rStyle w:val="Hyperlink"/>
            <w:rFonts w:ascii="Gotham Book" w:hAnsi="Gotham Book" w:cs="Gotham Book"/>
            <w:b/>
            <w:caps w:val="0"/>
          </w:rPr>
          <w:t xml:space="preserve"> 5:</w:t>
        </w:r>
        <w:r w:rsidR="00C648F6" w:rsidRPr="000D61FC">
          <w:rPr>
            <w:rFonts w:eastAsiaTheme="minorEastAsia"/>
            <w:lang w:eastAsia="en-AU"/>
          </w:rPr>
          <w:tab/>
        </w:r>
        <w:r w:rsidR="00C14157" w:rsidRPr="000D61FC">
          <w:rPr>
            <w:rStyle w:val="Hyperlink"/>
            <w:b/>
            <w:caps w:val="0"/>
          </w:rPr>
          <w:t>E</w:t>
        </w:r>
        <w:r w:rsidR="00C648F6" w:rsidRPr="000D61FC">
          <w:rPr>
            <w:rStyle w:val="Hyperlink"/>
            <w:b/>
            <w:caps w:val="0"/>
          </w:rPr>
          <w:t>stablish a dedicated</w:t>
        </w:r>
        <w:r w:rsidR="00C14157" w:rsidRPr="000D61FC">
          <w:rPr>
            <w:rStyle w:val="Hyperlink"/>
            <w:b/>
            <w:caps w:val="0"/>
          </w:rPr>
          <w:t xml:space="preserve"> legal officer position in the Child Protection R</w:t>
        </w:r>
        <w:r w:rsidR="00C648F6" w:rsidRPr="000D61FC">
          <w:rPr>
            <w:rStyle w:val="Hyperlink"/>
            <w:b/>
            <w:caps w:val="0"/>
          </w:rPr>
          <w:t>egistry</w:t>
        </w:r>
        <w:r w:rsidR="00C648F6" w:rsidRPr="000D61FC">
          <w:rPr>
            <w:rStyle w:val="Hyperlink"/>
            <w:caps w:val="0"/>
          </w:rPr>
          <w:t xml:space="preserve">. The NSW Police Force establish at least one ongoing legal officer position within </w:t>
        </w:r>
        <w:r w:rsidR="00C14157" w:rsidRPr="000D61FC">
          <w:rPr>
            <w:rStyle w:val="Hyperlink"/>
            <w:caps w:val="0"/>
          </w:rPr>
          <w:t>the R</w:t>
        </w:r>
        <w:r w:rsidR="00C648F6" w:rsidRPr="000D61FC">
          <w:rPr>
            <w:rStyle w:val="Hyperlink"/>
            <w:caps w:val="0"/>
          </w:rPr>
          <w:t xml:space="preserve">egistry that is </w:t>
        </w:r>
        <w:r w:rsidR="00C14157" w:rsidRPr="000D61FC">
          <w:rPr>
            <w:rStyle w:val="Hyperlink"/>
            <w:caps w:val="0"/>
          </w:rPr>
          <w:t>dedicated solely to supporting R</w:t>
        </w:r>
        <w:r w:rsidR="00C648F6" w:rsidRPr="000D61FC">
          <w:rPr>
            <w:rStyle w:val="Hyperlink"/>
            <w:caps w:val="0"/>
          </w:rPr>
          <w:t>egistry staff, and fill that position as a matter of priority.</w:t>
        </w:r>
        <w:r w:rsidR="00C648F6" w:rsidRPr="000D61FC">
          <w:rPr>
            <w:webHidden/>
          </w:rPr>
          <w:tab/>
        </w:r>
        <w:r w:rsidR="00C648F6" w:rsidRPr="000D61FC">
          <w:rPr>
            <w:webHidden/>
          </w:rPr>
          <w:fldChar w:fldCharType="begin"/>
        </w:r>
        <w:r w:rsidR="00C648F6" w:rsidRPr="000D61FC">
          <w:rPr>
            <w:webHidden/>
          </w:rPr>
          <w:instrText xml:space="preserve"> PAGEREF _Toc22277342 \h </w:instrText>
        </w:r>
        <w:r w:rsidR="00C648F6" w:rsidRPr="000D61FC">
          <w:rPr>
            <w:webHidden/>
          </w:rPr>
        </w:r>
        <w:r w:rsidR="00C648F6" w:rsidRPr="000D61FC">
          <w:rPr>
            <w:webHidden/>
          </w:rPr>
          <w:fldChar w:fldCharType="separate"/>
        </w:r>
        <w:r w:rsidR="00022664">
          <w:rPr>
            <w:webHidden/>
          </w:rPr>
          <w:t>132</w:t>
        </w:r>
        <w:r w:rsidR="00C648F6" w:rsidRPr="000D61FC">
          <w:rPr>
            <w:webHidden/>
          </w:rPr>
          <w:fldChar w:fldCharType="end"/>
        </w:r>
      </w:hyperlink>
    </w:p>
    <w:p w14:paraId="170582EE" w14:textId="506A2394" w:rsidR="00C648F6" w:rsidRPr="000D61FC" w:rsidRDefault="002E5535" w:rsidP="00802DCA">
      <w:pPr>
        <w:pStyle w:val="TOC4"/>
        <w:rPr>
          <w:rFonts w:eastAsiaTheme="minorEastAsia"/>
          <w:lang w:eastAsia="en-AU"/>
        </w:rPr>
      </w:pPr>
      <w:hyperlink w:anchor="_Toc22277343" w:history="1">
        <w:r w:rsidR="00173135" w:rsidRPr="000D61FC">
          <w:rPr>
            <w:rStyle w:val="Hyperlink"/>
            <w:rFonts w:ascii="Gotham Book" w:hAnsi="Gotham Book" w:cs="Gotham Book"/>
            <w:b/>
            <w:caps w:val="0"/>
          </w:rPr>
          <w:t>Recommendation</w:t>
        </w:r>
        <w:r w:rsidR="00C648F6" w:rsidRPr="000D61FC">
          <w:rPr>
            <w:rStyle w:val="Hyperlink"/>
            <w:rFonts w:ascii="Gotham Book" w:hAnsi="Gotham Book" w:cs="Gotham Book"/>
            <w:b/>
            <w:caps w:val="0"/>
          </w:rPr>
          <w:t xml:space="preserve"> 6:</w:t>
        </w:r>
        <w:r w:rsidR="00C648F6" w:rsidRPr="000D61FC">
          <w:rPr>
            <w:rFonts w:eastAsiaTheme="minorEastAsia"/>
            <w:lang w:eastAsia="en-AU"/>
          </w:rPr>
          <w:tab/>
        </w:r>
        <w:r w:rsidR="00C14157" w:rsidRPr="000D61FC">
          <w:rPr>
            <w:rStyle w:val="Hyperlink"/>
            <w:b/>
            <w:caps w:val="0"/>
          </w:rPr>
          <w:t>P</w:t>
        </w:r>
        <w:r w:rsidR="00C648F6" w:rsidRPr="000D61FC">
          <w:rPr>
            <w:rStyle w:val="Hyperlink"/>
            <w:b/>
            <w:caps w:val="0"/>
          </w:rPr>
          <w:t>rovide reasons for decisions under the CPOR Act</w:t>
        </w:r>
        <w:r w:rsidR="00C648F6" w:rsidRPr="000D61FC">
          <w:rPr>
            <w:rStyle w:val="Hyperlink"/>
            <w:caps w:val="0"/>
          </w:rPr>
          <w:t>. The</w:t>
        </w:r>
        <w:r w:rsidR="00E440A3" w:rsidRPr="000D61FC">
          <w:rPr>
            <w:rStyle w:val="Hyperlink"/>
            <w:caps w:val="0"/>
          </w:rPr>
          <w:t> </w:t>
        </w:r>
        <w:r w:rsidR="00C648F6" w:rsidRPr="000D61FC">
          <w:rPr>
            <w:rStyle w:val="Hyperlink"/>
            <w:caps w:val="0"/>
          </w:rPr>
          <w:t xml:space="preserve">NSW Police Force provide written notification to each person </w:t>
        </w:r>
        <w:r w:rsidR="00C14157" w:rsidRPr="000D61FC">
          <w:rPr>
            <w:rStyle w:val="Hyperlink"/>
            <w:caps w:val="0"/>
          </w:rPr>
          <w:t>placed on the R</w:t>
        </w:r>
        <w:r w:rsidR="00C648F6" w:rsidRPr="000D61FC">
          <w:rPr>
            <w:rStyle w:val="Hyperlink"/>
            <w:caps w:val="0"/>
          </w:rPr>
          <w:t>egister</w:t>
        </w:r>
        <w:r w:rsidR="00C00455" w:rsidRPr="000D61FC">
          <w:rPr>
            <w:rStyle w:val="Hyperlink"/>
            <w:caps w:val="0"/>
          </w:rPr>
          <w:t> </w:t>
        </w:r>
        <w:r w:rsidR="00C648F6" w:rsidRPr="000D61FC">
          <w:rPr>
            <w:rStyle w:val="Hyperlink"/>
            <w:caps w:val="0"/>
          </w:rPr>
          <w:t>of the basis upon which their status as a registrable person and their reporting period has been determined, including the sections of the CPOR Act relied</w:t>
        </w:r>
        <w:r w:rsidR="00C00455" w:rsidRPr="000D61FC">
          <w:rPr>
            <w:rStyle w:val="Hyperlink"/>
            <w:caps w:val="0"/>
          </w:rPr>
          <w:t> </w:t>
        </w:r>
        <w:r w:rsidR="00C14157" w:rsidRPr="000D61FC">
          <w:rPr>
            <w:rStyle w:val="Hyperlink"/>
            <w:caps w:val="0"/>
          </w:rPr>
          <w:t>on. For persons already on the R</w:t>
        </w:r>
        <w:r w:rsidR="00C648F6" w:rsidRPr="000D61FC">
          <w:rPr>
            <w:rStyle w:val="Hyperlink"/>
            <w:caps w:val="0"/>
          </w:rPr>
          <w:t>egister, this information is to be provided</w:t>
        </w:r>
        <w:r w:rsidR="00E440A3" w:rsidRPr="000D61FC">
          <w:rPr>
            <w:rStyle w:val="Hyperlink"/>
            <w:caps w:val="0"/>
          </w:rPr>
          <w:t> </w:t>
        </w:r>
        <w:r w:rsidR="00C648F6" w:rsidRPr="000D61FC">
          <w:rPr>
            <w:rStyle w:val="Hyperlink"/>
            <w:caps w:val="0"/>
          </w:rPr>
          <w:t>upon request</w:t>
        </w:r>
        <w:r w:rsidR="00C14157" w:rsidRPr="000D61FC">
          <w:rPr>
            <w:rStyle w:val="Hyperlink"/>
            <w:caps w:val="0"/>
          </w:rPr>
          <w:t>.</w:t>
        </w:r>
        <w:r w:rsidR="00E440A3" w:rsidRPr="000D61FC">
          <w:rPr>
            <w:rStyle w:val="Hyperlink"/>
            <w:caps w:val="0"/>
          </w:rPr>
          <w:tab/>
        </w:r>
        <w:r w:rsidR="00C648F6" w:rsidRPr="000D61FC">
          <w:rPr>
            <w:webHidden/>
          </w:rPr>
          <w:fldChar w:fldCharType="begin"/>
        </w:r>
        <w:r w:rsidR="00C648F6" w:rsidRPr="000D61FC">
          <w:rPr>
            <w:webHidden/>
          </w:rPr>
          <w:instrText xml:space="preserve"> PAGEREF _Toc22277343 \h </w:instrText>
        </w:r>
        <w:r w:rsidR="00C648F6" w:rsidRPr="000D61FC">
          <w:rPr>
            <w:webHidden/>
          </w:rPr>
        </w:r>
        <w:r w:rsidR="00C648F6" w:rsidRPr="000D61FC">
          <w:rPr>
            <w:webHidden/>
          </w:rPr>
          <w:fldChar w:fldCharType="separate"/>
        </w:r>
        <w:r w:rsidR="00022664">
          <w:rPr>
            <w:webHidden/>
          </w:rPr>
          <w:t>133</w:t>
        </w:r>
        <w:r w:rsidR="00C648F6" w:rsidRPr="000D61FC">
          <w:rPr>
            <w:webHidden/>
          </w:rPr>
          <w:fldChar w:fldCharType="end"/>
        </w:r>
      </w:hyperlink>
    </w:p>
    <w:p w14:paraId="497CB0E3" w14:textId="49C2E790" w:rsidR="00C648F6" w:rsidRPr="004A3983" w:rsidRDefault="002E5535" w:rsidP="00802DCA">
      <w:pPr>
        <w:pStyle w:val="TOC4"/>
        <w:rPr>
          <w:rFonts w:eastAsiaTheme="minorEastAsia"/>
          <w:lang w:eastAsia="en-AU"/>
        </w:rPr>
      </w:pPr>
      <w:hyperlink w:anchor="_Toc22277344" w:history="1">
        <w:r w:rsidR="00173135" w:rsidRPr="000D61FC">
          <w:rPr>
            <w:rStyle w:val="Hyperlink"/>
            <w:rFonts w:ascii="Gotham Book" w:hAnsi="Gotham Book" w:cs="Gotham Book"/>
            <w:b/>
            <w:caps w:val="0"/>
          </w:rPr>
          <w:t>Recommendation</w:t>
        </w:r>
        <w:r w:rsidR="00C648F6" w:rsidRPr="000D61FC">
          <w:rPr>
            <w:rStyle w:val="Hyperlink"/>
            <w:rFonts w:ascii="Gotham Book" w:hAnsi="Gotham Book" w:cs="Gotham Book"/>
            <w:b/>
            <w:caps w:val="0"/>
          </w:rPr>
          <w:t xml:space="preserve"> 7:</w:t>
        </w:r>
        <w:r w:rsidR="00C648F6" w:rsidRPr="000D61FC">
          <w:rPr>
            <w:rFonts w:eastAsiaTheme="minorEastAsia"/>
            <w:lang w:eastAsia="en-AU"/>
          </w:rPr>
          <w:tab/>
        </w:r>
        <w:r w:rsidR="003F2890" w:rsidRPr="000D61FC">
          <w:rPr>
            <w:rStyle w:val="Hyperlink"/>
            <w:b/>
            <w:caps w:val="0"/>
          </w:rPr>
          <w:t>P</w:t>
        </w:r>
        <w:r w:rsidR="003C2FF0" w:rsidRPr="000D61FC">
          <w:rPr>
            <w:rStyle w:val="Hyperlink"/>
            <w:b/>
            <w:caps w:val="0"/>
          </w:rPr>
          <w:t>rioritise the ‘CPR COPS</w:t>
        </w:r>
        <w:r w:rsidR="00C648F6" w:rsidRPr="000D61FC">
          <w:rPr>
            <w:rStyle w:val="Hyperlink"/>
            <w:b/>
            <w:caps w:val="0"/>
          </w:rPr>
          <w:t>’ upgrade project</w:t>
        </w:r>
        <w:r w:rsidR="00C648F6" w:rsidRPr="000D61FC">
          <w:rPr>
            <w:rStyle w:val="Hyperlink"/>
            <w:caps w:val="0"/>
          </w:rPr>
          <w:t>. The NSW Police</w:t>
        </w:r>
        <w:r w:rsidR="00C00455" w:rsidRPr="000D61FC">
          <w:rPr>
            <w:rStyle w:val="Hyperlink"/>
            <w:caps w:val="0"/>
          </w:rPr>
          <w:t> </w:t>
        </w:r>
        <w:r w:rsidR="00C648F6" w:rsidRPr="000D61FC">
          <w:rPr>
            <w:rStyle w:val="Hyperlink"/>
            <w:caps w:val="0"/>
          </w:rPr>
          <w:t xml:space="preserve">Force prioritise the recruitment for the </w:t>
        </w:r>
        <w:r w:rsidR="003C2FF0" w:rsidRPr="000D61FC">
          <w:rPr>
            <w:rStyle w:val="Hyperlink"/>
            <w:caps w:val="0"/>
          </w:rPr>
          <w:t>CPR COPS</w:t>
        </w:r>
        <w:r w:rsidR="00C648F6" w:rsidRPr="000D61FC">
          <w:rPr>
            <w:rStyle w:val="Hyperlink"/>
            <w:caps w:val="0"/>
          </w:rPr>
          <w:t xml:space="preserve"> upgrade project to ensure</w:t>
        </w:r>
        <w:r w:rsidR="00C00455" w:rsidRPr="000D61FC">
          <w:rPr>
            <w:rStyle w:val="Hyperlink"/>
            <w:caps w:val="0"/>
          </w:rPr>
          <w:t> </w:t>
        </w:r>
        <w:r w:rsidR="00C648F6" w:rsidRPr="000D61FC">
          <w:rPr>
            <w:rStyle w:val="Hyperlink"/>
            <w:caps w:val="0"/>
          </w:rPr>
          <w:t>that the project is completed as soon as possible.</w:t>
        </w:r>
        <w:r w:rsidR="00C648F6" w:rsidRPr="000D61FC">
          <w:rPr>
            <w:webHidden/>
          </w:rPr>
          <w:tab/>
        </w:r>
        <w:r w:rsidR="00C648F6" w:rsidRPr="000D61FC">
          <w:rPr>
            <w:webHidden/>
          </w:rPr>
          <w:fldChar w:fldCharType="begin"/>
        </w:r>
        <w:r w:rsidR="00C648F6" w:rsidRPr="000D61FC">
          <w:rPr>
            <w:webHidden/>
          </w:rPr>
          <w:instrText xml:space="preserve"> PAGEREF _Toc22277344 \h </w:instrText>
        </w:r>
        <w:r w:rsidR="00C648F6" w:rsidRPr="000D61FC">
          <w:rPr>
            <w:webHidden/>
          </w:rPr>
        </w:r>
        <w:r w:rsidR="00C648F6" w:rsidRPr="000D61FC">
          <w:rPr>
            <w:webHidden/>
          </w:rPr>
          <w:fldChar w:fldCharType="separate"/>
        </w:r>
        <w:r w:rsidR="00022664">
          <w:rPr>
            <w:webHidden/>
          </w:rPr>
          <w:t>157</w:t>
        </w:r>
        <w:r w:rsidR="00C648F6" w:rsidRPr="000D61FC">
          <w:rPr>
            <w:webHidden/>
          </w:rPr>
          <w:fldChar w:fldCharType="end"/>
        </w:r>
      </w:hyperlink>
    </w:p>
    <w:p w14:paraId="4F9AD8CB" w14:textId="3910CF23" w:rsidR="00C648F6" w:rsidRPr="004A3983" w:rsidRDefault="002E5535" w:rsidP="00802DCA">
      <w:pPr>
        <w:pStyle w:val="TOC4"/>
        <w:rPr>
          <w:rFonts w:eastAsiaTheme="minorEastAsia"/>
          <w:lang w:eastAsia="en-AU"/>
        </w:rPr>
      </w:pPr>
      <w:hyperlink w:anchor="_Toc22277345" w:history="1">
        <w:r w:rsidR="00173135" w:rsidRPr="004A3983">
          <w:rPr>
            <w:rStyle w:val="Hyperlink"/>
            <w:rFonts w:ascii="Gotham Book" w:hAnsi="Gotham Book" w:cs="Gotham Book"/>
            <w:b/>
            <w:caps w:val="0"/>
          </w:rPr>
          <w:t>Recommendation</w:t>
        </w:r>
        <w:r w:rsidR="00C648F6" w:rsidRPr="004A3983">
          <w:rPr>
            <w:rStyle w:val="Hyperlink"/>
            <w:rFonts w:ascii="Gotham Book" w:hAnsi="Gotham Book" w:cs="Gotham Book"/>
            <w:b/>
            <w:caps w:val="0"/>
          </w:rPr>
          <w:t xml:space="preserve"> 8:</w:t>
        </w:r>
        <w:r w:rsidR="00C648F6" w:rsidRPr="004A3983">
          <w:rPr>
            <w:rFonts w:eastAsiaTheme="minorEastAsia"/>
            <w:lang w:eastAsia="en-AU"/>
          </w:rPr>
          <w:tab/>
        </w:r>
        <w:r w:rsidR="003C2FF0" w:rsidRPr="004A3983">
          <w:rPr>
            <w:rStyle w:val="Hyperlink"/>
            <w:b/>
            <w:caps w:val="0"/>
          </w:rPr>
          <w:t>Establish an I</w:t>
        </w:r>
        <w:r w:rsidR="00C648F6" w:rsidRPr="004A3983">
          <w:rPr>
            <w:rStyle w:val="Hyperlink"/>
            <w:b/>
            <w:caps w:val="0"/>
          </w:rPr>
          <w:t xml:space="preserve">nteragency </w:t>
        </w:r>
        <w:r w:rsidR="00173135" w:rsidRPr="004A3983">
          <w:rPr>
            <w:rStyle w:val="Hyperlink"/>
            <w:b/>
            <w:caps w:val="0"/>
          </w:rPr>
          <w:t>Child Protection Register</w:t>
        </w:r>
        <w:r w:rsidR="003C2FF0" w:rsidRPr="004A3983">
          <w:rPr>
            <w:rStyle w:val="Hyperlink"/>
            <w:b/>
            <w:caps w:val="0"/>
          </w:rPr>
          <w:t xml:space="preserve"> C</w:t>
        </w:r>
        <w:r w:rsidR="00C648F6" w:rsidRPr="004A3983">
          <w:rPr>
            <w:rStyle w:val="Hyperlink"/>
            <w:b/>
            <w:caps w:val="0"/>
          </w:rPr>
          <w:t>ommittee</w:t>
        </w:r>
        <w:r w:rsidR="00C648F6" w:rsidRPr="004A3983">
          <w:rPr>
            <w:rStyle w:val="Hyperlink"/>
            <w:caps w:val="0"/>
          </w:rPr>
          <w:t xml:space="preserve">. The NSW Police Force initiate the establishment of a </w:t>
        </w:r>
        <w:r w:rsidR="00173135" w:rsidRPr="004A3983">
          <w:rPr>
            <w:rStyle w:val="Hyperlink"/>
            <w:caps w:val="0"/>
          </w:rPr>
          <w:t>Child Protection Register</w:t>
        </w:r>
        <w:r w:rsidR="003C2FF0" w:rsidRPr="004A3983">
          <w:rPr>
            <w:rStyle w:val="Hyperlink"/>
            <w:caps w:val="0"/>
          </w:rPr>
          <w:t xml:space="preserve"> C</w:t>
        </w:r>
        <w:r w:rsidR="00C648F6" w:rsidRPr="004A3983">
          <w:rPr>
            <w:rStyle w:val="Hyperlink"/>
            <w:caps w:val="0"/>
          </w:rPr>
          <w:t xml:space="preserve">ommittee with relevant authorities to discuss and decide the obligations, </w:t>
        </w:r>
        <w:r w:rsidR="00C648F6" w:rsidRPr="004A3983">
          <w:rPr>
            <w:rStyle w:val="Hyperlink"/>
            <w:caps w:val="0"/>
          </w:rPr>
          <w:lastRenderedPageBreak/>
          <w:t>compliance risks and mitigation strategies of ea</w:t>
        </w:r>
        <w:r w:rsidR="00C648F6" w:rsidRPr="000D61FC">
          <w:rPr>
            <w:rStyle w:val="Hyperlink"/>
            <w:caps w:val="0"/>
          </w:rPr>
          <w:t>ch authority in relation to the</w:t>
        </w:r>
        <w:r w:rsidR="00C00455" w:rsidRPr="000D61FC">
          <w:rPr>
            <w:rStyle w:val="Hyperlink"/>
            <w:caps w:val="0"/>
          </w:rPr>
          <w:t> </w:t>
        </w:r>
        <w:r w:rsidR="00C648F6" w:rsidRPr="000D61FC">
          <w:rPr>
            <w:rStyle w:val="Hyperlink"/>
            <w:caps w:val="0"/>
          </w:rPr>
          <w:t>sta</w:t>
        </w:r>
        <w:r w:rsidR="003C2FF0" w:rsidRPr="000D61FC">
          <w:rPr>
            <w:rStyle w:val="Hyperlink"/>
            <w:caps w:val="0"/>
          </w:rPr>
          <w:t>tutory framework governing the R</w:t>
        </w:r>
        <w:r w:rsidR="00C648F6" w:rsidRPr="000D61FC">
          <w:rPr>
            <w:rStyle w:val="Hyperlink"/>
            <w:caps w:val="0"/>
          </w:rPr>
          <w:t>egiste</w:t>
        </w:r>
        <w:r w:rsidR="000D61FC">
          <w:rPr>
            <w:rStyle w:val="Hyperlink"/>
            <w:caps w:val="0"/>
          </w:rPr>
          <w:t>r.</w:t>
        </w:r>
        <w:r w:rsidR="00C648F6" w:rsidRPr="000D61FC">
          <w:rPr>
            <w:webHidden/>
          </w:rPr>
          <w:tab/>
        </w:r>
        <w:r w:rsidR="00C648F6" w:rsidRPr="000D61FC">
          <w:rPr>
            <w:webHidden/>
          </w:rPr>
          <w:fldChar w:fldCharType="begin"/>
        </w:r>
        <w:r w:rsidR="00C648F6" w:rsidRPr="000D61FC">
          <w:rPr>
            <w:webHidden/>
          </w:rPr>
          <w:instrText xml:space="preserve"> PAGEREF _Toc22277345 \h </w:instrText>
        </w:r>
        <w:r w:rsidR="00C648F6" w:rsidRPr="000D61FC">
          <w:rPr>
            <w:webHidden/>
          </w:rPr>
        </w:r>
        <w:r w:rsidR="00C648F6" w:rsidRPr="000D61FC">
          <w:rPr>
            <w:webHidden/>
          </w:rPr>
          <w:fldChar w:fldCharType="separate"/>
        </w:r>
        <w:r w:rsidR="00022664">
          <w:rPr>
            <w:webHidden/>
          </w:rPr>
          <w:t>163</w:t>
        </w:r>
        <w:r w:rsidR="00C648F6" w:rsidRPr="000D61FC">
          <w:rPr>
            <w:webHidden/>
          </w:rPr>
          <w:fldChar w:fldCharType="end"/>
        </w:r>
      </w:hyperlink>
    </w:p>
    <w:p w14:paraId="027BC5E8" w14:textId="458CF7D0" w:rsidR="00C648F6" w:rsidRPr="004A3983" w:rsidRDefault="002E5535" w:rsidP="00802DCA">
      <w:pPr>
        <w:pStyle w:val="TOC4"/>
        <w:rPr>
          <w:rFonts w:eastAsiaTheme="minorEastAsia"/>
          <w:lang w:eastAsia="en-AU"/>
        </w:rPr>
      </w:pPr>
      <w:hyperlink w:anchor="_Toc22277346" w:history="1">
        <w:r w:rsidR="00173135" w:rsidRPr="004A3983">
          <w:rPr>
            <w:rStyle w:val="Hyperlink"/>
            <w:rFonts w:ascii="Gotham Book" w:hAnsi="Gotham Book" w:cs="Gotham Book"/>
            <w:b/>
            <w:caps w:val="0"/>
          </w:rPr>
          <w:t>Recommendation</w:t>
        </w:r>
        <w:r w:rsidR="00C648F6" w:rsidRPr="004A3983">
          <w:rPr>
            <w:rStyle w:val="Hyperlink"/>
            <w:rFonts w:ascii="Gotham Book" w:hAnsi="Gotham Book" w:cs="Gotham Book"/>
            <w:b/>
            <w:caps w:val="0"/>
          </w:rPr>
          <w:t xml:space="preserve"> 9:</w:t>
        </w:r>
        <w:r w:rsidR="00C648F6" w:rsidRPr="004A3983">
          <w:rPr>
            <w:rFonts w:eastAsiaTheme="minorEastAsia"/>
            <w:lang w:eastAsia="en-AU"/>
          </w:rPr>
          <w:tab/>
        </w:r>
        <w:r w:rsidR="00AA6A6F" w:rsidRPr="004A3983">
          <w:rPr>
            <w:rStyle w:val="Hyperlink"/>
            <w:b/>
            <w:caps w:val="0"/>
          </w:rPr>
          <w:t>D</w:t>
        </w:r>
        <w:r w:rsidR="00C648F6" w:rsidRPr="004A3983">
          <w:rPr>
            <w:rStyle w:val="Hyperlink"/>
            <w:b/>
            <w:caps w:val="0"/>
          </w:rPr>
          <w:t>evelop an interagency governance framework</w:t>
        </w:r>
        <w:r w:rsidR="00C648F6" w:rsidRPr="004A3983">
          <w:rPr>
            <w:rStyle w:val="Hyperlink"/>
            <w:caps w:val="0"/>
          </w:rPr>
          <w:t>. The</w:t>
        </w:r>
        <w:r w:rsidR="00C00455">
          <w:rPr>
            <w:rStyle w:val="Hyperlink"/>
            <w:caps w:val="0"/>
          </w:rPr>
          <w:t> </w:t>
        </w:r>
        <w:r w:rsidR="00C648F6" w:rsidRPr="004A3983">
          <w:rPr>
            <w:rStyle w:val="Hyperlink"/>
            <w:caps w:val="0"/>
          </w:rPr>
          <w:t>NSW</w:t>
        </w:r>
        <w:r w:rsidR="00C00455">
          <w:rPr>
            <w:rStyle w:val="Hyperlink"/>
            <w:caps w:val="0"/>
          </w:rPr>
          <w:t> </w:t>
        </w:r>
        <w:r w:rsidR="00C648F6" w:rsidRPr="004A3983">
          <w:rPr>
            <w:rStyle w:val="Hyperlink"/>
            <w:caps w:val="0"/>
          </w:rPr>
          <w:t>Police Force initiate the creation and implementation of a robust interagency governance framework to ensure consistent service delivery in accordance with each authority’s responsibilities under the statutor</w:t>
        </w:r>
        <w:r w:rsidR="00DC53BF" w:rsidRPr="004A3983">
          <w:rPr>
            <w:rStyle w:val="Hyperlink"/>
            <w:caps w:val="0"/>
          </w:rPr>
          <w:t>y framework</w:t>
        </w:r>
        <w:r w:rsidR="00C00455">
          <w:rPr>
            <w:rStyle w:val="Hyperlink"/>
            <w:caps w:val="0"/>
          </w:rPr>
          <w:t> </w:t>
        </w:r>
        <w:r w:rsidR="00DC53BF" w:rsidRPr="004A3983">
          <w:rPr>
            <w:rStyle w:val="Hyperlink"/>
            <w:caps w:val="0"/>
          </w:rPr>
          <w:t>for</w:t>
        </w:r>
        <w:r w:rsidR="00C00455">
          <w:rPr>
            <w:rStyle w:val="Hyperlink"/>
            <w:caps w:val="0"/>
          </w:rPr>
          <w:t> </w:t>
        </w:r>
        <w:r w:rsidR="00DC53BF" w:rsidRPr="004A3983">
          <w:rPr>
            <w:rStyle w:val="Hyperlink"/>
            <w:caps w:val="0"/>
          </w:rPr>
          <w:t>the R</w:t>
        </w:r>
        <w:r w:rsidR="00C648F6" w:rsidRPr="004A3983">
          <w:rPr>
            <w:rStyle w:val="Hyperlink"/>
            <w:caps w:val="0"/>
          </w:rPr>
          <w:t>egist</w:t>
        </w:r>
        <w:r w:rsidR="00C648F6" w:rsidRPr="000D61FC">
          <w:rPr>
            <w:rStyle w:val="Hyperlink"/>
            <w:caps w:val="0"/>
          </w:rPr>
          <w:t>er.</w:t>
        </w:r>
        <w:r w:rsidR="00C648F6" w:rsidRPr="000D61FC">
          <w:rPr>
            <w:webHidden/>
          </w:rPr>
          <w:tab/>
        </w:r>
        <w:r w:rsidR="00C648F6" w:rsidRPr="000D61FC">
          <w:rPr>
            <w:webHidden/>
          </w:rPr>
          <w:fldChar w:fldCharType="begin"/>
        </w:r>
        <w:r w:rsidR="00C648F6" w:rsidRPr="000D61FC">
          <w:rPr>
            <w:webHidden/>
          </w:rPr>
          <w:instrText xml:space="preserve"> PAGEREF _Toc22277346 \h </w:instrText>
        </w:r>
        <w:r w:rsidR="00C648F6" w:rsidRPr="000D61FC">
          <w:rPr>
            <w:webHidden/>
          </w:rPr>
        </w:r>
        <w:r w:rsidR="00C648F6" w:rsidRPr="000D61FC">
          <w:rPr>
            <w:webHidden/>
          </w:rPr>
          <w:fldChar w:fldCharType="separate"/>
        </w:r>
        <w:r w:rsidR="00022664">
          <w:rPr>
            <w:webHidden/>
          </w:rPr>
          <w:t>163</w:t>
        </w:r>
        <w:r w:rsidR="00C648F6" w:rsidRPr="000D61FC">
          <w:rPr>
            <w:webHidden/>
          </w:rPr>
          <w:fldChar w:fldCharType="end"/>
        </w:r>
      </w:hyperlink>
    </w:p>
    <w:p w14:paraId="616406CF" w14:textId="5454696E" w:rsidR="00C648F6" w:rsidRPr="004A3983" w:rsidRDefault="002E5535" w:rsidP="00802DCA">
      <w:pPr>
        <w:pStyle w:val="TOC4"/>
        <w:rPr>
          <w:rFonts w:eastAsiaTheme="minorEastAsia"/>
          <w:lang w:eastAsia="en-AU"/>
        </w:rPr>
      </w:pPr>
      <w:hyperlink w:anchor="_Toc22277347" w:history="1">
        <w:r w:rsidR="00173135" w:rsidRPr="004A3983">
          <w:rPr>
            <w:rStyle w:val="Hyperlink"/>
            <w:rFonts w:ascii="Gotham Book" w:hAnsi="Gotham Book" w:cs="Gotham Book"/>
            <w:b/>
            <w:caps w:val="0"/>
            <w:lang w:val="en"/>
          </w:rPr>
          <w:t>Recommendation</w:t>
        </w:r>
        <w:r w:rsidR="00C648F6" w:rsidRPr="004A3983">
          <w:rPr>
            <w:rStyle w:val="Hyperlink"/>
            <w:rFonts w:ascii="Gotham Book" w:hAnsi="Gotham Book" w:cs="Gotham Book"/>
            <w:b/>
            <w:caps w:val="0"/>
            <w:lang w:val="en"/>
          </w:rPr>
          <w:t xml:space="preserve"> 10:</w:t>
        </w:r>
        <w:r w:rsidR="00C648F6" w:rsidRPr="004A3983">
          <w:rPr>
            <w:rFonts w:eastAsiaTheme="minorEastAsia"/>
            <w:lang w:eastAsia="en-AU"/>
          </w:rPr>
          <w:tab/>
        </w:r>
        <w:r w:rsidR="00DC53BF" w:rsidRPr="004A3983">
          <w:rPr>
            <w:rStyle w:val="Hyperlink"/>
            <w:b/>
            <w:caps w:val="0"/>
            <w:lang w:val="en"/>
          </w:rPr>
          <w:t>I</w:t>
        </w:r>
        <w:r w:rsidR="00C648F6" w:rsidRPr="004A3983">
          <w:rPr>
            <w:rStyle w:val="Hyperlink"/>
            <w:b/>
            <w:caps w:val="0"/>
            <w:lang w:val="en"/>
          </w:rPr>
          <w:t xml:space="preserve">mplement a </w:t>
        </w:r>
        <w:r w:rsidR="00173135" w:rsidRPr="004A3983">
          <w:rPr>
            <w:rStyle w:val="Hyperlink"/>
            <w:b/>
            <w:caps w:val="0"/>
            <w:lang w:val="en"/>
          </w:rPr>
          <w:t>Child Protection Register</w:t>
        </w:r>
        <w:r w:rsidR="00C648F6" w:rsidRPr="004A3983">
          <w:rPr>
            <w:rStyle w:val="Hyperlink"/>
            <w:b/>
            <w:caps w:val="0"/>
            <w:lang w:val="en"/>
          </w:rPr>
          <w:t xml:space="preserve"> governance framework</w:t>
        </w:r>
        <w:r w:rsidR="00C648F6" w:rsidRPr="004A3983">
          <w:rPr>
            <w:rStyle w:val="Hyperlink"/>
            <w:caps w:val="0"/>
            <w:lang w:val="en"/>
          </w:rPr>
          <w:t>. The NSW Police Force develop and implement a governance framework</w:t>
        </w:r>
        <w:r w:rsidR="00C00455">
          <w:rPr>
            <w:rStyle w:val="Hyperlink"/>
            <w:caps w:val="0"/>
            <w:lang w:val="en"/>
          </w:rPr>
          <w:t> </w:t>
        </w:r>
        <w:r w:rsidR="00C648F6" w:rsidRPr="004A3983">
          <w:rPr>
            <w:rStyle w:val="Hyperlink"/>
            <w:caps w:val="0"/>
            <w:lang w:val="en"/>
          </w:rPr>
          <w:t xml:space="preserve">to ensure compliance </w:t>
        </w:r>
        <w:r w:rsidR="00C811FF" w:rsidRPr="004A3983">
          <w:rPr>
            <w:rStyle w:val="Hyperlink"/>
            <w:caps w:val="0"/>
            <w:lang w:val="en"/>
          </w:rPr>
          <w:t>by all local commands across New South W</w:t>
        </w:r>
        <w:r w:rsidR="00C648F6" w:rsidRPr="004A3983">
          <w:rPr>
            <w:rStyle w:val="Hyperlink"/>
            <w:caps w:val="0"/>
            <w:lang w:val="en"/>
          </w:rPr>
          <w:t>ales</w:t>
        </w:r>
        <w:r w:rsidR="00C00455">
          <w:rPr>
            <w:rStyle w:val="Hyperlink"/>
            <w:caps w:val="0"/>
            <w:lang w:val="en"/>
          </w:rPr>
          <w:t> </w:t>
        </w:r>
        <w:r w:rsidR="00C648F6" w:rsidRPr="004A3983">
          <w:rPr>
            <w:rStyle w:val="Hyperlink"/>
            <w:caps w:val="0"/>
            <w:lang w:val="en"/>
          </w:rPr>
          <w:t>with t</w:t>
        </w:r>
        <w:r w:rsidR="00C811FF" w:rsidRPr="004A3983">
          <w:rPr>
            <w:rStyle w:val="Hyperlink"/>
            <w:caps w:val="0"/>
            <w:lang w:val="en"/>
          </w:rPr>
          <w:t>he statutory framework for the R</w:t>
        </w:r>
        <w:r w:rsidR="00C648F6" w:rsidRPr="004A3983">
          <w:rPr>
            <w:rStyle w:val="Hyperlink"/>
            <w:caps w:val="0"/>
            <w:lang w:val="en"/>
          </w:rPr>
          <w:t>egister. This framework should:</w:t>
        </w:r>
      </w:hyperlink>
      <w:r w:rsidR="00C811FF" w:rsidRPr="004A3983">
        <w:rPr>
          <w:rFonts w:eastAsiaTheme="minorEastAsia"/>
          <w:lang w:eastAsia="en-AU"/>
        </w:rPr>
        <w:t xml:space="preserve"> </w:t>
      </w:r>
    </w:p>
    <w:p w14:paraId="55660F83" w14:textId="455D8B36" w:rsidR="00C648F6" w:rsidRPr="00B7691D" w:rsidRDefault="002E5535" w:rsidP="00381EEB">
      <w:pPr>
        <w:pStyle w:val="ListBullet"/>
        <w:rPr>
          <w:rFonts w:eastAsiaTheme="minorEastAsia"/>
          <w:noProof/>
          <w:lang w:eastAsia="en-AU"/>
        </w:rPr>
      </w:pPr>
      <w:hyperlink w:anchor="_Toc22277348" w:history="1">
        <w:r w:rsidR="00C811FF" w:rsidRPr="00B7691D">
          <w:rPr>
            <w:rStyle w:val="Hyperlink"/>
            <w:noProof/>
            <w:lang w:val="en"/>
          </w:rPr>
          <w:t>leverage the expertise of the Child Protection R</w:t>
        </w:r>
        <w:r w:rsidR="00C648F6" w:rsidRPr="00B7691D">
          <w:rPr>
            <w:rStyle w:val="Hyperlink"/>
            <w:noProof/>
            <w:lang w:val="en"/>
          </w:rPr>
          <w:t>egistry to support local commands and provide quality assurance;</w:t>
        </w:r>
      </w:hyperlink>
      <w:r w:rsidR="00C811FF" w:rsidRPr="00B7691D">
        <w:rPr>
          <w:rFonts w:eastAsiaTheme="minorEastAsia"/>
          <w:noProof/>
          <w:lang w:eastAsia="en-AU"/>
        </w:rPr>
        <w:t xml:space="preserve"> </w:t>
      </w:r>
    </w:p>
    <w:p w14:paraId="476DFD0A" w14:textId="30B25FD3" w:rsidR="00C648F6" w:rsidRPr="00B7691D" w:rsidRDefault="002E5535" w:rsidP="00381EEB">
      <w:pPr>
        <w:pStyle w:val="ListBullet"/>
        <w:rPr>
          <w:rFonts w:eastAsiaTheme="minorEastAsia"/>
          <w:noProof/>
          <w:lang w:eastAsia="en-AU"/>
        </w:rPr>
      </w:pPr>
      <w:hyperlink w:anchor="_Toc22277349" w:history="1">
        <w:r w:rsidR="00C648F6" w:rsidRPr="00B7691D">
          <w:rPr>
            <w:rStyle w:val="Hyperlink"/>
            <w:noProof/>
            <w:lang w:val="en"/>
          </w:rPr>
          <w:t>ensure that emerging compliance risks are identified and addressed, and</w:t>
        </w:r>
      </w:hyperlink>
    </w:p>
    <w:p w14:paraId="61914A6A" w14:textId="44B8AE1F" w:rsidR="00C648F6" w:rsidRPr="000D61FC" w:rsidRDefault="002E5535" w:rsidP="00381EEB">
      <w:pPr>
        <w:pStyle w:val="ListBullet"/>
        <w:rPr>
          <w:rFonts w:eastAsiaTheme="minorEastAsia"/>
          <w:noProof/>
          <w:lang w:eastAsia="en-AU"/>
        </w:rPr>
      </w:pPr>
      <w:hyperlink w:anchor="_Toc22277350" w:history="1">
        <w:r w:rsidR="00C648F6" w:rsidRPr="000D61FC">
          <w:rPr>
            <w:rStyle w:val="Hyperlink"/>
            <w:noProof/>
            <w:lang w:val="en"/>
          </w:rPr>
          <w:t>contain appropriate reporting mechanisms to ensure future accountability.</w:t>
        </w:r>
        <w:r w:rsidR="00407CBB" w:rsidRPr="000D61FC">
          <w:rPr>
            <w:rStyle w:val="Hyperlink"/>
            <w:noProof/>
            <w:lang w:val="en"/>
          </w:rPr>
          <w:t>.</w:t>
        </w:r>
        <w:r w:rsidR="00C879FE" w:rsidRPr="000D61FC">
          <w:rPr>
            <w:rStyle w:val="Hyperlink"/>
            <w:noProof/>
            <w:lang w:val="en"/>
          </w:rPr>
          <w:t>.</w:t>
        </w:r>
        <w:r w:rsidR="00C648F6" w:rsidRPr="000D61FC">
          <w:rPr>
            <w:noProof/>
            <w:webHidden/>
          </w:rPr>
          <w:fldChar w:fldCharType="begin"/>
        </w:r>
        <w:r w:rsidR="00C648F6" w:rsidRPr="000D61FC">
          <w:rPr>
            <w:noProof/>
            <w:webHidden/>
          </w:rPr>
          <w:instrText xml:space="preserve"> PAGEREF _Toc22277350 \h </w:instrText>
        </w:r>
        <w:r w:rsidR="00C648F6" w:rsidRPr="000D61FC">
          <w:rPr>
            <w:noProof/>
            <w:webHidden/>
          </w:rPr>
        </w:r>
        <w:r w:rsidR="00C648F6" w:rsidRPr="000D61FC">
          <w:rPr>
            <w:noProof/>
            <w:webHidden/>
          </w:rPr>
          <w:fldChar w:fldCharType="separate"/>
        </w:r>
        <w:r w:rsidR="00022664">
          <w:rPr>
            <w:noProof/>
            <w:webHidden/>
          </w:rPr>
          <w:t>166</w:t>
        </w:r>
        <w:r w:rsidR="00C648F6" w:rsidRPr="000D61FC">
          <w:rPr>
            <w:noProof/>
            <w:webHidden/>
          </w:rPr>
          <w:fldChar w:fldCharType="end"/>
        </w:r>
      </w:hyperlink>
    </w:p>
    <w:p w14:paraId="1DE09FEC" w14:textId="15908A61" w:rsidR="00C648F6" w:rsidRPr="004A3983" w:rsidRDefault="002E5535" w:rsidP="00802DCA">
      <w:pPr>
        <w:pStyle w:val="TOC4"/>
        <w:rPr>
          <w:rFonts w:eastAsiaTheme="minorEastAsia"/>
          <w:lang w:eastAsia="en-AU"/>
        </w:rPr>
      </w:pPr>
      <w:hyperlink w:anchor="_Toc22277351" w:history="1">
        <w:r w:rsidR="00173135" w:rsidRPr="000D61FC">
          <w:rPr>
            <w:rStyle w:val="Hyperlink"/>
            <w:rFonts w:ascii="Gotham Book" w:hAnsi="Gotham Book" w:cs="Gotham Book"/>
            <w:b/>
            <w:caps w:val="0"/>
          </w:rPr>
          <w:t>Recommendation</w:t>
        </w:r>
        <w:r w:rsidR="00C648F6" w:rsidRPr="000D61FC">
          <w:rPr>
            <w:rStyle w:val="Hyperlink"/>
            <w:rFonts w:ascii="Gotham Book" w:hAnsi="Gotham Book" w:cs="Gotham Book"/>
            <w:b/>
            <w:caps w:val="0"/>
          </w:rPr>
          <w:t xml:space="preserve"> 11:</w:t>
        </w:r>
        <w:r w:rsidR="00C648F6" w:rsidRPr="000D61FC">
          <w:rPr>
            <w:rFonts w:eastAsiaTheme="minorEastAsia"/>
            <w:lang w:eastAsia="en-AU"/>
          </w:rPr>
          <w:tab/>
        </w:r>
        <w:r w:rsidR="00C879FE" w:rsidRPr="000D61FC">
          <w:rPr>
            <w:rStyle w:val="Hyperlink"/>
            <w:b/>
            <w:caps w:val="0"/>
          </w:rPr>
          <w:t>I</w:t>
        </w:r>
        <w:r w:rsidR="00C648F6" w:rsidRPr="000D61FC">
          <w:rPr>
            <w:rStyle w:val="Hyperlink"/>
            <w:b/>
            <w:caps w:val="0"/>
          </w:rPr>
          <w:t>ntroduce independent compliance audit</w:t>
        </w:r>
        <w:r w:rsidR="00865BA1" w:rsidRPr="000D61FC">
          <w:rPr>
            <w:rStyle w:val="Hyperlink"/>
            <w:b/>
            <w:caps w:val="0"/>
          </w:rPr>
          <w:t>ing</w:t>
        </w:r>
        <w:r w:rsidR="00C00455" w:rsidRPr="000D61FC">
          <w:rPr>
            <w:rStyle w:val="Hyperlink"/>
            <w:b/>
            <w:caps w:val="0"/>
          </w:rPr>
          <w:t> </w:t>
        </w:r>
        <w:r w:rsidR="00C648F6" w:rsidRPr="000D61FC">
          <w:rPr>
            <w:rStyle w:val="Hyperlink"/>
            <w:b/>
            <w:caps w:val="0"/>
          </w:rPr>
          <w:t>of</w:t>
        </w:r>
        <w:r w:rsidR="00C00455" w:rsidRPr="000D61FC">
          <w:rPr>
            <w:rStyle w:val="Hyperlink"/>
            <w:b/>
            <w:caps w:val="0"/>
          </w:rPr>
          <w:t> </w:t>
        </w:r>
        <w:r w:rsidR="00C648F6" w:rsidRPr="000D61FC">
          <w:rPr>
            <w:rStyle w:val="Hyperlink"/>
            <w:b/>
            <w:caps w:val="0"/>
          </w:rPr>
          <w:t xml:space="preserve">the </w:t>
        </w:r>
        <w:r w:rsidR="00173135" w:rsidRPr="000D61FC">
          <w:rPr>
            <w:rStyle w:val="Hyperlink"/>
            <w:b/>
            <w:caps w:val="0"/>
          </w:rPr>
          <w:t>Child Protection Register</w:t>
        </w:r>
        <w:r w:rsidR="00C648F6" w:rsidRPr="000D61FC">
          <w:rPr>
            <w:rStyle w:val="Hyperlink"/>
            <w:caps w:val="0"/>
          </w:rPr>
          <w:t xml:space="preserve">. Provisions should be included in the </w:t>
        </w:r>
        <w:r w:rsidR="00C879FE" w:rsidRPr="000D61FC">
          <w:rPr>
            <w:rStyle w:val="Hyperlink"/>
            <w:i/>
            <w:caps w:val="0"/>
          </w:rPr>
          <w:t>Child</w:t>
        </w:r>
        <w:r w:rsidR="007A44FA" w:rsidRPr="000D61FC">
          <w:rPr>
            <w:rStyle w:val="Hyperlink"/>
            <w:i/>
            <w:caps w:val="0"/>
          </w:rPr>
          <w:t> </w:t>
        </w:r>
        <w:r w:rsidR="00C879FE" w:rsidRPr="000D61FC">
          <w:rPr>
            <w:rStyle w:val="Hyperlink"/>
            <w:i/>
            <w:caps w:val="0"/>
          </w:rPr>
          <w:t>Protection (Offenders Registration) A</w:t>
        </w:r>
        <w:r w:rsidR="00C648F6" w:rsidRPr="000D61FC">
          <w:rPr>
            <w:rStyle w:val="Hyperlink"/>
            <w:i/>
            <w:caps w:val="0"/>
          </w:rPr>
          <w:t>ct 2000</w:t>
        </w:r>
        <w:r w:rsidR="00C879FE" w:rsidRPr="000D61FC">
          <w:rPr>
            <w:rStyle w:val="Hyperlink"/>
            <w:caps w:val="0"/>
          </w:rPr>
          <w:t xml:space="preserve"> (NSW) (or any A</w:t>
        </w:r>
        <w:r w:rsidR="00C648F6" w:rsidRPr="000D61FC">
          <w:rPr>
            <w:rStyle w:val="Hyperlink"/>
            <w:caps w:val="0"/>
          </w:rPr>
          <w:t>ct which replaces it)</w:t>
        </w:r>
        <w:r w:rsidR="00C00455" w:rsidRPr="000D61FC">
          <w:rPr>
            <w:rStyle w:val="Hyperlink"/>
            <w:caps w:val="0"/>
          </w:rPr>
          <w:t> </w:t>
        </w:r>
        <w:r w:rsidR="00865BA1" w:rsidRPr="000D61FC">
          <w:rPr>
            <w:rStyle w:val="Hyperlink"/>
            <w:caps w:val="0"/>
          </w:rPr>
          <w:t xml:space="preserve">for </w:t>
        </w:r>
        <w:r w:rsidR="00C648F6" w:rsidRPr="000D61FC">
          <w:rPr>
            <w:rStyle w:val="Hyperlink"/>
            <w:caps w:val="0"/>
          </w:rPr>
          <w:t>indep</w:t>
        </w:r>
        <w:r w:rsidR="00C879FE" w:rsidRPr="000D61FC">
          <w:rPr>
            <w:rStyle w:val="Hyperlink"/>
            <w:caps w:val="0"/>
          </w:rPr>
          <w:t>endent compliance audit</w:t>
        </w:r>
        <w:r w:rsidR="00865BA1" w:rsidRPr="000D61FC">
          <w:rPr>
            <w:rStyle w:val="Hyperlink"/>
            <w:caps w:val="0"/>
          </w:rPr>
          <w:t>s</w:t>
        </w:r>
        <w:r w:rsidR="00C879FE" w:rsidRPr="000D61FC">
          <w:rPr>
            <w:rStyle w:val="Hyperlink"/>
            <w:caps w:val="0"/>
          </w:rPr>
          <w:t xml:space="preserve"> of the R</w:t>
        </w:r>
        <w:r w:rsidR="00C648F6" w:rsidRPr="000D61FC">
          <w:rPr>
            <w:rStyle w:val="Hyperlink"/>
            <w:caps w:val="0"/>
          </w:rPr>
          <w:t xml:space="preserve">egister, with publicly reported (and de-identified) results, similar to </w:t>
        </w:r>
        <w:r w:rsidR="00011F55">
          <w:rPr>
            <w:rStyle w:val="Hyperlink"/>
            <w:caps w:val="0"/>
          </w:rPr>
          <w:t>those</w:t>
        </w:r>
        <w:r w:rsidR="00C648F6" w:rsidRPr="000D61FC">
          <w:rPr>
            <w:rStyle w:val="Hyperlink"/>
            <w:caps w:val="0"/>
          </w:rPr>
          <w:t xml:space="preserve"> in the </w:t>
        </w:r>
        <w:r w:rsidR="00C879FE" w:rsidRPr="000D61FC">
          <w:rPr>
            <w:rStyle w:val="Hyperlink"/>
            <w:i/>
            <w:caps w:val="0"/>
          </w:rPr>
          <w:t>Sex Offenders Registration</w:t>
        </w:r>
        <w:r w:rsidR="00C00455" w:rsidRPr="000D61FC">
          <w:rPr>
            <w:rStyle w:val="Hyperlink"/>
            <w:i/>
            <w:caps w:val="0"/>
          </w:rPr>
          <w:t> </w:t>
        </w:r>
        <w:r w:rsidR="00C879FE" w:rsidRPr="000D61FC">
          <w:rPr>
            <w:rStyle w:val="Hyperlink"/>
            <w:i/>
            <w:caps w:val="0"/>
          </w:rPr>
          <w:t>A</w:t>
        </w:r>
        <w:r w:rsidR="00C648F6" w:rsidRPr="000D61FC">
          <w:rPr>
            <w:rStyle w:val="Hyperlink"/>
            <w:i/>
            <w:caps w:val="0"/>
          </w:rPr>
          <w:t>ct 2004</w:t>
        </w:r>
        <w:r w:rsidR="00C879FE" w:rsidRPr="000D61FC">
          <w:rPr>
            <w:rStyle w:val="Hyperlink"/>
            <w:caps w:val="0"/>
          </w:rPr>
          <w:t xml:space="preserve"> (</w:t>
        </w:r>
        <w:r w:rsidR="00124903" w:rsidRPr="000D61FC">
          <w:rPr>
            <w:rStyle w:val="Hyperlink"/>
            <w:caps w:val="0"/>
          </w:rPr>
          <w:t>Vic</w:t>
        </w:r>
        <w:r w:rsidR="00C648F6" w:rsidRPr="000D61FC">
          <w:rPr>
            <w:rStyle w:val="Hyperlink"/>
            <w:caps w:val="0"/>
          </w:rPr>
          <w:t>)</w:t>
        </w:r>
        <w:r w:rsidR="00073334">
          <w:rPr>
            <w:rStyle w:val="Hyperlink"/>
            <w:caps w:val="0"/>
          </w:rPr>
          <w:t>……………………………………………………………………………………………………………………………………………</w:t>
        </w:r>
        <w:r w:rsidR="00C648F6" w:rsidRPr="000D61FC">
          <w:rPr>
            <w:webHidden/>
          </w:rPr>
          <w:fldChar w:fldCharType="begin"/>
        </w:r>
        <w:r w:rsidR="00C648F6" w:rsidRPr="000D61FC">
          <w:rPr>
            <w:webHidden/>
          </w:rPr>
          <w:instrText xml:space="preserve"> PAGEREF _Toc22277351 \h </w:instrText>
        </w:r>
        <w:r w:rsidR="00C648F6" w:rsidRPr="000D61FC">
          <w:rPr>
            <w:webHidden/>
          </w:rPr>
        </w:r>
        <w:r w:rsidR="00C648F6" w:rsidRPr="000D61FC">
          <w:rPr>
            <w:webHidden/>
          </w:rPr>
          <w:fldChar w:fldCharType="separate"/>
        </w:r>
        <w:r w:rsidR="00022664">
          <w:rPr>
            <w:webHidden/>
          </w:rPr>
          <w:t>169</w:t>
        </w:r>
        <w:r w:rsidR="00C648F6" w:rsidRPr="000D61FC">
          <w:rPr>
            <w:webHidden/>
          </w:rPr>
          <w:fldChar w:fldCharType="end"/>
        </w:r>
      </w:hyperlink>
    </w:p>
    <w:p w14:paraId="45BD7F53" w14:textId="71C4B985" w:rsidR="00F018AC" w:rsidRPr="004A3983" w:rsidRDefault="00C96810" w:rsidP="00E61632">
      <w:pPr>
        <w:pStyle w:val="NonNumberHeading2"/>
      </w:pPr>
      <w:r w:rsidRPr="004A3983">
        <w:rPr>
          <w:sz w:val="22"/>
          <w:szCs w:val="22"/>
        </w:rPr>
        <w:lastRenderedPageBreak/>
        <w:fldChar w:fldCharType="end"/>
      </w:r>
      <w:bookmarkStart w:id="4" w:name="_Toc522263973"/>
      <w:bookmarkStart w:id="5" w:name="_Toc22627720"/>
      <w:r w:rsidR="00804810" w:rsidRPr="004A3983">
        <w:t xml:space="preserve">List of </w:t>
      </w:r>
      <w:r w:rsidR="00804810" w:rsidRPr="00E61632">
        <w:t>Case</w:t>
      </w:r>
      <w:r w:rsidR="00804810" w:rsidRPr="004A3983">
        <w:t xml:space="preserve"> S</w:t>
      </w:r>
      <w:r w:rsidR="001425B6" w:rsidRPr="004A3983">
        <w:t>tudies</w:t>
      </w:r>
      <w:bookmarkEnd w:id="4"/>
      <w:bookmarkEnd w:id="5"/>
      <w:r w:rsidR="003F0174" w:rsidRPr="004A3983">
        <w:t xml:space="preserve"> </w:t>
      </w:r>
    </w:p>
    <w:p w14:paraId="514C8F5E" w14:textId="198FCAB6" w:rsidR="00730F6A" w:rsidRPr="006B1936" w:rsidRDefault="00D7614A" w:rsidP="0088007D">
      <w:pPr>
        <w:pStyle w:val="TOC5"/>
        <w:rPr>
          <w:rFonts w:eastAsiaTheme="minorEastAsia"/>
          <w:lang w:eastAsia="en-AU"/>
        </w:rPr>
      </w:pPr>
      <w:r w:rsidRPr="006B1936">
        <w:rPr>
          <w:rFonts w:ascii="Gotham Medium" w:hAnsi="Gotham Medium"/>
          <w:caps/>
        </w:rPr>
        <w:fldChar w:fldCharType="begin"/>
      </w:r>
      <w:r w:rsidRPr="006B1936">
        <w:instrText xml:space="preserve"> TOC \h \z \t "Case Study Heading,5" </w:instrText>
      </w:r>
      <w:r w:rsidRPr="006B1936">
        <w:rPr>
          <w:rFonts w:ascii="Gotham Medium" w:hAnsi="Gotham Medium"/>
          <w:caps/>
        </w:rPr>
        <w:fldChar w:fldCharType="separate"/>
      </w:r>
      <w:hyperlink w:anchor="_Toc22280899" w:history="1">
        <w:r w:rsidR="00D57774" w:rsidRPr="006B1936">
          <w:rPr>
            <w:rStyle w:val="Hyperlink"/>
            <w:rFonts w:ascii="Gotham Book" w:hAnsi="Gotham Book"/>
            <w:b/>
          </w:rPr>
          <w:t>Case S</w:t>
        </w:r>
        <w:r w:rsidR="00730F6A" w:rsidRPr="006B1936">
          <w:rPr>
            <w:rStyle w:val="Hyperlink"/>
            <w:rFonts w:ascii="Gotham Book" w:hAnsi="Gotham Book"/>
            <w:b/>
          </w:rPr>
          <w:t>tudy 1:</w:t>
        </w:r>
        <w:r w:rsidR="00730F6A" w:rsidRPr="006B1936">
          <w:rPr>
            <w:rFonts w:eastAsiaTheme="minorEastAsia"/>
            <w:lang w:eastAsia="en-AU"/>
          </w:rPr>
          <w:tab/>
        </w:r>
        <w:r w:rsidR="00730F6A" w:rsidRPr="006B1936">
          <w:rPr>
            <w:rStyle w:val="Hyperlink"/>
            <w:b/>
          </w:rPr>
          <w:t>Registrable person left off the Register for almost</w:t>
        </w:r>
        <w:r w:rsidR="00C17775" w:rsidRPr="006B1936">
          <w:rPr>
            <w:rStyle w:val="Hyperlink"/>
            <w:b/>
          </w:rPr>
          <w:t> </w:t>
        </w:r>
        <w:r w:rsidR="0050078A" w:rsidRPr="006B1936">
          <w:rPr>
            <w:rStyle w:val="Hyperlink"/>
            <w:b/>
          </w:rPr>
          <w:br/>
        </w:r>
        <w:r w:rsidR="00730F6A" w:rsidRPr="006B1936">
          <w:rPr>
            <w:rStyle w:val="Hyperlink"/>
            <w:b/>
          </w:rPr>
          <w:t>eight years</w:t>
        </w:r>
        <w:r w:rsidR="00730F6A" w:rsidRPr="006B1936">
          <w:rPr>
            <w:webHidden/>
          </w:rPr>
          <w:tab/>
        </w:r>
        <w:r w:rsidR="00730F6A" w:rsidRPr="006B1936">
          <w:rPr>
            <w:webHidden/>
          </w:rPr>
          <w:fldChar w:fldCharType="begin"/>
        </w:r>
        <w:r w:rsidR="00730F6A" w:rsidRPr="006B1936">
          <w:rPr>
            <w:webHidden/>
          </w:rPr>
          <w:instrText xml:space="preserve"> PAGEREF _Toc22280899 \h </w:instrText>
        </w:r>
        <w:r w:rsidR="00730F6A" w:rsidRPr="006B1936">
          <w:rPr>
            <w:webHidden/>
          </w:rPr>
        </w:r>
        <w:r w:rsidR="00730F6A" w:rsidRPr="006B1936">
          <w:rPr>
            <w:webHidden/>
          </w:rPr>
          <w:fldChar w:fldCharType="separate"/>
        </w:r>
        <w:r w:rsidR="00022664">
          <w:rPr>
            <w:webHidden/>
          </w:rPr>
          <w:t>46</w:t>
        </w:r>
        <w:r w:rsidR="00730F6A" w:rsidRPr="006B1936">
          <w:rPr>
            <w:webHidden/>
          </w:rPr>
          <w:fldChar w:fldCharType="end"/>
        </w:r>
      </w:hyperlink>
    </w:p>
    <w:p w14:paraId="0124E311" w14:textId="58A95C40" w:rsidR="00730F6A" w:rsidRPr="006B1936" w:rsidRDefault="002E5535" w:rsidP="0088007D">
      <w:pPr>
        <w:pStyle w:val="TOC5"/>
        <w:rPr>
          <w:rFonts w:eastAsiaTheme="minorEastAsia"/>
          <w:lang w:eastAsia="en-AU"/>
        </w:rPr>
      </w:pPr>
      <w:hyperlink w:anchor="_Toc22280900" w:history="1">
        <w:r w:rsidR="00D57774" w:rsidRPr="006B1936">
          <w:rPr>
            <w:rStyle w:val="Hyperlink"/>
            <w:rFonts w:ascii="Gotham Book" w:hAnsi="Gotham Book"/>
            <w:b/>
          </w:rPr>
          <w:t>Case S</w:t>
        </w:r>
        <w:r w:rsidR="00730F6A" w:rsidRPr="006B1936">
          <w:rPr>
            <w:rStyle w:val="Hyperlink"/>
            <w:rFonts w:ascii="Gotham Book" w:hAnsi="Gotham Book"/>
            <w:b/>
          </w:rPr>
          <w:t>tudy 2:</w:t>
        </w:r>
        <w:r w:rsidR="00730F6A" w:rsidRPr="006B1936">
          <w:rPr>
            <w:rFonts w:eastAsiaTheme="minorEastAsia"/>
            <w:lang w:eastAsia="en-AU"/>
          </w:rPr>
          <w:tab/>
        </w:r>
        <w:r w:rsidR="00730F6A" w:rsidRPr="006B1936">
          <w:rPr>
            <w:rStyle w:val="Hyperlink"/>
            <w:b/>
          </w:rPr>
          <w:t>Registrable person reoffended while unmonitored</w:t>
        </w:r>
        <w:r w:rsidR="00730F6A" w:rsidRPr="006B1936">
          <w:rPr>
            <w:webHidden/>
          </w:rPr>
          <w:tab/>
        </w:r>
        <w:r w:rsidR="00730F6A" w:rsidRPr="006B1936">
          <w:rPr>
            <w:webHidden/>
          </w:rPr>
          <w:fldChar w:fldCharType="begin"/>
        </w:r>
        <w:r w:rsidR="00730F6A" w:rsidRPr="006B1936">
          <w:rPr>
            <w:webHidden/>
          </w:rPr>
          <w:instrText xml:space="preserve"> PAGEREF _Toc22280900 \h </w:instrText>
        </w:r>
        <w:r w:rsidR="00730F6A" w:rsidRPr="006B1936">
          <w:rPr>
            <w:webHidden/>
          </w:rPr>
        </w:r>
        <w:r w:rsidR="00730F6A" w:rsidRPr="006B1936">
          <w:rPr>
            <w:webHidden/>
          </w:rPr>
          <w:fldChar w:fldCharType="separate"/>
        </w:r>
        <w:r w:rsidR="00022664">
          <w:rPr>
            <w:webHidden/>
          </w:rPr>
          <w:t>47</w:t>
        </w:r>
        <w:r w:rsidR="00730F6A" w:rsidRPr="006B1936">
          <w:rPr>
            <w:webHidden/>
          </w:rPr>
          <w:fldChar w:fldCharType="end"/>
        </w:r>
      </w:hyperlink>
    </w:p>
    <w:p w14:paraId="7F27B573" w14:textId="12B9F7D2" w:rsidR="00730F6A" w:rsidRPr="006B1936" w:rsidRDefault="002E5535" w:rsidP="0088007D">
      <w:pPr>
        <w:pStyle w:val="TOC5"/>
        <w:rPr>
          <w:rFonts w:eastAsiaTheme="minorEastAsia"/>
          <w:lang w:eastAsia="en-AU"/>
        </w:rPr>
      </w:pPr>
      <w:hyperlink w:anchor="_Toc22280901" w:history="1">
        <w:r w:rsidR="00D57774" w:rsidRPr="006B1936">
          <w:rPr>
            <w:rStyle w:val="Hyperlink"/>
            <w:rFonts w:ascii="Gotham Book" w:hAnsi="Gotham Book"/>
            <w:b/>
          </w:rPr>
          <w:t>Case S</w:t>
        </w:r>
        <w:r w:rsidR="00730F6A" w:rsidRPr="006B1936">
          <w:rPr>
            <w:rStyle w:val="Hyperlink"/>
            <w:rFonts w:ascii="Gotham Book" w:hAnsi="Gotham Book"/>
            <w:b/>
          </w:rPr>
          <w:t>tudy 3:</w:t>
        </w:r>
        <w:r w:rsidR="00730F6A" w:rsidRPr="006B1936">
          <w:rPr>
            <w:rFonts w:eastAsiaTheme="minorEastAsia"/>
            <w:lang w:eastAsia="en-AU"/>
          </w:rPr>
          <w:tab/>
        </w:r>
        <w:r w:rsidR="00730F6A" w:rsidRPr="006B1936">
          <w:rPr>
            <w:rStyle w:val="Hyperlink"/>
            <w:b/>
          </w:rPr>
          <w:t>Registrable person unmonitored for almost 18</w:t>
        </w:r>
        <w:r w:rsidR="00C17775" w:rsidRPr="006B1936">
          <w:rPr>
            <w:rStyle w:val="Hyperlink"/>
            <w:b/>
          </w:rPr>
          <w:t> </w:t>
        </w:r>
        <w:r w:rsidR="00730F6A" w:rsidRPr="006B1936">
          <w:rPr>
            <w:rStyle w:val="Hyperlink"/>
            <w:b/>
          </w:rPr>
          <w:t>months</w:t>
        </w:r>
        <w:r w:rsidR="00730F6A" w:rsidRPr="006B1936">
          <w:rPr>
            <w:webHidden/>
          </w:rPr>
          <w:tab/>
        </w:r>
        <w:r w:rsidR="00730F6A" w:rsidRPr="006B1936">
          <w:rPr>
            <w:webHidden/>
          </w:rPr>
          <w:fldChar w:fldCharType="begin"/>
        </w:r>
        <w:r w:rsidR="00730F6A" w:rsidRPr="006B1936">
          <w:rPr>
            <w:webHidden/>
          </w:rPr>
          <w:instrText xml:space="preserve"> PAGEREF _Toc22280901 \h </w:instrText>
        </w:r>
        <w:r w:rsidR="00730F6A" w:rsidRPr="006B1936">
          <w:rPr>
            <w:webHidden/>
          </w:rPr>
        </w:r>
        <w:r w:rsidR="00730F6A" w:rsidRPr="006B1936">
          <w:rPr>
            <w:webHidden/>
          </w:rPr>
          <w:fldChar w:fldCharType="separate"/>
        </w:r>
        <w:r w:rsidR="00022664">
          <w:rPr>
            <w:webHidden/>
          </w:rPr>
          <w:t>48</w:t>
        </w:r>
        <w:r w:rsidR="00730F6A" w:rsidRPr="006B1936">
          <w:rPr>
            <w:webHidden/>
          </w:rPr>
          <w:fldChar w:fldCharType="end"/>
        </w:r>
      </w:hyperlink>
    </w:p>
    <w:p w14:paraId="3168F869" w14:textId="531DA60B" w:rsidR="00730F6A" w:rsidRPr="006B1936" w:rsidRDefault="002E5535" w:rsidP="0088007D">
      <w:pPr>
        <w:pStyle w:val="TOC5"/>
        <w:rPr>
          <w:rFonts w:eastAsiaTheme="minorEastAsia"/>
          <w:lang w:eastAsia="en-AU"/>
        </w:rPr>
      </w:pPr>
      <w:hyperlink w:anchor="_Toc22280902" w:history="1">
        <w:r w:rsidR="00D57774" w:rsidRPr="006B1936">
          <w:rPr>
            <w:rStyle w:val="Hyperlink"/>
            <w:rFonts w:ascii="Gotham Book" w:hAnsi="Gotham Book"/>
            <w:b/>
          </w:rPr>
          <w:t>Case S</w:t>
        </w:r>
        <w:r w:rsidR="00730F6A" w:rsidRPr="006B1936">
          <w:rPr>
            <w:rStyle w:val="Hyperlink"/>
            <w:rFonts w:ascii="Gotham Book" w:hAnsi="Gotham Book"/>
            <w:b/>
          </w:rPr>
          <w:t>tudy 4:</w:t>
        </w:r>
        <w:r w:rsidR="00730F6A" w:rsidRPr="006B1936">
          <w:rPr>
            <w:rFonts w:eastAsiaTheme="minorEastAsia"/>
            <w:lang w:eastAsia="en-AU"/>
          </w:rPr>
          <w:tab/>
        </w:r>
        <w:r w:rsidR="00730F6A" w:rsidRPr="006B1936">
          <w:rPr>
            <w:rStyle w:val="Hyperlink"/>
            <w:b/>
          </w:rPr>
          <w:t>Person wrongly placed on the Register was unlawfully imprisoned</w:t>
        </w:r>
        <w:r w:rsidR="00730F6A" w:rsidRPr="006B1936">
          <w:rPr>
            <w:webHidden/>
          </w:rPr>
          <w:tab/>
        </w:r>
        <w:r w:rsidR="00730F6A" w:rsidRPr="006B1936">
          <w:rPr>
            <w:webHidden/>
          </w:rPr>
          <w:fldChar w:fldCharType="begin"/>
        </w:r>
        <w:r w:rsidR="00730F6A" w:rsidRPr="006B1936">
          <w:rPr>
            <w:webHidden/>
          </w:rPr>
          <w:instrText xml:space="preserve"> PAGEREF _Toc22280902 \h </w:instrText>
        </w:r>
        <w:r w:rsidR="00730F6A" w:rsidRPr="006B1936">
          <w:rPr>
            <w:webHidden/>
          </w:rPr>
        </w:r>
        <w:r w:rsidR="00730F6A" w:rsidRPr="006B1936">
          <w:rPr>
            <w:webHidden/>
          </w:rPr>
          <w:fldChar w:fldCharType="separate"/>
        </w:r>
        <w:r w:rsidR="00022664">
          <w:rPr>
            <w:webHidden/>
          </w:rPr>
          <w:t>49</w:t>
        </w:r>
        <w:r w:rsidR="00730F6A" w:rsidRPr="006B1936">
          <w:rPr>
            <w:webHidden/>
          </w:rPr>
          <w:fldChar w:fldCharType="end"/>
        </w:r>
      </w:hyperlink>
    </w:p>
    <w:p w14:paraId="230EAE49" w14:textId="1837045D" w:rsidR="00730F6A" w:rsidRPr="006B1936" w:rsidRDefault="002E5535" w:rsidP="0088007D">
      <w:pPr>
        <w:pStyle w:val="TOC5"/>
        <w:rPr>
          <w:rFonts w:eastAsiaTheme="minorEastAsia"/>
          <w:lang w:eastAsia="en-AU"/>
        </w:rPr>
      </w:pPr>
      <w:hyperlink w:anchor="_Toc22280903" w:history="1">
        <w:r w:rsidR="00D57774" w:rsidRPr="006B1936">
          <w:rPr>
            <w:rStyle w:val="Hyperlink"/>
            <w:rFonts w:ascii="Gotham Book" w:hAnsi="Gotham Book"/>
            <w:b/>
          </w:rPr>
          <w:t>Case S</w:t>
        </w:r>
        <w:r w:rsidR="00730F6A" w:rsidRPr="006B1936">
          <w:rPr>
            <w:rStyle w:val="Hyperlink"/>
            <w:rFonts w:ascii="Gotham Book" w:hAnsi="Gotham Book"/>
            <w:b/>
          </w:rPr>
          <w:t>tudy 5:</w:t>
        </w:r>
        <w:r w:rsidR="00730F6A" w:rsidRPr="006B1936">
          <w:rPr>
            <w:rFonts w:eastAsiaTheme="minorEastAsia"/>
            <w:lang w:eastAsia="en-AU"/>
          </w:rPr>
          <w:tab/>
        </w:r>
        <w:r w:rsidR="00730F6A" w:rsidRPr="006B1936">
          <w:rPr>
            <w:rStyle w:val="Hyperlink"/>
            <w:b/>
          </w:rPr>
          <w:t>Person wrongly placed on Register for offences</w:t>
        </w:r>
        <w:r w:rsidR="00C17775" w:rsidRPr="006B1936">
          <w:rPr>
            <w:rStyle w:val="Hyperlink"/>
            <w:b/>
          </w:rPr>
          <w:t> </w:t>
        </w:r>
        <w:r w:rsidR="009238B0" w:rsidRPr="006B1936">
          <w:rPr>
            <w:rStyle w:val="Hyperlink"/>
            <w:b/>
          </w:rPr>
          <w:br/>
        </w:r>
        <w:r w:rsidR="00730F6A" w:rsidRPr="006B1936">
          <w:rPr>
            <w:rStyle w:val="Hyperlink"/>
            <w:b/>
          </w:rPr>
          <w:t>against adult</w:t>
        </w:r>
        <w:r w:rsidR="00730F6A" w:rsidRPr="006B1936">
          <w:rPr>
            <w:webHidden/>
          </w:rPr>
          <w:tab/>
        </w:r>
        <w:r w:rsidR="00730F6A" w:rsidRPr="006B1936">
          <w:rPr>
            <w:webHidden/>
          </w:rPr>
          <w:fldChar w:fldCharType="begin"/>
        </w:r>
        <w:r w:rsidR="00730F6A" w:rsidRPr="006B1936">
          <w:rPr>
            <w:webHidden/>
          </w:rPr>
          <w:instrText xml:space="preserve"> PAGEREF _Toc22280903 \h </w:instrText>
        </w:r>
        <w:r w:rsidR="00730F6A" w:rsidRPr="006B1936">
          <w:rPr>
            <w:webHidden/>
          </w:rPr>
        </w:r>
        <w:r w:rsidR="00730F6A" w:rsidRPr="006B1936">
          <w:rPr>
            <w:webHidden/>
          </w:rPr>
          <w:fldChar w:fldCharType="separate"/>
        </w:r>
        <w:r w:rsidR="00022664">
          <w:rPr>
            <w:webHidden/>
          </w:rPr>
          <w:t>50</w:t>
        </w:r>
        <w:r w:rsidR="00730F6A" w:rsidRPr="006B1936">
          <w:rPr>
            <w:webHidden/>
          </w:rPr>
          <w:fldChar w:fldCharType="end"/>
        </w:r>
      </w:hyperlink>
    </w:p>
    <w:p w14:paraId="0540EDB5" w14:textId="0527B680" w:rsidR="00730F6A" w:rsidRPr="006B1936" w:rsidRDefault="002E5535" w:rsidP="0088007D">
      <w:pPr>
        <w:pStyle w:val="TOC5"/>
        <w:rPr>
          <w:rFonts w:eastAsiaTheme="minorEastAsia"/>
          <w:lang w:eastAsia="en-AU"/>
        </w:rPr>
      </w:pPr>
      <w:hyperlink w:anchor="_Toc22280904" w:history="1">
        <w:r w:rsidR="00D57774" w:rsidRPr="006B1936">
          <w:rPr>
            <w:rStyle w:val="Hyperlink"/>
            <w:rFonts w:ascii="Gotham Book" w:hAnsi="Gotham Book"/>
            <w:b/>
          </w:rPr>
          <w:t>Case S</w:t>
        </w:r>
        <w:r w:rsidR="00730F6A" w:rsidRPr="006B1936">
          <w:rPr>
            <w:rStyle w:val="Hyperlink"/>
            <w:rFonts w:ascii="Gotham Book" w:hAnsi="Gotham Book"/>
            <w:b/>
          </w:rPr>
          <w:t>tudy 6:</w:t>
        </w:r>
        <w:r w:rsidR="00730F6A" w:rsidRPr="006B1936">
          <w:rPr>
            <w:rFonts w:eastAsiaTheme="minorEastAsia"/>
            <w:lang w:eastAsia="en-AU"/>
          </w:rPr>
          <w:tab/>
        </w:r>
        <w:r w:rsidR="00730F6A" w:rsidRPr="006B1936">
          <w:rPr>
            <w:rStyle w:val="Hyperlink"/>
            <w:b/>
          </w:rPr>
          <w:t>Registrable person wrongly imprisoned for over</w:t>
        </w:r>
        <w:r w:rsidR="00C17775" w:rsidRPr="006B1936">
          <w:rPr>
            <w:rStyle w:val="Hyperlink"/>
            <w:b/>
          </w:rPr>
          <w:t> </w:t>
        </w:r>
        <w:r w:rsidR="00730F6A" w:rsidRPr="006B1936">
          <w:rPr>
            <w:rStyle w:val="Hyperlink"/>
            <w:b/>
          </w:rPr>
          <w:t>540 days</w:t>
        </w:r>
        <w:r w:rsidR="00730F6A" w:rsidRPr="006B1936">
          <w:rPr>
            <w:webHidden/>
          </w:rPr>
          <w:tab/>
        </w:r>
        <w:r w:rsidR="00730F6A" w:rsidRPr="006B1936">
          <w:rPr>
            <w:webHidden/>
          </w:rPr>
          <w:fldChar w:fldCharType="begin"/>
        </w:r>
        <w:r w:rsidR="00730F6A" w:rsidRPr="006B1936">
          <w:rPr>
            <w:webHidden/>
          </w:rPr>
          <w:instrText xml:space="preserve"> PAGEREF _Toc22280904 \h </w:instrText>
        </w:r>
        <w:r w:rsidR="00730F6A" w:rsidRPr="006B1936">
          <w:rPr>
            <w:webHidden/>
          </w:rPr>
        </w:r>
        <w:r w:rsidR="00730F6A" w:rsidRPr="006B1936">
          <w:rPr>
            <w:webHidden/>
          </w:rPr>
          <w:fldChar w:fldCharType="separate"/>
        </w:r>
        <w:r w:rsidR="00022664">
          <w:rPr>
            <w:webHidden/>
          </w:rPr>
          <w:t>51</w:t>
        </w:r>
        <w:r w:rsidR="00730F6A" w:rsidRPr="006B1936">
          <w:rPr>
            <w:webHidden/>
          </w:rPr>
          <w:fldChar w:fldCharType="end"/>
        </w:r>
      </w:hyperlink>
    </w:p>
    <w:p w14:paraId="26EBDB4C" w14:textId="562F48B8" w:rsidR="00730F6A" w:rsidRPr="006B1936" w:rsidRDefault="002E5535" w:rsidP="0088007D">
      <w:pPr>
        <w:pStyle w:val="TOC5"/>
        <w:rPr>
          <w:rFonts w:eastAsiaTheme="minorEastAsia"/>
          <w:lang w:eastAsia="en-AU"/>
        </w:rPr>
      </w:pPr>
      <w:hyperlink w:anchor="_Toc22280905" w:history="1">
        <w:r w:rsidR="00D57774" w:rsidRPr="006B1936">
          <w:rPr>
            <w:rStyle w:val="Hyperlink"/>
            <w:rFonts w:ascii="Gotham Book" w:hAnsi="Gotham Book"/>
            <w:b/>
          </w:rPr>
          <w:t>Case S</w:t>
        </w:r>
        <w:r w:rsidR="00730F6A" w:rsidRPr="006B1936">
          <w:rPr>
            <w:rStyle w:val="Hyperlink"/>
            <w:rFonts w:ascii="Gotham Book" w:hAnsi="Gotham Book"/>
            <w:b/>
          </w:rPr>
          <w:t>tudy 7:</w:t>
        </w:r>
        <w:r w:rsidR="00730F6A" w:rsidRPr="006B1936">
          <w:rPr>
            <w:rFonts w:eastAsiaTheme="minorEastAsia"/>
            <w:lang w:eastAsia="en-AU"/>
          </w:rPr>
          <w:tab/>
        </w:r>
        <w:r w:rsidR="00730F6A" w:rsidRPr="006B1936">
          <w:rPr>
            <w:rStyle w:val="Hyperlink"/>
            <w:b/>
          </w:rPr>
          <w:t>Registrable person subjected to unlawful home</w:t>
        </w:r>
        <w:r w:rsidR="00C17775" w:rsidRPr="006B1936">
          <w:rPr>
            <w:rStyle w:val="Hyperlink"/>
            <w:b/>
          </w:rPr>
          <w:t> </w:t>
        </w:r>
        <w:r w:rsidR="00730F6A" w:rsidRPr="006B1936">
          <w:rPr>
            <w:rStyle w:val="Hyperlink"/>
            <w:b/>
          </w:rPr>
          <w:t>inspections</w:t>
        </w:r>
        <w:r w:rsidR="00730F6A" w:rsidRPr="006B1936">
          <w:rPr>
            <w:webHidden/>
          </w:rPr>
          <w:tab/>
        </w:r>
        <w:r w:rsidR="00730F6A" w:rsidRPr="006B1936">
          <w:rPr>
            <w:webHidden/>
          </w:rPr>
          <w:fldChar w:fldCharType="begin"/>
        </w:r>
        <w:r w:rsidR="00730F6A" w:rsidRPr="006B1936">
          <w:rPr>
            <w:webHidden/>
          </w:rPr>
          <w:instrText xml:space="preserve"> PAGEREF _Toc22280905 \h </w:instrText>
        </w:r>
        <w:r w:rsidR="00730F6A" w:rsidRPr="006B1936">
          <w:rPr>
            <w:webHidden/>
          </w:rPr>
        </w:r>
        <w:r w:rsidR="00730F6A" w:rsidRPr="006B1936">
          <w:rPr>
            <w:webHidden/>
          </w:rPr>
          <w:fldChar w:fldCharType="separate"/>
        </w:r>
        <w:r w:rsidR="00022664">
          <w:rPr>
            <w:webHidden/>
          </w:rPr>
          <w:t>52</w:t>
        </w:r>
        <w:r w:rsidR="00730F6A" w:rsidRPr="006B1936">
          <w:rPr>
            <w:webHidden/>
          </w:rPr>
          <w:fldChar w:fldCharType="end"/>
        </w:r>
      </w:hyperlink>
    </w:p>
    <w:p w14:paraId="4148C255" w14:textId="45ACBDA8" w:rsidR="00730F6A" w:rsidRPr="006B1936" w:rsidRDefault="002E5535" w:rsidP="0088007D">
      <w:pPr>
        <w:pStyle w:val="TOC5"/>
        <w:rPr>
          <w:rFonts w:eastAsiaTheme="minorEastAsia"/>
          <w:lang w:eastAsia="en-AU"/>
        </w:rPr>
      </w:pPr>
      <w:hyperlink w:anchor="_Toc22280906" w:history="1">
        <w:r w:rsidR="00D57774" w:rsidRPr="006B1936">
          <w:rPr>
            <w:rStyle w:val="Hyperlink"/>
            <w:rFonts w:ascii="Gotham Book" w:hAnsi="Gotham Book"/>
            <w:b/>
          </w:rPr>
          <w:t>Case S</w:t>
        </w:r>
        <w:r w:rsidR="00730F6A" w:rsidRPr="006B1936">
          <w:rPr>
            <w:rStyle w:val="Hyperlink"/>
            <w:rFonts w:ascii="Gotham Book" w:hAnsi="Gotham Book"/>
            <w:b/>
          </w:rPr>
          <w:t>tudy 8:</w:t>
        </w:r>
        <w:r w:rsidR="00730F6A" w:rsidRPr="006B1936">
          <w:rPr>
            <w:rFonts w:eastAsiaTheme="minorEastAsia"/>
            <w:lang w:eastAsia="en-AU"/>
          </w:rPr>
          <w:tab/>
        </w:r>
        <w:r w:rsidR="00730F6A" w:rsidRPr="006B1936">
          <w:rPr>
            <w:rStyle w:val="Hyperlink"/>
            <w:b/>
          </w:rPr>
          <w:t>Registrable person sued State of New South Wales</w:t>
        </w:r>
        <w:r w:rsidR="00C17775" w:rsidRPr="006B1936">
          <w:rPr>
            <w:rStyle w:val="Hyperlink"/>
            <w:b/>
          </w:rPr>
          <w:t> </w:t>
        </w:r>
        <w:r w:rsidR="00730F6A" w:rsidRPr="006B1936">
          <w:rPr>
            <w:rStyle w:val="Hyperlink"/>
            <w:b/>
          </w:rPr>
          <w:t>for wrongful</w:t>
        </w:r>
        <w:r w:rsidR="0050078A" w:rsidRPr="006B1936">
          <w:rPr>
            <w:rStyle w:val="Hyperlink"/>
            <w:b/>
          </w:rPr>
          <w:t> </w:t>
        </w:r>
        <w:r w:rsidR="00730F6A" w:rsidRPr="006B1936">
          <w:rPr>
            <w:rStyle w:val="Hyperlink"/>
            <w:b/>
          </w:rPr>
          <w:t>imprisonment</w:t>
        </w:r>
        <w:r w:rsidR="00730F6A" w:rsidRPr="006B1936">
          <w:rPr>
            <w:webHidden/>
          </w:rPr>
          <w:tab/>
        </w:r>
        <w:r w:rsidR="00730F6A" w:rsidRPr="006B1936">
          <w:rPr>
            <w:webHidden/>
          </w:rPr>
          <w:fldChar w:fldCharType="begin"/>
        </w:r>
        <w:r w:rsidR="00730F6A" w:rsidRPr="006B1936">
          <w:rPr>
            <w:webHidden/>
          </w:rPr>
          <w:instrText xml:space="preserve"> PAGEREF _Toc22280906 \h </w:instrText>
        </w:r>
        <w:r w:rsidR="00730F6A" w:rsidRPr="006B1936">
          <w:rPr>
            <w:webHidden/>
          </w:rPr>
        </w:r>
        <w:r w:rsidR="00730F6A" w:rsidRPr="006B1936">
          <w:rPr>
            <w:webHidden/>
          </w:rPr>
          <w:fldChar w:fldCharType="separate"/>
        </w:r>
        <w:r w:rsidR="00022664">
          <w:rPr>
            <w:webHidden/>
          </w:rPr>
          <w:t>87</w:t>
        </w:r>
        <w:r w:rsidR="00730F6A" w:rsidRPr="006B1936">
          <w:rPr>
            <w:webHidden/>
          </w:rPr>
          <w:fldChar w:fldCharType="end"/>
        </w:r>
      </w:hyperlink>
    </w:p>
    <w:p w14:paraId="1F541AE9" w14:textId="5E3F3656" w:rsidR="00730F6A" w:rsidRPr="006B1936" w:rsidRDefault="002E5535" w:rsidP="0088007D">
      <w:pPr>
        <w:pStyle w:val="TOC5"/>
        <w:rPr>
          <w:rFonts w:eastAsiaTheme="minorEastAsia"/>
          <w:lang w:eastAsia="en-AU"/>
        </w:rPr>
      </w:pPr>
      <w:hyperlink w:anchor="_Toc22280907" w:history="1">
        <w:r w:rsidR="00D57774" w:rsidRPr="006B1936">
          <w:rPr>
            <w:rStyle w:val="Hyperlink"/>
            <w:rFonts w:ascii="Gotham Book" w:hAnsi="Gotham Book"/>
            <w:b/>
          </w:rPr>
          <w:t>Case S</w:t>
        </w:r>
        <w:r w:rsidR="00730F6A" w:rsidRPr="006B1936">
          <w:rPr>
            <w:rStyle w:val="Hyperlink"/>
            <w:rFonts w:ascii="Gotham Book" w:hAnsi="Gotham Book"/>
            <w:b/>
          </w:rPr>
          <w:t>tudy 9:</w:t>
        </w:r>
        <w:r w:rsidR="00730F6A" w:rsidRPr="006B1936">
          <w:rPr>
            <w:rFonts w:eastAsiaTheme="minorEastAsia"/>
            <w:lang w:eastAsia="en-AU"/>
          </w:rPr>
          <w:tab/>
        </w:r>
        <w:r w:rsidR="00730F6A" w:rsidRPr="006B1936">
          <w:rPr>
            <w:rStyle w:val="Hyperlink"/>
            <w:b/>
          </w:rPr>
          <w:t>Person incorrectly placed on the Register after</w:t>
        </w:r>
        <w:r w:rsidR="00C17775" w:rsidRPr="006B1936">
          <w:rPr>
            <w:rStyle w:val="Hyperlink"/>
            <w:b/>
          </w:rPr>
          <w:t> </w:t>
        </w:r>
        <w:r w:rsidR="00730F6A" w:rsidRPr="006B1936">
          <w:rPr>
            <w:rStyle w:val="Hyperlink"/>
            <w:b/>
          </w:rPr>
          <w:t>charges replaced</w:t>
        </w:r>
        <w:r w:rsidR="0050078A" w:rsidRPr="006B1936">
          <w:rPr>
            <w:rStyle w:val="Hyperlink"/>
            <w:b/>
          </w:rPr>
          <w:t> </w:t>
        </w:r>
        <w:r w:rsidR="00730F6A" w:rsidRPr="006B1936">
          <w:rPr>
            <w:rStyle w:val="Hyperlink"/>
            <w:b/>
          </w:rPr>
          <w:t>at court</w:t>
        </w:r>
        <w:r w:rsidR="00730F6A" w:rsidRPr="006B1936">
          <w:rPr>
            <w:webHidden/>
          </w:rPr>
          <w:tab/>
        </w:r>
        <w:r w:rsidR="00730F6A" w:rsidRPr="006B1936">
          <w:rPr>
            <w:webHidden/>
          </w:rPr>
          <w:fldChar w:fldCharType="begin"/>
        </w:r>
        <w:r w:rsidR="00730F6A" w:rsidRPr="006B1936">
          <w:rPr>
            <w:webHidden/>
          </w:rPr>
          <w:instrText xml:space="preserve"> PAGEREF _Toc22280907 \h </w:instrText>
        </w:r>
        <w:r w:rsidR="00730F6A" w:rsidRPr="006B1936">
          <w:rPr>
            <w:webHidden/>
          </w:rPr>
        </w:r>
        <w:r w:rsidR="00730F6A" w:rsidRPr="006B1936">
          <w:rPr>
            <w:webHidden/>
          </w:rPr>
          <w:fldChar w:fldCharType="separate"/>
        </w:r>
        <w:r w:rsidR="00022664">
          <w:rPr>
            <w:webHidden/>
          </w:rPr>
          <w:t>138</w:t>
        </w:r>
        <w:r w:rsidR="00730F6A" w:rsidRPr="006B1936">
          <w:rPr>
            <w:webHidden/>
          </w:rPr>
          <w:fldChar w:fldCharType="end"/>
        </w:r>
      </w:hyperlink>
    </w:p>
    <w:p w14:paraId="789922ED" w14:textId="39954AB3" w:rsidR="00730F6A" w:rsidRPr="006B1936" w:rsidRDefault="002E5535" w:rsidP="0088007D">
      <w:pPr>
        <w:pStyle w:val="TOC5"/>
        <w:rPr>
          <w:rFonts w:eastAsiaTheme="minorEastAsia"/>
          <w:lang w:eastAsia="en-AU"/>
        </w:rPr>
      </w:pPr>
      <w:hyperlink w:anchor="_Toc22280908" w:history="1">
        <w:r w:rsidR="00D57774" w:rsidRPr="006B1936">
          <w:rPr>
            <w:rStyle w:val="Hyperlink"/>
            <w:rFonts w:ascii="Gotham Book" w:hAnsi="Gotham Book"/>
            <w:b/>
          </w:rPr>
          <w:t>Case S</w:t>
        </w:r>
        <w:r w:rsidR="00730F6A" w:rsidRPr="006B1936">
          <w:rPr>
            <w:rStyle w:val="Hyperlink"/>
            <w:rFonts w:ascii="Gotham Book" w:hAnsi="Gotham Book"/>
            <w:b/>
          </w:rPr>
          <w:t>tudy 10:</w:t>
        </w:r>
        <w:r w:rsidR="00730F6A" w:rsidRPr="006B1936">
          <w:rPr>
            <w:rFonts w:eastAsiaTheme="minorEastAsia"/>
            <w:lang w:eastAsia="en-AU"/>
          </w:rPr>
          <w:tab/>
        </w:r>
        <w:r w:rsidR="00730F6A" w:rsidRPr="006B1936">
          <w:rPr>
            <w:rStyle w:val="Hyperlink"/>
            <w:b/>
          </w:rPr>
          <w:t>Registered person not reporting for two years</w:t>
        </w:r>
        <w:r w:rsidR="00C17775" w:rsidRPr="006B1936">
          <w:rPr>
            <w:rStyle w:val="Hyperlink"/>
            <w:b/>
          </w:rPr>
          <w:t> </w:t>
        </w:r>
        <w:r w:rsidR="00730F6A" w:rsidRPr="006B1936">
          <w:rPr>
            <w:rStyle w:val="Hyperlink"/>
            <w:b/>
          </w:rPr>
          <w:t>due</w:t>
        </w:r>
        <w:r w:rsidR="00C17775" w:rsidRPr="006B1936">
          <w:rPr>
            <w:rStyle w:val="Hyperlink"/>
            <w:b/>
          </w:rPr>
          <w:t> </w:t>
        </w:r>
        <w:r w:rsidR="00730F6A" w:rsidRPr="006B1936">
          <w:rPr>
            <w:rStyle w:val="Hyperlink"/>
            <w:b/>
          </w:rPr>
          <w:t>to systems</w:t>
        </w:r>
        <w:r w:rsidR="0050078A" w:rsidRPr="006B1936">
          <w:rPr>
            <w:rStyle w:val="Hyperlink"/>
            <w:b/>
          </w:rPr>
          <w:t> </w:t>
        </w:r>
        <w:r w:rsidR="00730F6A" w:rsidRPr="006B1936">
          <w:rPr>
            <w:rStyle w:val="Hyperlink"/>
            <w:b/>
          </w:rPr>
          <w:t>malfunction</w:t>
        </w:r>
        <w:r w:rsidR="00730F6A" w:rsidRPr="006B1936">
          <w:rPr>
            <w:webHidden/>
          </w:rPr>
          <w:tab/>
        </w:r>
        <w:r w:rsidR="00730F6A" w:rsidRPr="006B1936">
          <w:rPr>
            <w:webHidden/>
          </w:rPr>
          <w:fldChar w:fldCharType="begin"/>
        </w:r>
        <w:r w:rsidR="00730F6A" w:rsidRPr="006B1936">
          <w:rPr>
            <w:webHidden/>
          </w:rPr>
          <w:instrText xml:space="preserve"> PAGEREF _Toc22280908 \h </w:instrText>
        </w:r>
        <w:r w:rsidR="00730F6A" w:rsidRPr="006B1936">
          <w:rPr>
            <w:webHidden/>
          </w:rPr>
        </w:r>
        <w:r w:rsidR="00730F6A" w:rsidRPr="006B1936">
          <w:rPr>
            <w:webHidden/>
          </w:rPr>
          <w:fldChar w:fldCharType="separate"/>
        </w:r>
        <w:r w:rsidR="00022664">
          <w:rPr>
            <w:webHidden/>
          </w:rPr>
          <w:t>151</w:t>
        </w:r>
        <w:r w:rsidR="00730F6A" w:rsidRPr="006B1936">
          <w:rPr>
            <w:webHidden/>
          </w:rPr>
          <w:fldChar w:fldCharType="end"/>
        </w:r>
      </w:hyperlink>
    </w:p>
    <w:p w14:paraId="25DDC67A" w14:textId="7DE7C41D" w:rsidR="00730F6A" w:rsidRPr="006B1936" w:rsidRDefault="002E5535" w:rsidP="0088007D">
      <w:pPr>
        <w:pStyle w:val="TOC5"/>
        <w:rPr>
          <w:rFonts w:eastAsiaTheme="minorEastAsia"/>
          <w:lang w:eastAsia="en-AU"/>
        </w:rPr>
      </w:pPr>
      <w:hyperlink w:anchor="_Toc22280909" w:history="1">
        <w:r w:rsidR="00D57774" w:rsidRPr="006B1936">
          <w:rPr>
            <w:rStyle w:val="Hyperlink"/>
            <w:rFonts w:ascii="Gotham Book" w:hAnsi="Gotham Book"/>
            <w:b/>
          </w:rPr>
          <w:t>Case S</w:t>
        </w:r>
        <w:r w:rsidR="00730F6A" w:rsidRPr="006B1936">
          <w:rPr>
            <w:rStyle w:val="Hyperlink"/>
            <w:rFonts w:ascii="Gotham Book" w:hAnsi="Gotham Book"/>
            <w:b/>
          </w:rPr>
          <w:t>tudy 11:</w:t>
        </w:r>
        <w:r w:rsidR="00730F6A" w:rsidRPr="006B1936">
          <w:rPr>
            <w:rFonts w:eastAsiaTheme="minorEastAsia"/>
            <w:lang w:eastAsia="en-AU"/>
          </w:rPr>
          <w:tab/>
        </w:r>
        <w:r w:rsidR="00730F6A" w:rsidRPr="006B1936">
          <w:rPr>
            <w:rStyle w:val="Hyperlink"/>
            <w:b/>
          </w:rPr>
          <w:t>System failed to show high risk registered person</w:t>
        </w:r>
        <w:r w:rsidR="00C17775" w:rsidRPr="006B1936">
          <w:rPr>
            <w:rStyle w:val="Hyperlink"/>
            <w:b/>
          </w:rPr>
          <w:t> </w:t>
        </w:r>
        <w:r w:rsidR="00730F6A" w:rsidRPr="006B1936">
          <w:rPr>
            <w:rStyle w:val="Hyperlink"/>
            <w:b/>
          </w:rPr>
          <w:t>had been</w:t>
        </w:r>
        <w:r w:rsidR="0050078A" w:rsidRPr="006B1936">
          <w:rPr>
            <w:rStyle w:val="Hyperlink"/>
            <w:b/>
          </w:rPr>
          <w:t> </w:t>
        </w:r>
        <w:r w:rsidR="00730F6A" w:rsidRPr="006B1936">
          <w:rPr>
            <w:rStyle w:val="Hyperlink"/>
            <w:b/>
          </w:rPr>
          <w:t>released</w:t>
        </w:r>
        <w:r w:rsidR="00730F6A" w:rsidRPr="006B1936">
          <w:rPr>
            <w:webHidden/>
          </w:rPr>
          <w:tab/>
        </w:r>
        <w:r w:rsidR="00730F6A" w:rsidRPr="006B1936">
          <w:rPr>
            <w:webHidden/>
          </w:rPr>
          <w:fldChar w:fldCharType="begin"/>
        </w:r>
        <w:r w:rsidR="00730F6A" w:rsidRPr="006B1936">
          <w:rPr>
            <w:webHidden/>
          </w:rPr>
          <w:instrText xml:space="preserve"> PAGEREF _Toc22280909 \h </w:instrText>
        </w:r>
        <w:r w:rsidR="00730F6A" w:rsidRPr="006B1936">
          <w:rPr>
            <w:webHidden/>
          </w:rPr>
        </w:r>
        <w:r w:rsidR="00730F6A" w:rsidRPr="006B1936">
          <w:rPr>
            <w:webHidden/>
          </w:rPr>
          <w:fldChar w:fldCharType="separate"/>
        </w:r>
        <w:r w:rsidR="00022664">
          <w:rPr>
            <w:webHidden/>
          </w:rPr>
          <w:t>152</w:t>
        </w:r>
        <w:r w:rsidR="00730F6A" w:rsidRPr="006B1936">
          <w:rPr>
            <w:webHidden/>
          </w:rPr>
          <w:fldChar w:fldCharType="end"/>
        </w:r>
      </w:hyperlink>
    </w:p>
    <w:p w14:paraId="4813EAD8" w14:textId="34C8D0B4" w:rsidR="00730F6A" w:rsidRPr="006B1936" w:rsidRDefault="002E5535" w:rsidP="0088007D">
      <w:pPr>
        <w:pStyle w:val="TOC5"/>
        <w:rPr>
          <w:rFonts w:eastAsiaTheme="minorEastAsia"/>
          <w:lang w:eastAsia="en-AU"/>
        </w:rPr>
      </w:pPr>
      <w:hyperlink w:anchor="_Toc22280910" w:history="1">
        <w:r w:rsidR="00D57774" w:rsidRPr="006B1936">
          <w:rPr>
            <w:rStyle w:val="Hyperlink"/>
            <w:rFonts w:ascii="Gotham Book" w:hAnsi="Gotham Book"/>
            <w:b/>
          </w:rPr>
          <w:t>Case S</w:t>
        </w:r>
        <w:r w:rsidR="00730F6A" w:rsidRPr="006B1936">
          <w:rPr>
            <w:rStyle w:val="Hyperlink"/>
            <w:rFonts w:ascii="Gotham Book" w:hAnsi="Gotham Book"/>
            <w:b/>
          </w:rPr>
          <w:t>tudy 12:</w:t>
        </w:r>
        <w:r w:rsidR="00730F6A" w:rsidRPr="006B1936">
          <w:rPr>
            <w:rFonts w:eastAsiaTheme="minorEastAsia"/>
            <w:lang w:eastAsia="en-AU"/>
          </w:rPr>
          <w:tab/>
        </w:r>
        <w:r w:rsidR="00730F6A" w:rsidRPr="006B1936">
          <w:rPr>
            <w:rStyle w:val="Hyperlink"/>
            <w:b/>
          </w:rPr>
          <w:t>Person’s reporting period extended by 900 days</w:t>
        </w:r>
        <w:r w:rsidR="00C17775" w:rsidRPr="006B1936">
          <w:rPr>
            <w:rStyle w:val="Hyperlink"/>
            <w:b/>
          </w:rPr>
          <w:t> </w:t>
        </w:r>
        <w:r w:rsidR="00730F6A" w:rsidRPr="006B1936">
          <w:rPr>
            <w:rStyle w:val="Hyperlink"/>
            <w:b/>
          </w:rPr>
          <w:t>for</w:t>
        </w:r>
        <w:r w:rsidR="00C17775" w:rsidRPr="006B1936">
          <w:rPr>
            <w:rStyle w:val="Hyperlink"/>
            <w:b/>
          </w:rPr>
          <w:t> </w:t>
        </w:r>
        <w:r w:rsidR="00730F6A" w:rsidRPr="006B1936">
          <w:rPr>
            <w:rStyle w:val="Hyperlink"/>
            <w:b/>
          </w:rPr>
          <w:t>time in</w:t>
        </w:r>
        <w:r w:rsidR="0050078A" w:rsidRPr="006B1936">
          <w:rPr>
            <w:rStyle w:val="Hyperlink"/>
            <w:b/>
          </w:rPr>
          <w:t> </w:t>
        </w:r>
        <w:r w:rsidR="00730F6A" w:rsidRPr="006B1936">
          <w:rPr>
            <w:rStyle w:val="Hyperlink"/>
            <w:b/>
          </w:rPr>
          <w:t>custody</w:t>
        </w:r>
        <w:r w:rsidR="00730F6A" w:rsidRPr="006B1936">
          <w:rPr>
            <w:webHidden/>
          </w:rPr>
          <w:tab/>
        </w:r>
        <w:r w:rsidR="00730F6A" w:rsidRPr="006B1936">
          <w:rPr>
            <w:webHidden/>
          </w:rPr>
          <w:fldChar w:fldCharType="begin"/>
        </w:r>
        <w:r w:rsidR="00730F6A" w:rsidRPr="006B1936">
          <w:rPr>
            <w:webHidden/>
          </w:rPr>
          <w:instrText xml:space="preserve"> PAGEREF _Toc22280910 \h </w:instrText>
        </w:r>
        <w:r w:rsidR="00730F6A" w:rsidRPr="006B1936">
          <w:rPr>
            <w:webHidden/>
          </w:rPr>
        </w:r>
        <w:r w:rsidR="00730F6A" w:rsidRPr="006B1936">
          <w:rPr>
            <w:webHidden/>
          </w:rPr>
          <w:fldChar w:fldCharType="separate"/>
        </w:r>
        <w:r w:rsidR="00022664">
          <w:rPr>
            <w:webHidden/>
          </w:rPr>
          <w:t>156</w:t>
        </w:r>
        <w:r w:rsidR="00730F6A" w:rsidRPr="006B1936">
          <w:rPr>
            <w:webHidden/>
          </w:rPr>
          <w:fldChar w:fldCharType="end"/>
        </w:r>
      </w:hyperlink>
    </w:p>
    <w:p w14:paraId="28573C8D" w14:textId="197ABFA9" w:rsidR="001425B6" w:rsidRPr="004A3983" w:rsidRDefault="00D7614A" w:rsidP="00F03C93">
      <w:pPr>
        <w:spacing w:after="160"/>
        <w:ind w:right="260"/>
        <w:sectPr w:rsidR="001425B6" w:rsidRPr="004A3983" w:rsidSect="00833E8C">
          <w:headerReference w:type="even" r:id="rId20"/>
          <w:headerReference w:type="default" r:id="rId21"/>
          <w:footerReference w:type="even" r:id="rId22"/>
          <w:headerReference w:type="first" r:id="rId23"/>
          <w:footerReference w:type="first" r:id="rId24"/>
          <w:pgSz w:w="11906" w:h="16838"/>
          <w:pgMar w:top="720" w:right="1276" w:bottom="1418" w:left="1276" w:header="709" w:footer="567" w:gutter="0"/>
          <w:cols w:space="708"/>
          <w:docGrid w:linePitch="360"/>
        </w:sectPr>
      </w:pPr>
      <w:r w:rsidRPr="006B1936">
        <w:fldChar w:fldCharType="end"/>
      </w:r>
    </w:p>
    <w:p w14:paraId="35BAB262" w14:textId="615718AF" w:rsidR="007F5AC4" w:rsidRPr="00D607C7" w:rsidRDefault="006E2D82" w:rsidP="00D607C7">
      <w:pPr>
        <w:pStyle w:val="Heading1nonumber"/>
        <w:framePr w:wrap="around"/>
      </w:pPr>
      <w:bookmarkStart w:id="6" w:name="_Toc513734355"/>
      <w:bookmarkStart w:id="7" w:name="_Toc520453445"/>
      <w:bookmarkStart w:id="8" w:name="_Toc520464663"/>
      <w:bookmarkStart w:id="9" w:name="_Toc520464832"/>
      <w:bookmarkStart w:id="10" w:name="_Toc522263701"/>
      <w:bookmarkStart w:id="11" w:name="_Toc522263975"/>
      <w:bookmarkStart w:id="12" w:name="_Ref9250433"/>
      <w:bookmarkStart w:id="13" w:name="_Ref9258907"/>
      <w:bookmarkStart w:id="14" w:name="_Toc22627721"/>
      <w:r w:rsidRPr="00D607C7">
        <w:lastRenderedPageBreak/>
        <w:t>FOREWORD BY</w:t>
      </w:r>
      <w:r w:rsidR="00B82381">
        <w:t> </w:t>
      </w:r>
      <w:r w:rsidRPr="00D607C7">
        <w:t>THE CHIEF COMMISSIONER</w:t>
      </w:r>
      <w:bookmarkEnd w:id="6"/>
      <w:bookmarkEnd w:id="7"/>
      <w:bookmarkEnd w:id="8"/>
      <w:bookmarkEnd w:id="9"/>
      <w:bookmarkEnd w:id="10"/>
      <w:bookmarkEnd w:id="11"/>
      <w:bookmarkEnd w:id="12"/>
      <w:bookmarkEnd w:id="13"/>
      <w:bookmarkEnd w:id="14"/>
    </w:p>
    <w:p w14:paraId="7C8D2F0C" w14:textId="228113C7" w:rsidR="00A91F0B" w:rsidRPr="004A3983" w:rsidRDefault="007F5AC4" w:rsidP="00F03C93">
      <w:pPr>
        <w:spacing w:after="160"/>
        <w:ind w:right="260"/>
      </w:pPr>
      <w:r w:rsidRPr="004A3983">
        <w:br w:type="page"/>
      </w:r>
    </w:p>
    <w:p w14:paraId="431275F8" w14:textId="0021D718" w:rsidR="00DE0AA8" w:rsidRPr="004A3983" w:rsidRDefault="00DE0AA8" w:rsidP="00DE0AA8">
      <w:pPr>
        <w:spacing w:after="160"/>
        <w:ind w:right="260"/>
        <w:rPr>
          <w:rFonts w:ascii="Gotham Book" w:hAnsi="Gotham Book"/>
        </w:rPr>
      </w:pPr>
      <w:r w:rsidRPr="004A3983">
        <w:rPr>
          <w:rFonts w:ascii="Gotham Book" w:hAnsi="Gotham Book"/>
        </w:rPr>
        <w:lastRenderedPageBreak/>
        <w:t xml:space="preserve">In 2001, with the commencement of </w:t>
      </w:r>
      <w:r w:rsidR="007F50A7" w:rsidRPr="004A3983">
        <w:rPr>
          <w:rFonts w:ascii="Gotham Book" w:hAnsi="Gotham Book"/>
        </w:rPr>
        <w:t xml:space="preserve">the </w:t>
      </w:r>
      <w:r w:rsidRPr="004A3983">
        <w:rPr>
          <w:rFonts w:ascii="Gotham Book" w:hAnsi="Gotham Book"/>
          <w:i/>
        </w:rPr>
        <w:t>Child Protection (Offenders Registration) Act 2000</w:t>
      </w:r>
      <w:r w:rsidRPr="004A3983">
        <w:rPr>
          <w:rFonts w:ascii="Gotham Book" w:hAnsi="Gotham Book"/>
        </w:rPr>
        <w:t xml:space="preserve"> (NSW) (CPOR Act), New South Wales became the first jurisdiction in Australia to introduce a mandatory registration scheme for persons convicted of sexual offences against children.</w:t>
      </w:r>
    </w:p>
    <w:p w14:paraId="3644921F" w14:textId="77777777" w:rsidR="00DE0AA8" w:rsidRPr="004A3983" w:rsidRDefault="00DE0AA8" w:rsidP="00233D69">
      <w:pPr>
        <w:pStyle w:val="ListNumber"/>
        <w:numPr>
          <w:ilvl w:val="0"/>
          <w:numId w:val="0"/>
        </w:numPr>
      </w:pPr>
      <w:r w:rsidRPr="004A3983">
        <w:t xml:space="preserve">The NSW Commissioner of Police reports that the Child Protection Register has been ‘a highly successful initiative to protect children from serious harm and monitor registrable persons.’ The Register is not merely a list of names; it is a police database containing a wealth of personal information about each ‘registrable person’. It assists the NSW Police Force to investigate offences against children and, through monitoring, to intervene to prevent risks to other children. </w:t>
      </w:r>
    </w:p>
    <w:p w14:paraId="7FA67FBB" w14:textId="77777777" w:rsidR="00DE0AA8" w:rsidRPr="004A3983" w:rsidRDefault="00DE0AA8" w:rsidP="00DE0AA8">
      <w:pPr>
        <w:spacing w:after="160"/>
        <w:ind w:right="260"/>
        <w:rPr>
          <w:rFonts w:ascii="Gotham Book" w:hAnsi="Gotham Book"/>
        </w:rPr>
      </w:pPr>
      <w:r w:rsidRPr="004A3983">
        <w:rPr>
          <w:rFonts w:ascii="Gotham Book" w:hAnsi="Gotham Book"/>
        </w:rPr>
        <w:t xml:space="preserve">In the 18 years since the Register was introduced, our understanding as a society of the crime of child sexual abuse has developed considerably, in particular as a result of public inquiries such as the Commonwealth Royal Commission into Institutional Responses to Child Sexual Abuse. As our understanding of the nature and impact of these crimes has become more sophisticated, our systems for responding to allegations of such crimes, in terms of reporting, investigation and prosecution, have also evolved. </w:t>
      </w:r>
    </w:p>
    <w:p w14:paraId="317F2C49" w14:textId="77777777" w:rsidR="00DE0AA8" w:rsidRPr="004A3983" w:rsidRDefault="00DE0AA8" w:rsidP="00DE0AA8">
      <w:pPr>
        <w:spacing w:after="160"/>
        <w:ind w:right="260"/>
        <w:rPr>
          <w:rFonts w:ascii="Gotham Book" w:hAnsi="Gotham Book"/>
        </w:rPr>
      </w:pPr>
      <w:r w:rsidRPr="004A3983">
        <w:rPr>
          <w:rFonts w:ascii="Gotham Book" w:hAnsi="Gotham Book"/>
        </w:rPr>
        <w:t xml:space="preserve">As a consequence, an increasing number of people are being convicted of child sex offences. From 2001 to 2018, the number of people convicted in New South Wales of child sex offences each year more than doubled. </w:t>
      </w:r>
    </w:p>
    <w:p w14:paraId="76D2B007" w14:textId="2D8FE829" w:rsidR="00DE0AA8" w:rsidRPr="004A3983" w:rsidRDefault="00DE0AA8" w:rsidP="00DE0AA8">
      <w:pPr>
        <w:spacing w:after="160"/>
        <w:ind w:right="260"/>
        <w:rPr>
          <w:rFonts w:ascii="Gotham Book" w:hAnsi="Gotham Book"/>
        </w:rPr>
      </w:pPr>
      <w:r w:rsidRPr="004A3983">
        <w:rPr>
          <w:rFonts w:ascii="Gotham Book" w:hAnsi="Gotham Book"/>
        </w:rPr>
        <w:t>Improvements in our systems for prosecuting child sex offences therefore necessarily have a flow-on effect on the size of the Register. The Register has also</w:t>
      </w:r>
      <w:r w:rsidR="009873E7">
        <w:rPr>
          <w:rFonts w:ascii="Gotham Book" w:hAnsi="Gotham Book"/>
        </w:rPr>
        <w:t> </w:t>
      </w:r>
      <w:r w:rsidRPr="004A3983">
        <w:rPr>
          <w:rFonts w:ascii="Gotham Book" w:hAnsi="Gotham Book"/>
        </w:rPr>
        <w:t>been expanded by Parliament over time to include new groups of offenders, and new reporting requirements. In August 2019 there were 4,344 people on the Register.</w:t>
      </w:r>
    </w:p>
    <w:p w14:paraId="0BB7EFA3" w14:textId="75380D19" w:rsidR="00DE0AA8" w:rsidRPr="004A3983" w:rsidRDefault="00DE0AA8" w:rsidP="00DE0AA8">
      <w:pPr>
        <w:spacing w:after="160"/>
        <w:ind w:right="260"/>
        <w:rPr>
          <w:rFonts w:ascii="Gotham Book" w:hAnsi="Gotham Book"/>
        </w:rPr>
      </w:pPr>
      <w:r w:rsidRPr="004A3983">
        <w:rPr>
          <w:rFonts w:ascii="Gotham Book" w:hAnsi="Gotham Book"/>
        </w:rPr>
        <w:t>As the size and scope of the Register has increased over the years, so too has the burden on the NSW Police Force, and in particular, on the Child Protection Registry, the specialist unit within the State Crime Command with responsibility</w:t>
      </w:r>
      <w:r w:rsidR="009873E7">
        <w:rPr>
          <w:rFonts w:ascii="Gotham Book" w:hAnsi="Gotham Book"/>
        </w:rPr>
        <w:t xml:space="preserve"> </w:t>
      </w:r>
      <w:r w:rsidRPr="004A3983">
        <w:rPr>
          <w:rFonts w:ascii="Gotham Book" w:hAnsi="Gotham Book"/>
        </w:rPr>
        <w:t>for</w:t>
      </w:r>
      <w:r w:rsidR="009873E7">
        <w:rPr>
          <w:rFonts w:ascii="Gotham Book" w:hAnsi="Gotham Book"/>
        </w:rPr>
        <w:t> </w:t>
      </w:r>
      <w:r w:rsidRPr="004A3983">
        <w:rPr>
          <w:rFonts w:ascii="Gotham Book" w:hAnsi="Gotham Book"/>
        </w:rPr>
        <w:t xml:space="preserve">maintaining the Register.  </w:t>
      </w:r>
    </w:p>
    <w:p w14:paraId="2A70F3B1" w14:textId="5D987C85" w:rsidR="00DE0AA8" w:rsidRPr="004A3983" w:rsidRDefault="00DE0AA8" w:rsidP="00DE0AA8">
      <w:pPr>
        <w:spacing w:after="160"/>
        <w:ind w:right="260"/>
        <w:rPr>
          <w:rFonts w:ascii="Gotham Book" w:hAnsi="Gotham Book"/>
        </w:rPr>
      </w:pPr>
      <w:r w:rsidRPr="004A3983">
        <w:rPr>
          <w:rFonts w:ascii="Gotham Book" w:hAnsi="Gotham Book"/>
        </w:rPr>
        <w:t>The pressures on the Child Protection Registry have been compounded by the fact that very soon after the Register commenced, the NSW Police Force - it seems out of necessity - assumed responsibility for making decisions about which offenders the CPOR Act requires to be registered, and the length of their reporting periods. It was not Parliament’s intention that the NSW Police Force would have this role. It</w:t>
      </w:r>
      <w:r w:rsidR="009873E7">
        <w:rPr>
          <w:rFonts w:ascii="Gotham Book" w:hAnsi="Gotham Book"/>
        </w:rPr>
        <w:t> </w:t>
      </w:r>
      <w:r w:rsidRPr="004A3983">
        <w:rPr>
          <w:rFonts w:ascii="Gotham Book" w:hAnsi="Gotham Book"/>
        </w:rPr>
        <w:t>was assumed that the provisions of the CPOR Act would be so simple to apply that court staff would ‘automatically’ be able to identify when a person’s conviction and sentence qualified them as a ‘registrable person’.</w:t>
      </w:r>
    </w:p>
    <w:p w14:paraId="4A419EF9" w14:textId="77777777" w:rsidR="00DE0AA8" w:rsidRPr="004A3983" w:rsidRDefault="00DE0AA8" w:rsidP="00DE0AA8">
      <w:pPr>
        <w:spacing w:after="160"/>
        <w:ind w:right="260"/>
        <w:rPr>
          <w:rFonts w:ascii="Gotham Book" w:hAnsi="Gotham Book"/>
        </w:rPr>
      </w:pPr>
      <w:r w:rsidRPr="004A3983">
        <w:rPr>
          <w:rFonts w:ascii="Gotham Book" w:hAnsi="Gotham Book"/>
        </w:rPr>
        <w:t xml:space="preserve">Unfortunately, this assumption proved incorrect.  As a result, the Registry has faced considerable challenges in seeking to implement the Register in accordance with the statutory framework. </w:t>
      </w:r>
    </w:p>
    <w:p w14:paraId="527C8FD8" w14:textId="712DE98B" w:rsidR="00DE0AA8" w:rsidRPr="004A3983" w:rsidRDefault="00DE0AA8" w:rsidP="00DE0AA8">
      <w:pPr>
        <w:spacing w:after="160"/>
        <w:rPr>
          <w:rFonts w:ascii="Gotham Book" w:hAnsi="Gotham Book"/>
        </w:rPr>
      </w:pPr>
      <w:r w:rsidRPr="004A3983">
        <w:rPr>
          <w:rFonts w:ascii="Gotham Book" w:hAnsi="Gotham Book"/>
        </w:rPr>
        <w:t xml:space="preserve">I acknowledge the hard work and dedication of the officers working in the Child Protection Registry. It was Registry officers themselves who, in 2014, first identified that there were significant issues with the Register.  In the following months and years those officers took steps to identify, correct and prevent the errors that they could, and submitted numerous internal reports warning about systemic problems contributing to errors which lay beyond the control of their unit to address. It was </w:t>
      </w:r>
      <w:r w:rsidRPr="004A3983">
        <w:rPr>
          <w:rFonts w:ascii="Gotham Book" w:hAnsi="Gotham Book"/>
        </w:rPr>
        <w:lastRenderedPageBreak/>
        <w:t xml:space="preserve">their reports which led the NSW Police Force to initiate a review of all Register files in 2016, which, when completed two years later, revealed the extent of the errors. The officers in the Child Protection Registry are to be commended for their continued commitment to the important work of maintaining the Register in difficult circumstances. </w:t>
      </w:r>
    </w:p>
    <w:p w14:paraId="0FA7460F" w14:textId="74A25B3C" w:rsidR="00DE0AA8" w:rsidRPr="004A3983" w:rsidRDefault="00DE0AA8" w:rsidP="00DE0AA8">
      <w:pPr>
        <w:spacing w:after="160"/>
        <w:ind w:right="260"/>
        <w:rPr>
          <w:rFonts w:ascii="Gotham Book" w:hAnsi="Gotham Book"/>
        </w:rPr>
      </w:pPr>
      <w:r w:rsidRPr="004A3983">
        <w:rPr>
          <w:rFonts w:ascii="Gotham Book" w:hAnsi="Gotham Book"/>
        </w:rPr>
        <w:t xml:space="preserve">The catalyst for the </w:t>
      </w:r>
      <w:r w:rsidR="00344998" w:rsidRPr="004A3983">
        <w:rPr>
          <w:rFonts w:ascii="Gotham Book" w:hAnsi="Gotham Book"/>
        </w:rPr>
        <w:t xml:space="preserve">intervention by the </w:t>
      </w:r>
      <w:r w:rsidR="007F50A7" w:rsidRPr="004A3983">
        <w:rPr>
          <w:rFonts w:ascii="Gotham Book" w:hAnsi="Gotham Book"/>
        </w:rPr>
        <w:t xml:space="preserve">Law Enforcement Conduct </w:t>
      </w:r>
      <w:r w:rsidR="00344998" w:rsidRPr="004A3983">
        <w:rPr>
          <w:rFonts w:ascii="Gotham Book" w:hAnsi="Gotham Book"/>
        </w:rPr>
        <w:t>Commission</w:t>
      </w:r>
      <w:r w:rsidRPr="004A3983">
        <w:rPr>
          <w:rFonts w:ascii="Gotham Book" w:hAnsi="Gotham Book"/>
        </w:rPr>
        <w:t xml:space="preserve"> </w:t>
      </w:r>
      <w:r w:rsidR="00E4750E" w:rsidRPr="004A3983">
        <w:rPr>
          <w:rFonts w:ascii="Gotham Book" w:hAnsi="Gotham Book"/>
        </w:rPr>
        <w:t xml:space="preserve">(the Commission) </w:t>
      </w:r>
      <w:r w:rsidRPr="004A3983">
        <w:rPr>
          <w:rFonts w:ascii="Gotham Book" w:hAnsi="Gotham Book"/>
        </w:rPr>
        <w:t xml:space="preserve">in 2017 was a public interest disclosure made to the Commission by a person who was at the time an officer in the NSW Police Force. The benefits to the community that have flowed from that officer’s decision to make a complaint illustrate the great public value of public interest disclosures. That disclosure sparked a two-year investigation, during which the Commission and the NSW Police Force have worked together to identify and address gaps in systems and resources, to improve the implementation of a scheme that is designed to protect children from serious harm. </w:t>
      </w:r>
    </w:p>
    <w:p w14:paraId="1F377934" w14:textId="007BCD52" w:rsidR="00DE0AA8" w:rsidRPr="004A3983" w:rsidRDefault="00DE0AA8" w:rsidP="00DE0AA8">
      <w:pPr>
        <w:spacing w:after="160"/>
        <w:ind w:right="260"/>
        <w:rPr>
          <w:rFonts w:ascii="Gotham Book" w:hAnsi="Gotham Book"/>
        </w:rPr>
      </w:pPr>
      <w:r w:rsidRPr="004A3983">
        <w:rPr>
          <w:rFonts w:ascii="Gotham Book" w:hAnsi="Gotham Book"/>
        </w:rPr>
        <w:t xml:space="preserve">I thank the NSW Police Force for the collaborative approach it has taken during this investigation, acknowledging issues, providing detailed operational information, and implementing a number of our recommendations and suggestions. While some issues remain outstanding, the NSW Police Force has made substantial changes which have significantly improved its administration of the Register. As a result, the number of errors in the Register has been dramatically reduced, and the 44 per cent error rate uncovered by the NSW Police Force CPR case review is now a historical matter.  </w:t>
      </w:r>
    </w:p>
    <w:p w14:paraId="2E318BDF" w14:textId="1FCC3FAE" w:rsidR="00DE0AA8" w:rsidRPr="004A3983" w:rsidRDefault="00DE0AA8" w:rsidP="00DE0AA8">
      <w:pPr>
        <w:spacing w:after="160"/>
        <w:rPr>
          <w:rFonts w:ascii="Gotham Book" w:hAnsi="Gotham Book"/>
        </w:rPr>
      </w:pPr>
      <w:r w:rsidRPr="004A3983">
        <w:rPr>
          <w:rFonts w:ascii="Gotham Book" w:hAnsi="Gotham Book"/>
        </w:rPr>
        <w:t>However, the NSW Police Force and the Commission agree that the risk of errors in the Register of the type documented in this report has not been eliminated, and cannot be eliminated until the legislative framework for the Register is simplified. The</w:t>
      </w:r>
      <w:r w:rsidR="00E12C7F">
        <w:rPr>
          <w:rFonts w:ascii="Gotham Book" w:hAnsi="Gotham Book"/>
        </w:rPr>
        <w:t> </w:t>
      </w:r>
      <w:r w:rsidRPr="004A3983">
        <w:rPr>
          <w:rFonts w:ascii="Gotham Book" w:hAnsi="Gotham Book"/>
        </w:rPr>
        <w:t>complexity and ambiguity of key provisions in the CPOR Act make it inevitable</w:t>
      </w:r>
      <w:r w:rsidR="003E389D" w:rsidRPr="004A3983">
        <w:rPr>
          <w:rFonts w:ascii="Gotham Book" w:hAnsi="Gotham Book"/>
        </w:rPr>
        <w:t xml:space="preserve"> that errors will be made in</w:t>
      </w:r>
      <w:r w:rsidRPr="004A3983">
        <w:rPr>
          <w:rFonts w:ascii="Gotham Book" w:hAnsi="Gotham Book"/>
        </w:rPr>
        <w:t xml:space="preserve"> implementation. The Act is a legislative minefield, a fact laid bare by the analysis in Appendix 2 of this report.</w:t>
      </w:r>
    </w:p>
    <w:p w14:paraId="3DCFA488" w14:textId="7DEB74A2" w:rsidR="00DE0AA8" w:rsidRPr="004A3983" w:rsidRDefault="00DE0AA8" w:rsidP="00DE0AA8">
      <w:pPr>
        <w:spacing w:after="160"/>
        <w:rPr>
          <w:rFonts w:ascii="Gotham Book" w:hAnsi="Gotham Book"/>
        </w:rPr>
      </w:pPr>
      <w:bookmarkStart w:id="15" w:name="_GoBack"/>
      <w:bookmarkEnd w:id="15"/>
      <w:r w:rsidRPr="004A3983">
        <w:rPr>
          <w:rFonts w:ascii="Gotham Book" w:hAnsi="Gotham Book"/>
        </w:rPr>
        <w:t>Fol</w:t>
      </w:r>
      <w:r w:rsidR="00A032F8" w:rsidRPr="004A3983">
        <w:rPr>
          <w:rFonts w:ascii="Gotham Book" w:hAnsi="Gotham Book"/>
        </w:rPr>
        <w:t xml:space="preserve">lowing the Royal Commission, </w:t>
      </w:r>
      <w:r w:rsidRPr="004A3983">
        <w:rPr>
          <w:rFonts w:ascii="Gotham Book" w:hAnsi="Gotham Book"/>
        </w:rPr>
        <w:t xml:space="preserve">Parliament has strengthened the framework of laws that protect children in New South Wales, including by introducing a new offence of failing to report child abuse and new grooming offences. These and other amendments will likely increase the number of convictions for registrable offences in the longer term. It is therefore both appropriate and necessary that attention is now turned to urgently fixing the problems with the statutory framework of the Child Protection Register. The </w:t>
      </w:r>
      <w:r w:rsidR="00FE28DB" w:rsidRPr="004A3983">
        <w:rPr>
          <w:rFonts w:ascii="Gotham Book" w:hAnsi="Gotham Book"/>
        </w:rPr>
        <w:t xml:space="preserve">Commission’s </w:t>
      </w:r>
      <w:r w:rsidRPr="004A3983">
        <w:rPr>
          <w:rFonts w:ascii="Gotham Book" w:hAnsi="Gotham Book"/>
        </w:rPr>
        <w:t xml:space="preserve">view, </w:t>
      </w:r>
      <w:r w:rsidR="00687D40" w:rsidRPr="004A3983">
        <w:rPr>
          <w:rFonts w:ascii="Gotham Book" w:hAnsi="Gotham Book"/>
        </w:rPr>
        <w:t xml:space="preserve">which is </w:t>
      </w:r>
      <w:r w:rsidRPr="004A3983">
        <w:rPr>
          <w:rFonts w:ascii="Gotham Book" w:hAnsi="Gotham Book"/>
        </w:rPr>
        <w:t>supported by the NSW Police Force, is that a simplified st</w:t>
      </w:r>
      <w:r w:rsidR="00FE28DB" w:rsidRPr="004A3983">
        <w:rPr>
          <w:rFonts w:ascii="Gotham Book" w:hAnsi="Gotham Book"/>
        </w:rPr>
        <w:t>atutory framework, and</w:t>
      </w:r>
      <w:r w:rsidR="000B2A13">
        <w:rPr>
          <w:rFonts w:ascii="Gotham Book" w:hAnsi="Gotham Book"/>
        </w:rPr>
        <w:t xml:space="preserve"> the introduction of an</w:t>
      </w:r>
      <w:r w:rsidR="00052F3A" w:rsidRPr="004A3983">
        <w:rPr>
          <w:rFonts w:ascii="Gotham Book" w:hAnsi="Gotham Book"/>
        </w:rPr>
        <w:t xml:space="preserve"> </w:t>
      </w:r>
      <w:r w:rsidRPr="004A3983">
        <w:rPr>
          <w:rFonts w:ascii="Gotham Book" w:hAnsi="Gotham Book"/>
        </w:rPr>
        <w:t xml:space="preserve">independent compliance audit mechanism, will </w:t>
      </w:r>
      <w:r w:rsidR="0005120A" w:rsidRPr="004A3983">
        <w:rPr>
          <w:rFonts w:ascii="Gotham Book" w:hAnsi="Gotham Book"/>
        </w:rPr>
        <w:t>h</w:t>
      </w:r>
      <w:r w:rsidR="009207D6" w:rsidRPr="004A3983">
        <w:rPr>
          <w:rFonts w:ascii="Gotham Book" w:hAnsi="Gotham Book"/>
        </w:rPr>
        <w:t xml:space="preserve">elp </w:t>
      </w:r>
      <w:r w:rsidRPr="004A3983">
        <w:rPr>
          <w:rFonts w:ascii="Gotham Book" w:hAnsi="Gotham Book"/>
        </w:rPr>
        <w:t>ensure the Child Protection Register is a robust and accurate tool</w:t>
      </w:r>
      <w:r w:rsidR="00FE28DB" w:rsidRPr="004A3983">
        <w:rPr>
          <w:rFonts w:ascii="Gotham Book" w:hAnsi="Gotham Book"/>
        </w:rPr>
        <w:t xml:space="preserve"> </w:t>
      </w:r>
      <w:r w:rsidR="00046C6C" w:rsidRPr="004A3983">
        <w:rPr>
          <w:rFonts w:ascii="Gotham Book" w:hAnsi="Gotham Book"/>
        </w:rPr>
        <w:t>which assists</w:t>
      </w:r>
      <w:r w:rsidR="008C3022" w:rsidRPr="004A3983">
        <w:rPr>
          <w:rFonts w:ascii="Gotham Book" w:hAnsi="Gotham Book"/>
        </w:rPr>
        <w:t xml:space="preserve"> police to </w:t>
      </w:r>
      <w:r w:rsidR="00046C6C" w:rsidRPr="004A3983">
        <w:rPr>
          <w:rFonts w:ascii="Gotham Book" w:hAnsi="Gotham Book"/>
        </w:rPr>
        <w:t xml:space="preserve">protect </w:t>
      </w:r>
      <w:r w:rsidR="008C3022" w:rsidRPr="004A3983">
        <w:rPr>
          <w:rFonts w:ascii="Gotham Book" w:hAnsi="Gotham Book"/>
        </w:rPr>
        <w:t>children from harm</w:t>
      </w:r>
      <w:r w:rsidRPr="004A3983">
        <w:rPr>
          <w:rFonts w:ascii="Gotham Book" w:hAnsi="Gotham Book"/>
        </w:rPr>
        <w:t xml:space="preserve">.   </w:t>
      </w:r>
    </w:p>
    <w:p w14:paraId="2B84B44B" w14:textId="27A3871D" w:rsidR="00A91F0B" w:rsidRPr="004A3983" w:rsidRDefault="00A91F0B" w:rsidP="00F03C93">
      <w:pPr>
        <w:spacing w:after="160"/>
        <w:ind w:right="260"/>
      </w:pPr>
    </w:p>
    <w:p w14:paraId="323ED422" w14:textId="0CCB50D7" w:rsidR="00363244" w:rsidRPr="004A3983" w:rsidRDefault="00363244" w:rsidP="00F03C93">
      <w:pPr>
        <w:pStyle w:val="PersonsNames"/>
        <w:spacing w:after="160" w:line="259" w:lineRule="auto"/>
        <w:ind w:right="260"/>
      </w:pPr>
      <w:r w:rsidRPr="004A3983">
        <w:t>The Hon M F Adams QC</w:t>
      </w:r>
    </w:p>
    <w:p w14:paraId="2F5CFA17" w14:textId="1407DEE8" w:rsidR="00C317EA" w:rsidRPr="004A3983" w:rsidRDefault="00363244" w:rsidP="00F03C93">
      <w:pPr>
        <w:spacing w:after="160"/>
        <w:ind w:right="260"/>
      </w:pPr>
      <w:r w:rsidRPr="004A3983">
        <w:t>Chief Commissione</w:t>
      </w:r>
      <w:bookmarkStart w:id="16" w:name="_Toc513734358"/>
      <w:bookmarkStart w:id="17" w:name="_Toc520453448"/>
      <w:bookmarkStart w:id="18" w:name="_Toc520464666"/>
      <w:bookmarkStart w:id="19" w:name="_Toc520464835"/>
      <w:r w:rsidR="00DB6AA2" w:rsidRPr="004A3983">
        <w:t>r</w:t>
      </w:r>
    </w:p>
    <w:p w14:paraId="317088AA" w14:textId="6322A8CA" w:rsidR="00C317EA" w:rsidRPr="004A3983" w:rsidRDefault="00C317EA" w:rsidP="00F03C93">
      <w:pPr>
        <w:spacing w:after="160"/>
        <w:ind w:right="260"/>
        <w:sectPr w:rsidR="00C317EA" w:rsidRPr="004A3983" w:rsidSect="00CD3866">
          <w:headerReference w:type="even" r:id="rId25"/>
          <w:headerReference w:type="default" r:id="rId26"/>
          <w:headerReference w:type="first" r:id="rId27"/>
          <w:footerReference w:type="first" r:id="rId28"/>
          <w:pgSz w:w="11906" w:h="16838"/>
          <w:pgMar w:top="720" w:right="1276" w:bottom="1418" w:left="1276" w:header="709" w:footer="567" w:gutter="0"/>
          <w:cols w:space="708"/>
          <w:titlePg/>
          <w:docGrid w:linePitch="360"/>
        </w:sectPr>
      </w:pPr>
    </w:p>
    <w:p w14:paraId="45379D1A" w14:textId="516F51A9" w:rsidR="00C317EA" w:rsidRPr="00D607C7" w:rsidRDefault="006E2D82" w:rsidP="00D607C7">
      <w:pPr>
        <w:pStyle w:val="Heading1nonumber"/>
        <w:framePr w:wrap="around"/>
      </w:pPr>
      <w:bookmarkStart w:id="20" w:name="_Toc522263704"/>
      <w:bookmarkStart w:id="21" w:name="_Toc522263978"/>
      <w:bookmarkStart w:id="22" w:name="_Toc22627722"/>
      <w:r w:rsidRPr="00D607C7">
        <w:lastRenderedPageBreak/>
        <w:t>EXECUTIVE SUMMARY</w:t>
      </w:r>
      <w:bookmarkEnd w:id="20"/>
      <w:bookmarkEnd w:id="21"/>
      <w:bookmarkEnd w:id="22"/>
    </w:p>
    <w:p w14:paraId="0192C2E5" w14:textId="68277053" w:rsidR="00C317EA" w:rsidRPr="004A3983" w:rsidRDefault="00C317EA" w:rsidP="00F03C93">
      <w:pPr>
        <w:spacing w:after="160"/>
        <w:ind w:right="260"/>
      </w:pPr>
      <w:r w:rsidRPr="004A3983">
        <w:br w:type="page"/>
      </w:r>
    </w:p>
    <w:p w14:paraId="28DA6361" w14:textId="6D00B019" w:rsidR="00DB395A" w:rsidRPr="004A3983" w:rsidRDefault="00DB395A" w:rsidP="00E967E1">
      <w:pPr>
        <w:spacing w:after="160"/>
        <w:rPr>
          <w:rFonts w:ascii="Gotham Book" w:hAnsi="Gotham Book"/>
        </w:rPr>
      </w:pPr>
      <w:bookmarkStart w:id="23" w:name="_Toc9428325"/>
      <w:bookmarkStart w:id="24" w:name="_Toc12020277"/>
      <w:bookmarkStart w:id="25" w:name="_Toc14790442"/>
      <w:bookmarkEnd w:id="16"/>
      <w:bookmarkEnd w:id="17"/>
      <w:bookmarkEnd w:id="18"/>
      <w:bookmarkEnd w:id="19"/>
      <w:bookmarkEnd w:id="23"/>
      <w:bookmarkEnd w:id="24"/>
      <w:bookmarkEnd w:id="25"/>
      <w:r w:rsidRPr="004A3983">
        <w:rPr>
          <w:rFonts w:ascii="Gotham Book" w:hAnsi="Gotham Book"/>
        </w:rPr>
        <w:lastRenderedPageBreak/>
        <w:t xml:space="preserve">The NSW Police Force established the Child Protection Register (the Register) in 2001, following the passage of the </w:t>
      </w:r>
      <w:r w:rsidRPr="004A3983">
        <w:rPr>
          <w:rFonts w:ascii="Gotham Book" w:hAnsi="Gotham Book"/>
          <w:i/>
        </w:rPr>
        <w:t xml:space="preserve">Child Protection (Offenders Registration) Act 2000 </w:t>
      </w:r>
      <w:r w:rsidRPr="004A3983">
        <w:rPr>
          <w:rFonts w:ascii="Gotham Book" w:hAnsi="Gotham Book"/>
        </w:rPr>
        <w:t xml:space="preserve">(NSW) (CPOR Act). The CPOR Act requires offenders who have been convicted </w:t>
      </w:r>
      <w:r w:rsidR="00240484" w:rsidRPr="004A3983">
        <w:rPr>
          <w:rFonts w:ascii="Gotham Book" w:hAnsi="Gotham Book"/>
        </w:rPr>
        <w:t>and sentenced for</w:t>
      </w:r>
      <w:r w:rsidRPr="004A3983">
        <w:rPr>
          <w:rFonts w:ascii="Gotham Book" w:hAnsi="Gotham Book"/>
        </w:rPr>
        <w:t xml:space="preserve"> certain offences involving children or child</w:t>
      </w:r>
      <w:r w:rsidR="00240484" w:rsidRPr="004A3983">
        <w:rPr>
          <w:rFonts w:ascii="Gotham Book" w:hAnsi="Gotham Book"/>
        </w:rPr>
        <w:t xml:space="preserve"> abuse material to register with police when they re-enter the community. They must then </w:t>
      </w:r>
      <w:r w:rsidRPr="004A3983">
        <w:rPr>
          <w:rFonts w:ascii="Gotham Book" w:hAnsi="Gotham Book"/>
        </w:rPr>
        <w:t xml:space="preserve">provide reports to police of their personal details for a number of years. The purpose of the Register is to protect children from serious harm and ensure the early detection of offences by repeat child sex offenders who are in the community. The Register is </w:t>
      </w:r>
      <w:r w:rsidR="00240484" w:rsidRPr="004A3983">
        <w:rPr>
          <w:rFonts w:ascii="Gotham Book" w:hAnsi="Gotham Book"/>
        </w:rPr>
        <w:t xml:space="preserve">a database that </w:t>
      </w:r>
      <w:r w:rsidRPr="004A3983">
        <w:rPr>
          <w:rFonts w:ascii="Gotham Book" w:hAnsi="Gotham Book"/>
        </w:rPr>
        <w:t>assist</w:t>
      </w:r>
      <w:r w:rsidR="00240484" w:rsidRPr="004A3983">
        <w:rPr>
          <w:rFonts w:ascii="Gotham Book" w:hAnsi="Gotham Book"/>
        </w:rPr>
        <w:t>s</w:t>
      </w:r>
      <w:r w:rsidRPr="004A3983">
        <w:rPr>
          <w:rFonts w:ascii="Gotham Book" w:hAnsi="Gotham Book"/>
        </w:rPr>
        <w:t xml:space="preserve"> police to monitor and investigate these offenders. </w:t>
      </w:r>
    </w:p>
    <w:p w14:paraId="5D23525C" w14:textId="4E70A6BE" w:rsidR="00DB395A" w:rsidRPr="004A3983" w:rsidRDefault="00DB395A" w:rsidP="00E967E1">
      <w:pPr>
        <w:spacing w:after="160"/>
        <w:ind w:right="-2"/>
        <w:rPr>
          <w:rFonts w:ascii="Gotham Book" w:hAnsi="Gotham Book"/>
        </w:rPr>
      </w:pPr>
      <w:r w:rsidRPr="004A3983">
        <w:rPr>
          <w:rFonts w:ascii="Gotham Book" w:hAnsi="Gotham Book"/>
        </w:rPr>
        <w:t>The Commission’s investigation has established that there have been problems with the Re</w:t>
      </w:r>
      <w:r w:rsidR="00EF54F6" w:rsidRPr="004A3983">
        <w:rPr>
          <w:rFonts w:ascii="Gotham Book" w:hAnsi="Gotham Book"/>
        </w:rPr>
        <w:t>gister for 17 years. Significant</w:t>
      </w:r>
      <w:r w:rsidRPr="004A3983">
        <w:rPr>
          <w:rFonts w:ascii="Gotham Book" w:hAnsi="Gotham Book"/>
        </w:rPr>
        <w:t xml:space="preserve"> errors in the application of the CPOR Act started occurring as early as 2002. These errors have included incorrect decisions by th</w:t>
      </w:r>
      <w:r w:rsidR="00EF54F6" w:rsidRPr="004A3983">
        <w:rPr>
          <w:rFonts w:ascii="Gotham Book" w:hAnsi="Gotham Book"/>
        </w:rPr>
        <w:t xml:space="preserve">e NSW Police Force about which </w:t>
      </w:r>
      <w:r w:rsidRPr="004A3983">
        <w:rPr>
          <w:rFonts w:ascii="Gotham Book" w:hAnsi="Gotham Book"/>
        </w:rPr>
        <w:t xml:space="preserve">persons should be included on the Register, and incorrect decisions about how long persons were legally required to make reports of their personal information to police under the CPOR Act (their ‘reporting period’). </w:t>
      </w:r>
    </w:p>
    <w:p w14:paraId="2F1B7042" w14:textId="37AEE959" w:rsidR="00DB395A" w:rsidRPr="004A3983" w:rsidRDefault="00DB395A" w:rsidP="00E967E1">
      <w:pPr>
        <w:spacing w:after="160"/>
        <w:rPr>
          <w:rFonts w:ascii="Gotham Book" w:hAnsi="Gotham Book"/>
        </w:rPr>
      </w:pPr>
      <w:r w:rsidRPr="004A3983">
        <w:rPr>
          <w:rFonts w:ascii="Gotham Book" w:hAnsi="Gotham Book"/>
        </w:rPr>
        <w:t xml:space="preserve">Some of these errors have resulted in child sex offenders being in the community without being monitored by the NSW Police Force as required by the CPOR Act. The Commission reviewed one case in which a person reoffended while unmonitored. Other errors have </w:t>
      </w:r>
      <w:r w:rsidR="00252F8B" w:rsidRPr="004A3983">
        <w:rPr>
          <w:rFonts w:ascii="Gotham Book" w:hAnsi="Gotham Book"/>
        </w:rPr>
        <w:t>caused</w:t>
      </w:r>
      <w:r w:rsidRPr="004A3983">
        <w:rPr>
          <w:rFonts w:ascii="Gotham Book" w:hAnsi="Gotham Book"/>
        </w:rPr>
        <w:t xml:space="preserve"> the NSW Police Force </w:t>
      </w:r>
      <w:r w:rsidR="00252F8B" w:rsidRPr="004A3983">
        <w:rPr>
          <w:rFonts w:ascii="Gotham Book" w:hAnsi="Gotham Book"/>
        </w:rPr>
        <w:t>to unlawfully require people</w:t>
      </w:r>
      <w:r w:rsidRPr="004A3983">
        <w:rPr>
          <w:rFonts w:ascii="Gotham Book" w:hAnsi="Gotham Book"/>
        </w:rPr>
        <w:t xml:space="preserve"> to report their personal information to police for a number of years. </w:t>
      </w:r>
      <w:r w:rsidR="00252F8B" w:rsidRPr="004A3983">
        <w:rPr>
          <w:rFonts w:ascii="Gotham Book" w:hAnsi="Gotham Book"/>
        </w:rPr>
        <w:t xml:space="preserve">As a result, people have been wrongly convicted, and even imprisoned, </w:t>
      </w:r>
      <w:r w:rsidRPr="004A3983">
        <w:rPr>
          <w:rFonts w:ascii="Gotham Book" w:hAnsi="Gotham Book"/>
        </w:rPr>
        <w:t xml:space="preserve">for </w:t>
      </w:r>
      <w:r w:rsidR="00792A09" w:rsidRPr="004A3983">
        <w:rPr>
          <w:rFonts w:ascii="Gotham Book" w:hAnsi="Gotham Book"/>
        </w:rPr>
        <w:t>failing to comply with</w:t>
      </w:r>
      <w:r w:rsidRPr="004A3983">
        <w:rPr>
          <w:rFonts w:ascii="Gotham Book" w:hAnsi="Gotham Book"/>
        </w:rPr>
        <w:t xml:space="preserve"> CPOR Act reporting obligations, when in fact those obligations did not apply to them</w:t>
      </w:r>
      <w:r w:rsidR="00BE5670" w:rsidRPr="004A3983">
        <w:rPr>
          <w:rFonts w:ascii="Gotham Book" w:hAnsi="Gotham Book"/>
        </w:rPr>
        <w:t xml:space="preserve"> at the relevant time</w:t>
      </w:r>
      <w:r w:rsidRPr="004A3983">
        <w:rPr>
          <w:rFonts w:ascii="Gotham Book" w:hAnsi="Gotham Book"/>
        </w:rPr>
        <w:t xml:space="preserve">. Two persons were unlawfully imprisoned for more than a year in total. </w:t>
      </w:r>
    </w:p>
    <w:p w14:paraId="4AAE6FD7" w14:textId="238D5700" w:rsidR="00DB395A" w:rsidRPr="004A3983" w:rsidRDefault="00DB395A" w:rsidP="00E967E1">
      <w:pPr>
        <w:spacing w:after="160"/>
        <w:ind w:right="-2"/>
        <w:rPr>
          <w:rFonts w:ascii="Gotham Book" w:hAnsi="Gotham Book"/>
        </w:rPr>
      </w:pPr>
      <w:r w:rsidRPr="004A3983">
        <w:rPr>
          <w:rFonts w:ascii="Gotham Book" w:hAnsi="Gotham Book"/>
        </w:rPr>
        <w:t>The NSW Police Force has been aware for a number of years that there were significant issues with the Register</w:t>
      </w:r>
      <w:r w:rsidR="007F50A7" w:rsidRPr="004A3983">
        <w:rPr>
          <w:rFonts w:ascii="Gotham Book" w:hAnsi="Gotham Book"/>
        </w:rPr>
        <w:t>. In 2014 the NSW Police Force</w:t>
      </w:r>
      <w:r w:rsidRPr="004A3983">
        <w:rPr>
          <w:rFonts w:ascii="Gotham Book" w:hAnsi="Gotham Book"/>
        </w:rPr>
        <w:t xml:space="preserve"> Child Protection Registry (the Registry), the specialist unit in the State Crime Command responsible for maintaining the </w:t>
      </w:r>
      <w:r w:rsidRPr="004A3983">
        <w:rPr>
          <w:rFonts w:ascii="Gotham Book" w:eastAsia="Source Sans Pro Light" w:hAnsi="Gotham Book" w:cs="ArialMT"/>
        </w:rPr>
        <w:t xml:space="preserve">Register, started filing internal reports warning of systemic issues causing inaccuracies in the Register. Multiple reports from the Registry prompted the NSW Police Force to review </w:t>
      </w:r>
      <w:r w:rsidR="00240484" w:rsidRPr="004A3983">
        <w:rPr>
          <w:rFonts w:ascii="Gotham Book" w:eastAsia="Source Sans Pro Light" w:hAnsi="Gotham Book" w:cs="ArialMT"/>
        </w:rPr>
        <w:t>5,749</w:t>
      </w:r>
      <w:r w:rsidRPr="004A3983">
        <w:rPr>
          <w:rFonts w:ascii="Gotham Book" w:eastAsia="Source Sans Pro Light" w:hAnsi="Gotham Book" w:cs="ArialMT"/>
        </w:rPr>
        <w:t xml:space="preserve"> Register case files.</w:t>
      </w:r>
      <w:r w:rsidRPr="004A3983">
        <w:t xml:space="preserve"> </w:t>
      </w:r>
      <w:r w:rsidRPr="004A3983">
        <w:rPr>
          <w:rFonts w:ascii="Gotham Book" w:hAnsi="Gotham Book"/>
        </w:rPr>
        <w:t>This review was started in 2016 and took two years to complete. In October 2018 it concluded that 44 per cent (2,5</w:t>
      </w:r>
      <w:r w:rsidR="0030381E" w:rsidRPr="004A3983">
        <w:rPr>
          <w:rFonts w:ascii="Gotham Book" w:hAnsi="Gotham Book"/>
        </w:rPr>
        <w:t xml:space="preserve">57) of </w:t>
      </w:r>
      <w:r w:rsidR="00846189" w:rsidRPr="004A3983">
        <w:rPr>
          <w:rFonts w:ascii="Gotham Book" w:hAnsi="Gotham Book"/>
        </w:rPr>
        <w:t xml:space="preserve">those </w:t>
      </w:r>
      <w:r w:rsidR="0030381E" w:rsidRPr="004A3983">
        <w:rPr>
          <w:rFonts w:ascii="Gotham Book" w:hAnsi="Gotham Book"/>
        </w:rPr>
        <w:t>Register case files</w:t>
      </w:r>
      <w:r w:rsidRPr="004A3983">
        <w:rPr>
          <w:rFonts w:ascii="Gotham Book" w:hAnsi="Gotham Book"/>
        </w:rPr>
        <w:t xml:space="preserve"> had contained errors.  </w:t>
      </w:r>
    </w:p>
    <w:p w14:paraId="2105591C" w14:textId="0D5746B2" w:rsidR="00DB395A" w:rsidRPr="004A3983" w:rsidRDefault="00DB395A" w:rsidP="00E967E1">
      <w:pPr>
        <w:spacing w:after="160"/>
        <w:rPr>
          <w:rFonts w:ascii="Gotham Book" w:hAnsi="Gotham Book"/>
        </w:rPr>
      </w:pPr>
      <w:r w:rsidRPr="004A3983">
        <w:rPr>
          <w:rFonts w:ascii="Gotham Book" w:hAnsi="Gotham Book"/>
        </w:rPr>
        <w:t xml:space="preserve">There are a number of factors which have contributed over time to the errors in the Register. </w:t>
      </w:r>
      <w:r w:rsidRPr="004A3983">
        <w:rPr>
          <w:rFonts w:ascii="Gotham Book" w:eastAsia="Source Sans Pro Light" w:hAnsi="Gotham Book" w:cs="ArialMT"/>
        </w:rPr>
        <w:t xml:space="preserve">One of the most significant factors is the difficulty of interpreting and applying the provisions of the </w:t>
      </w:r>
      <w:r w:rsidR="00E665DD">
        <w:rPr>
          <w:rFonts w:ascii="Gotham Book" w:hAnsi="Gotham Book"/>
        </w:rPr>
        <w:t xml:space="preserve">CPOR Act. </w:t>
      </w:r>
      <w:r w:rsidRPr="004A3983">
        <w:rPr>
          <w:rFonts w:ascii="Gotham Book" w:hAnsi="Gotham Book"/>
        </w:rPr>
        <w:t xml:space="preserve">Another is the insufficient resources allocated to the Registry to handle an ever-increasing workload. </w:t>
      </w:r>
    </w:p>
    <w:p w14:paraId="65383E04" w14:textId="6E5A27D7" w:rsidR="00DB395A" w:rsidRPr="004A3983" w:rsidRDefault="00DB395A" w:rsidP="00E967E1">
      <w:pPr>
        <w:spacing w:after="160"/>
        <w:rPr>
          <w:rFonts w:ascii="Gotham Book" w:eastAsia="Source Sans Pro Light" w:hAnsi="Gotham Book" w:cs="ArialMT"/>
        </w:rPr>
      </w:pPr>
      <w:r w:rsidRPr="004A3983">
        <w:rPr>
          <w:rFonts w:ascii="Gotham Book" w:hAnsi="Gotham Book"/>
        </w:rPr>
        <w:t>The CPOR Act places obligations on courts and certain government agencies to assist the NSW Police Force to implement the registration scheme. However, almost since its inception, this multi-agency system has not been fun</w:t>
      </w:r>
      <w:r w:rsidR="00C62A5A" w:rsidRPr="004A3983">
        <w:rPr>
          <w:rFonts w:ascii="Gotham Book" w:hAnsi="Gotham Book"/>
        </w:rPr>
        <w:t>ctioning as Parliament intended</w:t>
      </w:r>
      <w:r w:rsidR="00E2711D" w:rsidRPr="004A3983">
        <w:rPr>
          <w:rFonts w:ascii="Gotham Book" w:hAnsi="Gotham Book"/>
        </w:rPr>
        <w:t>,</w:t>
      </w:r>
      <w:r w:rsidR="00C62A5A" w:rsidRPr="004A3983">
        <w:rPr>
          <w:rFonts w:ascii="Gotham Book" w:hAnsi="Gotham Book"/>
        </w:rPr>
        <w:t xml:space="preserve"> </w:t>
      </w:r>
      <w:r w:rsidR="005C01B6" w:rsidRPr="004A3983">
        <w:rPr>
          <w:rFonts w:ascii="Gotham Book" w:hAnsi="Gotham Book"/>
        </w:rPr>
        <w:t>particularly in relation to the identification of who are registrable persons</w:t>
      </w:r>
      <w:r w:rsidRPr="004A3983">
        <w:rPr>
          <w:rFonts w:ascii="Gotham Book" w:eastAsia="Source Sans Pro Light" w:hAnsi="Gotham Book" w:cs="ArialMT"/>
        </w:rPr>
        <w:t>.</w:t>
      </w:r>
    </w:p>
    <w:p w14:paraId="39B01E28" w14:textId="263F1EDC" w:rsidR="00DB395A" w:rsidRPr="004A3983" w:rsidRDefault="00F932D3" w:rsidP="00E967E1">
      <w:pPr>
        <w:spacing w:after="160"/>
        <w:rPr>
          <w:rFonts w:ascii="Gotham Book" w:eastAsia="Source Sans Pro Light" w:hAnsi="Gotham Book" w:cs="ArialMT"/>
        </w:rPr>
      </w:pPr>
      <w:r w:rsidRPr="004A3983">
        <w:rPr>
          <w:rFonts w:ascii="Gotham Book" w:eastAsia="Source Sans Pro Light" w:hAnsi="Gotham Book" w:cs="ArialMT"/>
        </w:rPr>
        <w:t xml:space="preserve">The NSW Police Force </w:t>
      </w:r>
      <w:r w:rsidR="000F4CA4" w:rsidRPr="004A3983">
        <w:rPr>
          <w:rFonts w:ascii="Gotham Book" w:eastAsia="Source Sans Pro Light" w:hAnsi="Gotham Book" w:cs="ArialMT"/>
        </w:rPr>
        <w:t xml:space="preserve">has taken a number of significant steps since the start of </w:t>
      </w:r>
      <w:r w:rsidR="001E005E" w:rsidRPr="004A3983">
        <w:rPr>
          <w:rFonts w:ascii="Gotham Book" w:eastAsia="Source Sans Pro Light" w:hAnsi="Gotham Book" w:cs="ArialMT"/>
        </w:rPr>
        <w:t>the Commission’s</w:t>
      </w:r>
      <w:r w:rsidR="000F4CA4" w:rsidRPr="004A3983">
        <w:rPr>
          <w:rFonts w:ascii="Gotham Book" w:eastAsia="Source Sans Pro Light" w:hAnsi="Gotham Book" w:cs="ArialMT"/>
        </w:rPr>
        <w:t xml:space="preserve"> investigation to improve the administration of the Register, including doubling the </w:t>
      </w:r>
      <w:r w:rsidR="006E59EB" w:rsidRPr="004A3983">
        <w:rPr>
          <w:rFonts w:ascii="Gotham Book" w:eastAsia="Source Sans Pro Light" w:hAnsi="Gotham Book" w:cs="ArialMT"/>
        </w:rPr>
        <w:t>staff in</w:t>
      </w:r>
      <w:r w:rsidR="000F4CA4" w:rsidRPr="004A3983">
        <w:rPr>
          <w:rFonts w:ascii="Gotham Book" w:eastAsia="Source Sans Pro Light" w:hAnsi="Gotham Book" w:cs="ArialMT"/>
        </w:rPr>
        <w:t xml:space="preserve"> the Registry. This</w:t>
      </w:r>
      <w:r w:rsidR="00B20889" w:rsidRPr="004A3983">
        <w:rPr>
          <w:rFonts w:ascii="Gotham Book" w:eastAsia="Source Sans Pro Light" w:hAnsi="Gotham Book" w:cs="ArialMT"/>
        </w:rPr>
        <w:t xml:space="preserve"> report contains 11</w:t>
      </w:r>
      <w:r w:rsidR="00DB395A" w:rsidRPr="004A3983">
        <w:rPr>
          <w:rFonts w:ascii="Gotham Book" w:eastAsia="Source Sans Pro Light" w:hAnsi="Gotham Book" w:cs="ArialMT"/>
        </w:rPr>
        <w:t xml:space="preserve"> recommendations to remedy the unl</w:t>
      </w:r>
      <w:r w:rsidR="005F2B94" w:rsidRPr="004A3983">
        <w:rPr>
          <w:rFonts w:ascii="Gotham Book" w:eastAsia="Source Sans Pro Light" w:hAnsi="Gotham Book" w:cs="ArialMT"/>
        </w:rPr>
        <w:t>awful conduct that has occurred</w:t>
      </w:r>
      <w:r w:rsidR="00DB395A" w:rsidRPr="004A3983">
        <w:rPr>
          <w:rFonts w:ascii="Gotham Book" w:eastAsia="Source Sans Pro Light" w:hAnsi="Gotham Book" w:cs="ArialMT"/>
        </w:rPr>
        <w:t xml:space="preserve"> and prevent further errors in the Register. Our key recommendations are that the NSW Police Force </w:t>
      </w:r>
      <w:r w:rsidR="00B20889" w:rsidRPr="004A3983">
        <w:rPr>
          <w:rFonts w:ascii="Gotham Book" w:eastAsia="Source Sans Pro Light" w:hAnsi="Gotham Book" w:cs="ArialMT"/>
        </w:rPr>
        <w:t>ensure</w:t>
      </w:r>
      <w:r w:rsidR="007F50A7" w:rsidRPr="004A3983">
        <w:rPr>
          <w:rFonts w:ascii="Gotham Book" w:eastAsia="Source Sans Pro Light" w:hAnsi="Gotham Book" w:cs="ArialMT"/>
        </w:rPr>
        <w:t>s</w:t>
      </w:r>
      <w:r w:rsidR="00B20889" w:rsidRPr="004A3983">
        <w:rPr>
          <w:rFonts w:ascii="Gotham Book" w:eastAsia="Source Sans Pro Light" w:hAnsi="Gotham Book" w:cs="ArialMT"/>
        </w:rPr>
        <w:t xml:space="preserve"> that adequate</w:t>
      </w:r>
      <w:r w:rsidR="00DB395A" w:rsidRPr="004A3983">
        <w:rPr>
          <w:rFonts w:ascii="Gotham Book" w:eastAsia="Source Sans Pro Light" w:hAnsi="Gotham Book" w:cs="ArialMT"/>
        </w:rPr>
        <w:t xml:space="preserve"> resources </w:t>
      </w:r>
      <w:r w:rsidR="00B20889" w:rsidRPr="004A3983">
        <w:rPr>
          <w:rFonts w:ascii="Gotham Book" w:eastAsia="Source Sans Pro Light" w:hAnsi="Gotham Book" w:cs="ArialMT"/>
        </w:rPr>
        <w:t xml:space="preserve">are allocated </w:t>
      </w:r>
      <w:r w:rsidR="00DB395A" w:rsidRPr="004A3983">
        <w:rPr>
          <w:rFonts w:ascii="Gotham Book" w:eastAsia="Source Sans Pro Light" w:hAnsi="Gotham Book" w:cs="ArialMT"/>
        </w:rPr>
        <w:t>to the Registry</w:t>
      </w:r>
      <w:r w:rsidR="00F32522" w:rsidRPr="004A3983">
        <w:rPr>
          <w:rFonts w:ascii="Gotham Book" w:eastAsia="Source Sans Pro Light" w:hAnsi="Gotham Book" w:cs="ArialMT"/>
        </w:rPr>
        <w:t xml:space="preserve"> now and into the future</w:t>
      </w:r>
      <w:r w:rsidR="00F23403" w:rsidRPr="004A3983">
        <w:rPr>
          <w:rFonts w:ascii="Gotham Book" w:eastAsia="Source Sans Pro Light" w:hAnsi="Gotham Book" w:cs="ArialMT"/>
        </w:rPr>
        <w:t xml:space="preserve"> to enable it to maintain the Register</w:t>
      </w:r>
      <w:r w:rsidR="00483912">
        <w:rPr>
          <w:rFonts w:ascii="Gotham Book" w:eastAsia="Source Sans Pro Light" w:hAnsi="Gotham Book" w:cs="ArialMT"/>
        </w:rPr>
        <w:t xml:space="preserve">; </w:t>
      </w:r>
      <w:r w:rsidR="00DB395A" w:rsidRPr="004A3983">
        <w:rPr>
          <w:rFonts w:ascii="Gotham Book" w:eastAsia="Source Sans Pro Light" w:hAnsi="Gotham Book" w:cs="ArialMT"/>
        </w:rPr>
        <w:t xml:space="preserve">that the CPOR Act be </w:t>
      </w:r>
      <w:r w:rsidR="007F3D2D" w:rsidRPr="004A3983">
        <w:rPr>
          <w:rFonts w:ascii="Gotham Book" w:eastAsia="Source Sans Pro Light" w:hAnsi="Gotham Book" w:cs="ArialMT"/>
        </w:rPr>
        <w:t xml:space="preserve">urgently </w:t>
      </w:r>
      <w:r w:rsidR="00DB395A" w:rsidRPr="004A3983">
        <w:rPr>
          <w:rFonts w:ascii="Gotham Book" w:eastAsia="Source Sans Pro Light" w:hAnsi="Gotham Book" w:cs="ArialMT"/>
        </w:rPr>
        <w:t>referred to the NSW Law Reform Comm</w:t>
      </w:r>
      <w:r w:rsidR="00483912">
        <w:rPr>
          <w:rFonts w:ascii="Gotham Book" w:eastAsia="Source Sans Pro Light" w:hAnsi="Gotham Book" w:cs="ArialMT"/>
        </w:rPr>
        <w:t>ission for comprehensive review</w:t>
      </w:r>
      <w:r w:rsidR="00DB395A" w:rsidRPr="004A3983">
        <w:rPr>
          <w:rFonts w:ascii="Gotham Book" w:eastAsia="Source Sans Pro Light" w:hAnsi="Gotham Book" w:cs="ArialMT"/>
        </w:rPr>
        <w:t xml:space="preserve"> so that the </w:t>
      </w:r>
      <w:r w:rsidR="007F3D2D" w:rsidRPr="004A3983">
        <w:rPr>
          <w:rFonts w:ascii="Gotham Book" w:eastAsia="Source Sans Pro Light" w:hAnsi="Gotham Book" w:cs="ArialMT"/>
        </w:rPr>
        <w:t xml:space="preserve">fundamental problems </w:t>
      </w:r>
      <w:r w:rsidR="007F3D2D" w:rsidRPr="004A3983">
        <w:rPr>
          <w:rFonts w:ascii="Gotham Book" w:eastAsia="Source Sans Pro Light" w:hAnsi="Gotham Book" w:cs="ArialMT"/>
        </w:rPr>
        <w:lastRenderedPageBreak/>
        <w:t xml:space="preserve">with the </w:t>
      </w:r>
      <w:r w:rsidR="00DB395A" w:rsidRPr="004A3983">
        <w:rPr>
          <w:rFonts w:ascii="Gotham Book" w:eastAsia="Source Sans Pro Light" w:hAnsi="Gotham Book" w:cs="ArialMT"/>
        </w:rPr>
        <w:t>legisla</w:t>
      </w:r>
      <w:r w:rsidR="007B6F8A" w:rsidRPr="004A3983">
        <w:rPr>
          <w:rFonts w:ascii="Gotham Book" w:eastAsia="Source Sans Pro Light" w:hAnsi="Gotham Book" w:cs="ArialMT"/>
        </w:rPr>
        <w:t>tive framework can be addressed</w:t>
      </w:r>
      <w:r w:rsidR="00DB395A" w:rsidRPr="004A3983">
        <w:rPr>
          <w:rFonts w:ascii="Gotham Book" w:eastAsia="Source Sans Pro Light" w:hAnsi="Gotham Book" w:cs="ArialMT"/>
        </w:rPr>
        <w:t xml:space="preserve"> and the various statutory responsibilities of the NSW Police Force, courts and g</w:t>
      </w:r>
      <w:r w:rsidR="00483912">
        <w:rPr>
          <w:rFonts w:ascii="Gotham Book" w:eastAsia="Source Sans Pro Light" w:hAnsi="Gotham Book" w:cs="ArialMT"/>
        </w:rPr>
        <w:t>overnment agencies reconsidered, and that an independent body conduct audits of the Register.</w:t>
      </w:r>
    </w:p>
    <w:p w14:paraId="3481C44A" w14:textId="78B52240" w:rsidR="00DB395A" w:rsidRPr="004A3983" w:rsidRDefault="00DB395A" w:rsidP="00E967E1">
      <w:pPr>
        <w:spacing w:after="160"/>
        <w:rPr>
          <w:rFonts w:ascii="Gotham Book" w:hAnsi="Gotham Book"/>
        </w:rPr>
      </w:pPr>
      <w:r w:rsidRPr="004A3983">
        <w:rPr>
          <w:rFonts w:ascii="Gotham Book" w:hAnsi="Gotham Book"/>
        </w:rPr>
        <w:t xml:space="preserve">In </w:t>
      </w:r>
      <w:r w:rsidRPr="004A3983">
        <w:rPr>
          <w:rFonts w:ascii="Gotham Book" w:hAnsi="Gotham Book"/>
          <w:b/>
        </w:rPr>
        <w:t>Chapter 1</w:t>
      </w:r>
      <w:r w:rsidRPr="004A3983">
        <w:rPr>
          <w:rFonts w:ascii="Gotham Book" w:hAnsi="Gotham Book"/>
        </w:rPr>
        <w:t xml:space="preserve"> we describe how we conducted our investigation, referred to as Operation Tusket. Our investigation commenced in September 2017 on the basis of information provided in a pu</w:t>
      </w:r>
      <w:r w:rsidR="00A55790" w:rsidRPr="004A3983">
        <w:rPr>
          <w:rFonts w:ascii="Gotham Book" w:hAnsi="Gotham Book"/>
        </w:rPr>
        <w:t>blic interest disclosure</w:t>
      </w:r>
      <w:r w:rsidRPr="004A3983">
        <w:rPr>
          <w:rFonts w:ascii="Gotham Book" w:hAnsi="Gotham Book"/>
        </w:rPr>
        <w:t>. Early in the investigation the NSW Police F</w:t>
      </w:r>
      <w:r w:rsidR="00423EBC" w:rsidRPr="004A3983">
        <w:rPr>
          <w:rFonts w:ascii="Gotham Book" w:hAnsi="Gotham Book"/>
        </w:rPr>
        <w:t>orce acknowledged there were a</w:t>
      </w:r>
      <w:r w:rsidRPr="004A3983">
        <w:rPr>
          <w:rFonts w:ascii="Gotham Book" w:hAnsi="Gotham Book"/>
        </w:rPr>
        <w:t xml:space="preserve"> significant number of errors in the Register. The Commission and the NSW Police Force adopted a collaborative approach, sharing information and expertise to identify and address issues </w:t>
      </w:r>
      <w:r w:rsidR="00A119B0" w:rsidRPr="004A3983">
        <w:rPr>
          <w:rFonts w:ascii="Gotham Book" w:hAnsi="Gotham Book"/>
        </w:rPr>
        <w:t>throughout the investigation</w:t>
      </w:r>
      <w:r w:rsidRPr="004A3983">
        <w:rPr>
          <w:rFonts w:ascii="Gotham Book" w:hAnsi="Gotham Book"/>
        </w:rPr>
        <w:t>.</w:t>
      </w:r>
    </w:p>
    <w:p w14:paraId="715429F7" w14:textId="5AC8C4F2" w:rsidR="00DB395A" w:rsidRPr="004A3983" w:rsidRDefault="00DB395A" w:rsidP="00E967E1">
      <w:pPr>
        <w:spacing w:after="160"/>
        <w:rPr>
          <w:rFonts w:ascii="Gotham Book" w:hAnsi="Gotham Book"/>
        </w:rPr>
      </w:pPr>
      <w:r w:rsidRPr="004A3983">
        <w:rPr>
          <w:rFonts w:ascii="Gotham Book" w:hAnsi="Gotham Book"/>
        </w:rPr>
        <w:t xml:space="preserve">In </w:t>
      </w:r>
      <w:r w:rsidRPr="004A3983">
        <w:rPr>
          <w:rFonts w:ascii="Gotham Book" w:hAnsi="Gotham Book"/>
          <w:b/>
        </w:rPr>
        <w:t>Chapter 2</w:t>
      </w:r>
      <w:r w:rsidRPr="004A3983">
        <w:t xml:space="preserve"> </w:t>
      </w:r>
      <w:r w:rsidRPr="004A3983">
        <w:rPr>
          <w:rFonts w:ascii="Gotham Book" w:hAnsi="Gotham Book"/>
        </w:rPr>
        <w:t xml:space="preserve">we </w:t>
      </w:r>
      <w:r w:rsidR="008B7D56" w:rsidRPr="004A3983">
        <w:rPr>
          <w:rFonts w:ascii="Gotham Book" w:hAnsi="Gotham Book"/>
        </w:rPr>
        <w:t>set out</w:t>
      </w:r>
      <w:r w:rsidRPr="004A3983">
        <w:rPr>
          <w:rFonts w:ascii="Gotham Book" w:hAnsi="Gotham Book"/>
        </w:rPr>
        <w:t xml:space="preserve"> the key </w:t>
      </w:r>
      <w:r w:rsidR="003D355F" w:rsidRPr="004A3983">
        <w:rPr>
          <w:rFonts w:ascii="Gotham Book" w:hAnsi="Gotham Book"/>
        </w:rPr>
        <w:t xml:space="preserve">elements of the </w:t>
      </w:r>
      <w:r w:rsidR="008B7D56" w:rsidRPr="004A3983">
        <w:rPr>
          <w:rFonts w:ascii="Gotham Book" w:hAnsi="Gotham Book"/>
        </w:rPr>
        <w:t xml:space="preserve">Child Protection </w:t>
      </w:r>
      <w:r w:rsidR="003D355F" w:rsidRPr="004A3983">
        <w:rPr>
          <w:rFonts w:ascii="Gotham Book" w:hAnsi="Gotham Book"/>
        </w:rPr>
        <w:t xml:space="preserve">Register. </w:t>
      </w:r>
      <w:r w:rsidR="008B7D56" w:rsidRPr="004A3983">
        <w:rPr>
          <w:rFonts w:ascii="Gotham Book" w:hAnsi="Gotham Book"/>
        </w:rPr>
        <w:t>We explain the purpose</w:t>
      </w:r>
      <w:r w:rsidR="006148F1" w:rsidRPr="004A3983">
        <w:rPr>
          <w:rFonts w:ascii="Gotham Book" w:hAnsi="Gotham Book"/>
        </w:rPr>
        <w:t>s</w:t>
      </w:r>
      <w:r w:rsidR="008B7D56" w:rsidRPr="004A3983">
        <w:rPr>
          <w:rFonts w:ascii="Gotham Book" w:hAnsi="Gotham Book"/>
        </w:rPr>
        <w:t xml:space="preserve"> of the Register, and what </w:t>
      </w:r>
      <w:r w:rsidR="001E005E" w:rsidRPr="004A3983">
        <w:rPr>
          <w:rFonts w:ascii="Gotham Book" w:hAnsi="Gotham Book"/>
        </w:rPr>
        <w:t xml:space="preserve">are </w:t>
      </w:r>
      <w:r w:rsidR="008B7D56" w:rsidRPr="004A3983">
        <w:rPr>
          <w:rFonts w:ascii="Gotham Book" w:hAnsi="Gotham Book"/>
        </w:rPr>
        <w:t xml:space="preserve">the consequences </w:t>
      </w:r>
      <w:r w:rsidR="006148F1" w:rsidRPr="004A3983">
        <w:rPr>
          <w:rFonts w:ascii="Gotham Book" w:hAnsi="Gotham Book"/>
        </w:rPr>
        <w:t xml:space="preserve">under the </w:t>
      </w:r>
      <w:r w:rsidR="0043461B" w:rsidRPr="004A3983">
        <w:rPr>
          <w:rFonts w:ascii="Gotham Book" w:hAnsi="Gotham Book"/>
        </w:rPr>
        <w:t xml:space="preserve">CPOR </w:t>
      </w:r>
      <w:r w:rsidR="006148F1" w:rsidRPr="004A3983">
        <w:rPr>
          <w:rFonts w:ascii="Gotham Book" w:hAnsi="Gotham Book"/>
        </w:rPr>
        <w:t>Act if a person is determined to be</w:t>
      </w:r>
      <w:r w:rsidR="008B7D56" w:rsidRPr="004A3983">
        <w:rPr>
          <w:rFonts w:ascii="Gotham Book" w:hAnsi="Gotham Book"/>
        </w:rPr>
        <w:t xml:space="preserve"> a ‘registrable person’. </w:t>
      </w:r>
      <w:r w:rsidR="003D355F" w:rsidRPr="004A3983">
        <w:rPr>
          <w:rFonts w:ascii="Gotham Book" w:hAnsi="Gotham Book"/>
        </w:rPr>
        <w:t xml:space="preserve">We </w:t>
      </w:r>
      <w:r w:rsidR="008B7D56" w:rsidRPr="004A3983">
        <w:rPr>
          <w:rFonts w:ascii="Gotham Book" w:hAnsi="Gotham Book"/>
        </w:rPr>
        <w:t>describe</w:t>
      </w:r>
      <w:r w:rsidRPr="004A3983">
        <w:rPr>
          <w:rFonts w:ascii="Gotham Book" w:hAnsi="Gotham Book"/>
        </w:rPr>
        <w:t xml:space="preserve"> the roles and responsibi</w:t>
      </w:r>
      <w:r w:rsidR="001E005E" w:rsidRPr="004A3983">
        <w:rPr>
          <w:rFonts w:ascii="Gotham Book" w:hAnsi="Gotham Book"/>
        </w:rPr>
        <w:t>lities of the NSW Police Force</w:t>
      </w:r>
      <w:r w:rsidRPr="004A3983">
        <w:rPr>
          <w:rFonts w:ascii="Gotham Book" w:hAnsi="Gotham Book"/>
        </w:rPr>
        <w:t xml:space="preserve"> Child Protection Registry and other police offic</w:t>
      </w:r>
      <w:r w:rsidR="008B7D56" w:rsidRPr="004A3983">
        <w:rPr>
          <w:rFonts w:ascii="Gotham Book" w:hAnsi="Gotham Book"/>
        </w:rPr>
        <w:t>ers in relation to the Register</w:t>
      </w:r>
      <w:r w:rsidR="00462CF8" w:rsidRPr="004A3983">
        <w:rPr>
          <w:rFonts w:ascii="Gotham Book" w:hAnsi="Gotham Book"/>
        </w:rPr>
        <w:t xml:space="preserve">. We </w:t>
      </w:r>
      <w:r w:rsidR="0071770E" w:rsidRPr="004A3983">
        <w:rPr>
          <w:rFonts w:ascii="Gotham Book" w:hAnsi="Gotham Book"/>
        </w:rPr>
        <w:t>explain that the Register</w:t>
      </w:r>
      <w:r w:rsidRPr="004A3983">
        <w:rPr>
          <w:rFonts w:ascii="Gotham Book" w:hAnsi="Gotham Book"/>
        </w:rPr>
        <w:t xml:space="preserve"> </w:t>
      </w:r>
      <w:r w:rsidR="0071770E" w:rsidRPr="004A3983">
        <w:rPr>
          <w:rFonts w:ascii="Gotham Book" w:hAnsi="Gotham Book"/>
        </w:rPr>
        <w:t>is part of</w:t>
      </w:r>
      <w:r w:rsidR="0042789D">
        <w:rPr>
          <w:rFonts w:ascii="Gotham Book" w:hAnsi="Gotham Book"/>
        </w:rPr>
        <w:t> </w:t>
      </w:r>
      <w:r w:rsidR="0071770E" w:rsidRPr="004A3983">
        <w:rPr>
          <w:rFonts w:ascii="Gotham Book" w:hAnsi="Gotham Book"/>
        </w:rPr>
        <w:t>a</w:t>
      </w:r>
      <w:r w:rsidRPr="004A3983">
        <w:rPr>
          <w:rFonts w:ascii="Gotham Book" w:hAnsi="Gotham Book"/>
        </w:rPr>
        <w:t xml:space="preserve"> national framework </w:t>
      </w:r>
      <w:r w:rsidR="0071770E" w:rsidRPr="004A3983">
        <w:rPr>
          <w:rFonts w:ascii="Gotham Book" w:hAnsi="Gotham Book"/>
        </w:rPr>
        <w:t xml:space="preserve">of </w:t>
      </w:r>
      <w:r w:rsidR="00431EE4" w:rsidRPr="004A3983">
        <w:rPr>
          <w:rFonts w:ascii="Gotham Book" w:hAnsi="Gotham Book"/>
        </w:rPr>
        <w:t xml:space="preserve">different </w:t>
      </w:r>
      <w:r w:rsidR="0071770E" w:rsidRPr="004A3983">
        <w:rPr>
          <w:rFonts w:ascii="Gotham Book" w:hAnsi="Gotham Book"/>
        </w:rPr>
        <w:t xml:space="preserve">statutory </w:t>
      </w:r>
      <w:r w:rsidRPr="004A3983">
        <w:rPr>
          <w:rFonts w:ascii="Gotham Book" w:hAnsi="Gotham Book"/>
        </w:rPr>
        <w:t xml:space="preserve">registration </w:t>
      </w:r>
      <w:r w:rsidR="0071770E" w:rsidRPr="004A3983">
        <w:rPr>
          <w:rFonts w:ascii="Gotham Book" w:hAnsi="Gotham Book"/>
        </w:rPr>
        <w:t>schemes for</w:t>
      </w:r>
      <w:r w:rsidRPr="004A3983">
        <w:rPr>
          <w:rFonts w:ascii="Gotham Book" w:hAnsi="Gotham Book"/>
        </w:rPr>
        <w:t xml:space="preserve"> sex offenders</w:t>
      </w:r>
      <w:r w:rsidR="0071770E" w:rsidRPr="004A3983">
        <w:rPr>
          <w:rFonts w:ascii="Gotham Book" w:hAnsi="Gotham Book"/>
        </w:rPr>
        <w:t xml:space="preserve"> </w:t>
      </w:r>
      <w:r w:rsidR="00E665DD">
        <w:rPr>
          <w:rFonts w:ascii="Gotham Book" w:hAnsi="Gotham Book"/>
        </w:rPr>
        <w:t>across Australia</w:t>
      </w:r>
      <w:r w:rsidRPr="004A3983">
        <w:rPr>
          <w:rFonts w:ascii="Gotham Book" w:hAnsi="Gotham Book"/>
        </w:rPr>
        <w:t>.</w:t>
      </w:r>
    </w:p>
    <w:p w14:paraId="44DAD5D3" w14:textId="281586E2" w:rsidR="00DB395A" w:rsidRPr="004A3983" w:rsidRDefault="00DB395A" w:rsidP="00E967E1">
      <w:pPr>
        <w:spacing w:after="160"/>
        <w:rPr>
          <w:rFonts w:ascii="Gotham Book" w:hAnsi="Gotham Book"/>
        </w:rPr>
      </w:pPr>
      <w:r w:rsidRPr="004A3983">
        <w:rPr>
          <w:rFonts w:ascii="Gotham Book" w:hAnsi="Gotham Book"/>
        </w:rPr>
        <w:t xml:space="preserve">In </w:t>
      </w:r>
      <w:r w:rsidRPr="004A3983">
        <w:rPr>
          <w:rFonts w:ascii="Gotham Book" w:hAnsi="Gotham Book"/>
          <w:b/>
        </w:rPr>
        <w:t>Chapter 3</w:t>
      </w:r>
      <w:r w:rsidRPr="004A3983">
        <w:rPr>
          <w:rFonts w:ascii="Gotham Book" w:hAnsi="Gotham Book"/>
        </w:rPr>
        <w:t xml:space="preserve"> we discuss the nature and extent of the errors that have occurred in the Register over time, including the results of the review of Register case files </w:t>
      </w:r>
      <w:r w:rsidR="001E005E" w:rsidRPr="004A3983">
        <w:rPr>
          <w:rFonts w:ascii="Gotham Book" w:hAnsi="Gotham Book"/>
        </w:rPr>
        <w:t xml:space="preserve">initiated by the NSW Police Force </w:t>
      </w:r>
      <w:r w:rsidRPr="004A3983">
        <w:rPr>
          <w:rFonts w:ascii="Gotham Book" w:hAnsi="Gotham Book"/>
        </w:rPr>
        <w:t>(called the ‘CPR case review’). We highlight the serious consequences of these errors through several case studies.  We found t</w:t>
      </w:r>
      <w:r w:rsidR="00E07FEB" w:rsidRPr="004A3983">
        <w:rPr>
          <w:rFonts w:ascii="Gotham Book" w:hAnsi="Gotham Book"/>
        </w:rPr>
        <w:t>hat</w:t>
      </w:r>
      <w:r w:rsidR="001E005E" w:rsidRPr="004A3983">
        <w:rPr>
          <w:rFonts w:ascii="Gotham Book" w:hAnsi="Gotham Book"/>
        </w:rPr>
        <w:t xml:space="preserve"> since 2002</w:t>
      </w:r>
      <w:r w:rsidR="00E07FEB" w:rsidRPr="004A3983">
        <w:rPr>
          <w:rFonts w:ascii="Gotham Book" w:hAnsi="Gotham Book"/>
        </w:rPr>
        <w:t xml:space="preserve"> the NSW Police Force has made over 700 </w:t>
      </w:r>
      <w:r w:rsidRPr="004A3983">
        <w:rPr>
          <w:rFonts w:ascii="Gotham Book" w:hAnsi="Gotham Book"/>
        </w:rPr>
        <w:t xml:space="preserve">incorrect decisions </w:t>
      </w:r>
      <w:r w:rsidR="00E07FEB" w:rsidRPr="004A3983">
        <w:rPr>
          <w:rFonts w:ascii="Gotham Book" w:hAnsi="Gotham Book"/>
        </w:rPr>
        <w:t>about who</w:t>
      </w:r>
      <w:r w:rsidRPr="004A3983">
        <w:rPr>
          <w:rFonts w:ascii="Gotham Book" w:hAnsi="Gotham Book"/>
        </w:rPr>
        <w:t xml:space="preserve"> were ‘registrable persons’ under the CPOR Act, or about the length of registrable persons’ reporting periods. We also found that the NSW Police Force has unlawful</w:t>
      </w:r>
      <w:r w:rsidR="00A82D19" w:rsidRPr="004A3983">
        <w:rPr>
          <w:rFonts w:ascii="Gotham Book" w:hAnsi="Gotham Book"/>
        </w:rPr>
        <w:t>ly</w:t>
      </w:r>
      <w:r w:rsidRPr="004A3983">
        <w:rPr>
          <w:rFonts w:ascii="Gotham Book" w:hAnsi="Gotham Book"/>
        </w:rPr>
        <w:t xml:space="preserve"> requir</w:t>
      </w:r>
      <w:r w:rsidR="00A82D19" w:rsidRPr="004A3983">
        <w:rPr>
          <w:rFonts w:ascii="Gotham Book" w:hAnsi="Gotham Book"/>
        </w:rPr>
        <w:t>ed people</w:t>
      </w:r>
      <w:r w:rsidRPr="004A3983">
        <w:rPr>
          <w:rFonts w:ascii="Gotham Book" w:hAnsi="Gotham Book"/>
        </w:rPr>
        <w:t xml:space="preserve"> to report their personal information, and conducted unlawful inspections of persons’ homes, as a result of incorrect information in the Register. The NSW Police Force has also charged and arrested people for </w:t>
      </w:r>
      <w:r w:rsidR="00792A09" w:rsidRPr="004A3983">
        <w:rPr>
          <w:rFonts w:ascii="Gotham Book" w:hAnsi="Gotham Book"/>
        </w:rPr>
        <w:t>not</w:t>
      </w:r>
      <w:r w:rsidRPr="004A3983">
        <w:rPr>
          <w:rFonts w:ascii="Gotham Book" w:hAnsi="Gotham Book"/>
        </w:rPr>
        <w:t xml:space="preserve"> comply</w:t>
      </w:r>
      <w:r w:rsidR="00792A09" w:rsidRPr="004A3983">
        <w:rPr>
          <w:rFonts w:ascii="Gotham Book" w:hAnsi="Gotham Book"/>
        </w:rPr>
        <w:t>ing</w:t>
      </w:r>
      <w:r w:rsidRPr="004A3983">
        <w:rPr>
          <w:rFonts w:ascii="Gotham Book" w:hAnsi="Gotham Book"/>
        </w:rPr>
        <w:t xml:space="preserve"> with </w:t>
      </w:r>
      <w:r w:rsidR="00792A09" w:rsidRPr="004A3983">
        <w:rPr>
          <w:rFonts w:ascii="Gotham Book" w:hAnsi="Gotham Book"/>
        </w:rPr>
        <w:t xml:space="preserve">CPOR Act </w:t>
      </w:r>
      <w:r w:rsidRPr="004A3983">
        <w:rPr>
          <w:rFonts w:ascii="Gotham Book" w:hAnsi="Gotham Book"/>
        </w:rPr>
        <w:t>repor</w:t>
      </w:r>
      <w:r w:rsidR="00792A09" w:rsidRPr="004A3983">
        <w:rPr>
          <w:rFonts w:ascii="Gotham Book" w:hAnsi="Gotham Book"/>
        </w:rPr>
        <w:t>ting obligations</w:t>
      </w:r>
      <w:r w:rsidRPr="004A3983">
        <w:rPr>
          <w:rFonts w:ascii="Gotham Book" w:hAnsi="Gotham Book"/>
        </w:rPr>
        <w:t xml:space="preserve"> when those people were not under any obligation to report under that Act. As a result, at least seven people were wrongly convicted of offences under the CPOR Act.</w:t>
      </w:r>
    </w:p>
    <w:p w14:paraId="1A49EB7A" w14:textId="26B288FA" w:rsidR="00DB395A" w:rsidRPr="004A3983" w:rsidRDefault="00DB395A" w:rsidP="00E967E1">
      <w:pPr>
        <w:spacing w:after="160"/>
        <w:rPr>
          <w:rFonts w:ascii="Gotham Book" w:hAnsi="Gotham Book" w:cs="Arial"/>
        </w:rPr>
      </w:pPr>
      <w:r w:rsidRPr="004A3983">
        <w:rPr>
          <w:rFonts w:ascii="Gotham Book" w:hAnsi="Gotham Book"/>
          <w:b/>
        </w:rPr>
        <w:t>Chapter 4</w:t>
      </w:r>
      <w:r w:rsidRPr="004A3983">
        <w:rPr>
          <w:rFonts w:ascii="Gotham Book" w:hAnsi="Gotham Book"/>
        </w:rPr>
        <w:t xml:space="preserve"> explores the response</w:t>
      </w:r>
      <w:r w:rsidR="001E005E" w:rsidRPr="004A3983">
        <w:rPr>
          <w:rFonts w:ascii="Gotham Book" w:hAnsi="Gotham Book"/>
        </w:rPr>
        <w:t>s of the NSW Police Force</w:t>
      </w:r>
      <w:r w:rsidRPr="004A3983">
        <w:rPr>
          <w:rFonts w:ascii="Gotham Book" w:hAnsi="Gotham Book"/>
        </w:rPr>
        <w:t xml:space="preserve"> to those persons who </w:t>
      </w:r>
      <w:r w:rsidR="002F49B2" w:rsidRPr="004A3983">
        <w:rPr>
          <w:rFonts w:ascii="Gotham Book" w:hAnsi="Gotham Book"/>
        </w:rPr>
        <w:t>have</w:t>
      </w:r>
      <w:r w:rsidRPr="004A3983">
        <w:rPr>
          <w:rFonts w:ascii="Gotham Book" w:hAnsi="Gotham Book"/>
        </w:rPr>
        <w:t xml:space="preserve"> been subjected to unlawful or unjust actions as a consequence of the errors in the Register. </w:t>
      </w:r>
      <w:r w:rsidRPr="004A3983">
        <w:rPr>
          <w:rFonts w:ascii="Gotham Book" w:hAnsi="Gotham Book" w:cs="Arial"/>
        </w:rPr>
        <w:t xml:space="preserve">The NSW Police Force was generally proactive in seeking annulments from the courts when it identified that persons had been wrongly convicted for offences under the CPOR Act. However, </w:t>
      </w:r>
      <w:r w:rsidR="007754E9" w:rsidRPr="004A3983">
        <w:rPr>
          <w:rFonts w:ascii="Gotham Book" w:hAnsi="Gotham Book" w:cs="Arial"/>
        </w:rPr>
        <w:t xml:space="preserve">in 2016 </w:t>
      </w:r>
      <w:r w:rsidRPr="004A3983">
        <w:rPr>
          <w:rFonts w:ascii="Gotham Book" w:hAnsi="Gotham Book" w:cs="Arial"/>
        </w:rPr>
        <w:t>the NSW Police Force made the decision not to notify persons that it had made errors in their cases. Relying on internal legal advice, the NSW Police Force intentionally limited the information it provided to such persons, to avoid the prospect of civil claims. We found that on at</w:t>
      </w:r>
      <w:r w:rsidR="0042789D">
        <w:rPr>
          <w:rFonts w:ascii="Gotham Book" w:hAnsi="Gotham Book" w:cs="Arial"/>
        </w:rPr>
        <w:t> </w:t>
      </w:r>
      <w:r w:rsidRPr="004A3983">
        <w:rPr>
          <w:rFonts w:ascii="Gotham Book" w:hAnsi="Gotham Book" w:cs="Arial"/>
        </w:rPr>
        <w:t xml:space="preserve">least three occasions, the NSW Police Force wrote letters which were in fact misleading. </w:t>
      </w:r>
      <w:r w:rsidR="007754E9" w:rsidRPr="004A3983">
        <w:rPr>
          <w:rFonts w:ascii="Gotham Book" w:hAnsi="Gotham Book" w:cs="Arial"/>
        </w:rPr>
        <w:t xml:space="preserve">The NSW Police Force now acknowledges that these letters are misleading, and has agreed to </w:t>
      </w:r>
      <w:r w:rsidRPr="004A3983">
        <w:rPr>
          <w:rFonts w:ascii="Gotham Book" w:hAnsi="Gotham Book" w:cs="Arial"/>
        </w:rPr>
        <w:t xml:space="preserve">notify all those who </w:t>
      </w:r>
      <w:r w:rsidR="007754E9" w:rsidRPr="004A3983">
        <w:rPr>
          <w:rFonts w:ascii="Gotham Book" w:hAnsi="Gotham Book" w:cs="Arial"/>
        </w:rPr>
        <w:t xml:space="preserve">may </w:t>
      </w:r>
      <w:r w:rsidRPr="004A3983">
        <w:rPr>
          <w:rFonts w:ascii="Gotham Book" w:hAnsi="Gotham Book" w:cs="Arial"/>
        </w:rPr>
        <w:t xml:space="preserve">have been subjected to unlawful </w:t>
      </w:r>
      <w:r w:rsidR="007754E9" w:rsidRPr="004A3983">
        <w:rPr>
          <w:rFonts w:ascii="Gotham Book" w:hAnsi="Gotham Book" w:cs="Arial"/>
        </w:rPr>
        <w:t xml:space="preserve">or unjust </w:t>
      </w:r>
      <w:r w:rsidRPr="004A3983">
        <w:rPr>
          <w:rFonts w:ascii="Gotham Book" w:hAnsi="Gotham Book" w:cs="Arial"/>
        </w:rPr>
        <w:t>actions as a result of errors in the Register.</w:t>
      </w:r>
    </w:p>
    <w:p w14:paraId="20DB6969" w14:textId="1B720D9F" w:rsidR="00DB395A" w:rsidRPr="004A3983" w:rsidRDefault="00B92D26" w:rsidP="00E967E1">
      <w:pPr>
        <w:spacing w:after="160"/>
        <w:rPr>
          <w:rFonts w:ascii="Gotham Book" w:hAnsi="Gotham Book" w:cs="Arial"/>
        </w:rPr>
      </w:pPr>
      <w:r w:rsidRPr="004A3983">
        <w:rPr>
          <w:rFonts w:ascii="Gotham Book" w:hAnsi="Gotham Book" w:cs="Arial"/>
        </w:rPr>
        <w:t>In C</w:t>
      </w:r>
      <w:r w:rsidR="00DB395A" w:rsidRPr="004A3983">
        <w:rPr>
          <w:rFonts w:ascii="Gotham Book" w:hAnsi="Gotham Book" w:cs="Arial"/>
        </w:rPr>
        <w:t>hapters 5 to 8 we discuss the systemic problems which have contributed to the</w:t>
      </w:r>
      <w:r w:rsidR="0042789D">
        <w:rPr>
          <w:rFonts w:ascii="Gotham Book" w:hAnsi="Gotham Book" w:cs="Arial"/>
        </w:rPr>
        <w:t> </w:t>
      </w:r>
      <w:r w:rsidR="00DB395A" w:rsidRPr="004A3983">
        <w:rPr>
          <w:rFonts w:ascii="Gotham Book" w:hAnsi="Gotham Book" w:cs="Arial"/>
        </w:rPr>
        <w:t xml:space="preserve">occurrence of so many errors in the administration of the Register. </w:t>
      </w:r>
    </w:p>
    <w:p w14:paraId="1C679C91" w14:textId="4CD848D8" w:rsidR="00DB395A" w:rsidRPr="004A3983" w:rsidRDefault="00DB395A" w:rsidP="001C0B4D">
      <w:pPr>
        <w:pageBreakBefore/>
        <w:spacing w:after="160"/>
        <w:rPr>
          <w:rFonts w:ascii="Gotham Book" w:hAnsi="Gotham Book" w:cs="Arial"/>
        </w:rPr>
      </w:pPr>
      <w:r w:rsidRPr="004A3983">
        <w:rPr>
          <w:rFonts w:ascii="Gotham Book" w:hAnsi="Gotham Book" w:cs="Arial"/>
          <w:b/>
        </w:rPr>
        <w:lastRenderedPageBreak/>
        <w:t>Chapter 5</w:t>
      </w:r>
      <w:r w:rsidR="007F50A7" w:rsidRPr="004A3983">
        <w:rPr>
          <w:rFonts w:ascii="Gotham Book" w:hAnsi="Gotham Book" w:cs="Arial"/>
        </w:rPr>
        <w:t xml:space="preserve"> looks at the </w:t>
      </w:r>
      <w:r w:rsidRPr="004A3983">
        <w:rPr>
          <w:rFonts w:ascii="Gotham Book" w:hAnsi="Gotham Book" w:cs="Arial"/>
        </w:rPr>
        <w:t xml:space="preserve">resourcing of the Registry over time. There has been a steady increase in the demand, complexity and scope of the Registry’s work. </w:t>
      </w:r>
      <w:r w:rsidRPr="004A3983">
        <w:rPr>
          <w:rFonts w:ascii="Gotham Book" w:hAnsi="Gotham Book"/>
        </w:rPr>
        <w:t xml:space="preserve">In October 2003 there were 916 persons on the Register. By </w:t>
      </w:r>
      <w:r w:rsidR="00742617" w:rsidRPr="004A3983">
        <w:rPr>
          <w:rFonts w:ascii="Gotham Book" w:hAnsi="Gotham Book"/>
        </w:rPr>
        <w:t>August 2019 there were 4,344</w:t>
      </w:r>
      <w:r w:rsidR="002450B6" w:rsidRPr="004A3983">
        <w:rPr>
          <w:rFonts w:ascii="Gotham Book" w:hAnsi="Gotham Book"/>
        </w:rPr>
        <w:t>.</w:t>
      </w:r>
      <w:r w:rsidRPr="004A3983">
        <w:rPr>
          <w:rFonts w:ascii="Gotham Book" w:hAnsi="Gotham Book"/>
        </w:rPr>
        <w:t xml:space="preserve"> </w:t>
      </w:r>
      <w:r w:rsidR="002450B6" w:rsidRPr="004A3983">
        <w:rPr>
          <w:rFonts w:ascii="Gotham Book" w:hAnsi="Gotham Book" w:cs="Arial"/>
        </w:rPr>
        <w:t xml:space="preserve">The </w:t>
      </w:r>
      <w:r w:rsidRPr="004A3983">
        <w:rPr>
          <w:rFonts w:ascii="Gotham Book" w:hAnsi="Gotham Book" w:cs="Arial"/>
        </w:rPr>
        <w:t xml:space="preserve">Registry’s resources </w:t>
      </w:r>
      <w:r w:rsidR="002450B6" w:rsidRPr="004A3983">
        <w:rPr>
          <w:rFonts w:ascii="Gotham Book" w:hAnsi="Gotham Book" w:cs="Arial"/>
        </w:rPr>
        <w:t xml:space="preserve">were not increased </w:t>
      </w:r>
      <w:r w:rsidRPr="004A3983">
        <w:rPr>
          <w:rFonts w:ascii="Gotham Book" w:hAnsi="Gotham Book" w:cs="Arial"/>
        </w:rPr>
        <w:t xml:space="preserve">proportionate </w:t>
      </w:r>
      <w:r w:rsidR="002450B6" w:rsidRPr="004A3983">
        <w:rPr>
          <w:rFonts w:ascii="Gotham Book" w:hAnsi="Gotham Book" w:cs="Arial"/>
        </w:rPr>
        <w:t>to its increasing workload. This resulted in the Registry being understaffed,</w:t>
      </w:r>
      <w:r w:rsidRPr="004A3983">
        <w:rPr>
          <w:rFonts w:ascii="Gotham Book" w:hAnsi="Gotham Book" w:cs="Arial"/>
        </w:rPr>
        <w:t xml:space="preserve"> </w:t>
      </w:r>
      <w:r w:rsidR="002450B6" w:rsidRPr="004A3983">
        <w:rPr>
          <w:rFonts w:ascii="Gotham Book" w:hAnsi="Gotham Book" w:cs="Arial"/>
        </w:rPr>
        <w:t>which</w:t>
      </w:r>
      <w:r w:rsidRPr="004A3983">
        <w:rPr>
          <w:rFonts w:ascii="Gotham Book" w:hAnsi="Gotham Book" w:cs="Arial"/>
        </w:rPr>
        <w:t xml:space="preserve"> impacted </w:t>
      </w:r>
      <w:r w:rsidR="002450B6" w:rsidRPr="004A3983">
        <w:rPr>
          <w:rFonts w:ascii="Gotham Book" w:hAnsi="Gotham Book" w:cs="Arial"/>
        </w:rPr>
        <w:t xml:space="preserve">on </w:t>
      </w:r>
      <w:r w:rsidRPr="004A3983">
        <w:rPr>
          <w:rFonts w:ascii="Gotham Book" w:hAnsi="Gotham Book" w:cs="Arial"/>
        </w:rPr>
        <w:t xml:space="preserve">the accuracy of its work, its ability to engage in proactive investigative activities, and the welfare of its staff. </w:t>
      </w:r>
      <w:r w:rsidR="00386306" w:rsidRPr="004A3983">
        <w:rPr>
          <w:rFonts w:ascii="Gotham Book" w:hAnsi="Gotham Book" w:cs="Arial"/>
        </w:rPr>
        <w:t>Since the start of our investigation t</w:t>
      </w:r>
      <w:r w:rsidR="002450B6" w:rsidRPr="004A3983">
        <w:rPr>
          <w:rFonts w:ascii="Gotham Book" w:hAnsi="Gotham Book" w:cs="Arial"/>
        </w:rPr>
        <w:t>he NSW Police Force</w:t>
      </w:r>
      <w:r w:rsidR="00B96B7F" w:rsidRPr="004A3983">
        <w:rPr>
          <w:rFonts w:ascii="Gotham Book" w:hAnsi="Gotham Book" w:cs="Arial"/>
        </w:rPr>
        <w:t xml:space="preserve"> has added 14 officers to the Registry.</w:t>
      </w:r>
      <w:r w:rsidR="002450B6" w:rsidRPr="004A3983">
        <w:rPr>
          <w:rFonts w:ascii="Gotham Book" w:hAnsi="Gotham Book" w:cs="Arial"/>
        </w:rPr>
        <w:t xml:space="preserve"> </w:t>
      </w:r>
      <w:r w:rsidRPr="004A3983">
        <w:rPr>
          <w:rFonts w:ascii="Gotham Book" w:hAnsi="Gotham Book" w:cs="Arial"/>
        </w:rPr>
        <w:t>We recommend that the NSW Police Force adopt a responsive model of resourcing for the Registry</w:t>
      </w:r>
      <w:r w:rsidR="00B96B7F" w:rsidRPr="004A3983">
        <w:rPr>
          <w:rFonts w:ascii="Gotham Book" w:hAnsi="Gotham Book" w:cs="Arial"/>
        </w:rPr>
        <w:t xml:space="preserve"> into the future</w:t>
      </w:r>
      <w:r w:rsidRPr="004A3983">
        <w:rPr>
          <w:rFonts w:ascii="Gotham Book" w:hAnsi="Gotham Book" w:cs="Arial"/>
        </w:rPr>
        <w:t xml:space="preserve">. </w:t>
      </w:r>
    </w:p>
    <w:p w14:paraId="4DEE1BB9" w14:textId="1D540585" w:rsidR="00DB395A" w:rsidRPr="004A3983" w:rsidRDefault="00DB395A" w:rsidP="00E967E1">
      <w:pPr>
        <w:spacing w:after="160"/>
        <w:rPr>
          <w:rFonts w:ascii="Gotham Book" w:hAnsi="Gotham Book"/>
        </w:rPr>
      </w:pPr>
      <w:r w:rsidRPr="004A3983">
        <w:rPr>
          <w:rFonts w:ascii="Gotham Book" w:hAnsi="Gotham Book"/>
          <w:b/>
        </w:rPr>
        <w:t>Chapter 6</w:t>
      </w:r>
      <w:r w:rsidRPr="004A3983">
        <w:rPr>
          <w:rFonts w:ascii="Gotham Book" w:hAnsi="Gotham Book"/>
        </w:rPr>
        <w:t xml:space="preserve"> examines the legislative framework for the Register. The NSW Police Force and the Commission agree that the CPOR Act is so complex and ambiguous in important respects that it creates an inherent risk of errors in the Register that the NSW Police Force cannot effectively mitigate.</w:t>
      </w:r>
      <w:r w:rsidRPr="004A3983">
        <w:t xml:space="preserve"> </w:t>
      </w:r>
      <w:r w:rsidRPr="004A3983">
        <w:rPr>
          <w:rFonts w:ascii="Gotham Book" w:hAnsi="Gotham Book" w:cs="Arial"/>
        </w:rPr>
        <w:t xml:space="preserve">The </w:t>
      </w:r>
      <w:r w:rsidR="00386306" w:rsidRPr="004A3983">
        <w:rPr>
          <w:rFonts w:ascii="Gotham Book" w:hAnsi="Gotham Book" w:cs="Arial"/>
        </w:rPr>
        <w:t>legislative framework</w:t>
      </w:r>
      <w:r w:rsidRPr="004A3983">
        <w:rPr>
          <w:rFonts w:ascii="Gotham Book" w:hAnsi="Gotham Book" w:cs="Arial"/>
        </w:rPr>
        <w:t xml:space="preserve"> creates such </w:t>
      </w:r>
      <w:r w:rsidR="006925C5" w:rsidRPr="004A3983">
        <w:rPr>
          <w:rFonts w:ascii="Gotham Book" w:hAnsi="Gotham Book" w:cs="Arial"/>
        </w:rPr>
        <w:t xml:space="preserve">practical </w:t>
      </w:r>
      <w:r w:rsidRPr="004A3983">
        <w:rPr>
          <w:rFonts w:ascii="Gotham Book" w:hAnsi="Gotham Book" w:cs="Arial"/>
        </w:rPr>
        <w:t xml:space="preserve">difficulties that it undermines the Act’s object of ensuring that registrable persons are monitored and comply with their obligations. </w:t>
      </w:r>
      <w:r w:rsidRPr="004A3983">
        <w:rPr>
          <w:rFonts w:ascii="Gotham Book" w:hAnsi="Gotham Book"/>
        </w:rPr>
        <w:t xml:space="preserve">The Commission’s analysis of the CPOR Act, incorporating input from the NSW Police Force, identified over 20 issues. These issues are set out in full in </w:t>
      </w:r>
      <w:r w:rsidRPr="004A3983">
        <w:rPr>
          <w:rFonts w:ascii="Gotham Book" w:hAnsi="Gotham Book"/>
          <w:b/>
        </w:rPr>
        <w:t>Appendix 2</w:t>
      </w:r>
      <w:r w:rsidRPr="004A3983">
        <w:rPr>
          <w:rFonts w:ascii="Gotham Book" w:hAnsi="Gotham Book"/>
        </w:rPr>
        <w:t xml:space="preserve">, with examples of cases in which the complexity or ambiguity in the Act have led to errors. </w:t>
      </w:r>
      <w:r w:rsidRPr="004A3983">
        <w:rPr>
          <w:rFonts w:ascii="Gotham Book" w:hAnsi="Gotham Book" w:cs="Arial"/>
        </w:rPr>
        <w:t xml:space="preserve">We recommend that the Attorney-General </w:t>
      </w:r>
      <w:r w:rsidR="003D2122" w:rsidRPr="004A3983">
        <w:rPr>
          <w:rFonts w:ascii="Gotham Book" w:hAnsi="Gotham Book" w:cs="Arial"/>
        </w:rPr>
        <w:t xml:space="preserve">urgently </w:t>
      </w:r>
      <w:r w:rsidRPr="004A3983">
        <w:rPr>
          <w:rFonts w:ascii="Gotham Book" w:hAnsi="Gotham Book" w:cs="Arial"/>
        </w:rPr>
        <w:t>refer the CPOR Act to the NSW Law Reform Commission for comprehe</w:t>
      </w:r>
      <w:r w:rsidR="00E967E1">
        <w:rPr>
          <w:rFonts w:ascii="Gotham Book" w:hAnsi="Gotham Book" w:cs="Arial"/>
        </w:rPr>
        <w:t>nsive review, to be completed within six months.</w:t>
      </w:r>
      <w:r w:rsidRPr="004A3983">
        <w:rPr>
          <w:rFonts w:ascii="Gotham Book" w:hAnsi="Gotham Book" w:cs="Arial"/>
        </w:rPr>
        <w:t xml:space="preserve"> </w:t>
      </w:r>
    </w:p>
    <w:p w14:paraId="42AA7920" w14:textId="545C03D0" w:rsidR="00DB395A" w:rsidRPr="004A3983" w:rsidRDefault="00DB395A" w:rsidP="00E967E1">
      <w:pPr>
        <w:spacing w:after="160"/>
        <w:rPr>
          <w:rFonts w:ascii="Gotham Book" w:hAnsi="Gotham Book"/>
        </w:rPr>
      </w:pPr>
      <w:r w:rsidRPr="004A3983">
        <w:rPr>
          <w:rFonts w:ascii="Gotham Book" w:hAnsi="Gotham Book"/>
        </w:rPr>
        <w:t xml:space="preserve">In </w:t>
      </w:r>
      <w:r w:rsidRPr="004A3983">
        <w:rPr>
          <w:rFonts w:ascii="Gotham Book" w:hAnsi="Gotham Book"/>
          <w:b/>
        </w:rPr>
        <w:t>Chapter 7</w:t>
      </w:r>
      <w:r w:rsidRPr="004A3983">
        <w:rPr>
          <w:rFonts w:ascii="Gotham Book" w:hAnsi="Gotham Book"/>
        </w:rPr>
        <w:t xml:space="preserve"> we explain that courts and ‘supervising authorities’ have obligations under the CPOR Act to assist the NSW Police Force to implement the Register. However, there have been problems with compliance with </w:t>
      </w:r>
      <w:r w:rsidR="007A7E14" w:rsidRPr="004A3983">
        <w:rPr>
          <w:rFonts w:ascii="Gotham Book" w:hAnsi="Gotham Book"/>
        </w:rPr>
        <w:t xml:space="preserve">some of </w:t>
      </w:r>
      <w:r w:rsidRPr="004A3983">
        <w:rPr>
          <w:rFonts w:ascii="Gotham Book" w:hAnsi="Gotham Book"/>
        </w:rPr>
        <w:t xml:space="preserve">these obligations </w:t>
      </w:r>
      <w:r w:rsidR="005E0D1F" w:rsidRPr="004A3983">
        <w:rPr>
          <w:rFonts w:ascii="Gotham Book" w:hAnsi="Gotham Book"/>
        </w:rPr>
        <w:t>for many</w:t>
      </w:r>
      <w:r w:rsidRPr="004A3983">
        <w:rPr>
          <w:rFonts w:ascii="Gotham Book" w:hAnsi="Gotham Book"/>
        </w:rPr>
        <w:t xml:space="preserve"> years. Since 2003 authorities have been relying on </w:t>
      </w:r>
      <w:r w:rsidR="00C62A5A" w:rsidRPr="004A3983">
        <w:rPr>
          <w:rFonts w:ascii="Gotham Book" w:hAnsi="Gotham Book"/>
        </w:rPr>
        <w:t>the NSW Police Force to determine</w:t>
      </w:r>
      <w:r w:rsidRPr="004A3983">
        <w:rPr>
          <w:rFonts w:ascii="Gotham Book" w:hAnsi="Gotham Book"/>
        </w:rPr>
        <w:t xml:space="preserve"> who </w:t>
      </w:r>
      <w:r w:rsidR="00C62A5A" w:rsidRPr="004A3983">
        <w:rPr>
          <w:rFonts w:ascii="Gotham Book" w:hAnsi="Gotham Book"/>
        </w:rPr>
        <w:t>the CPOR Act requires to be registered</w:t>
      </w:r>
      <w:r w:rsidRPr="004A3983">
        <w:rPr>
          <w:rFonts w:ascii="Gotham Book" w:hAnsi="Gotham Book"/>
        </w:rPr>
        <w:t>, even though the Act does not contemplate this role being performed by police. This shift away from the system envisioned by the CPOR Act has resulted in the NSW Police Force making decisions under that Act without access to adequate information. The NSW Police Force has already adopted some of our recommendations for interim solutions to improve the Registry’s access to the information necessary to implement the CPOR Act. However, ultimately,</w:t>
      </w:r>
      <w:r w:rsidRPr="004A3983">
        <w:rPr>
          <w:rFonts w:ascii="Gotham Book" w:hAnsi="Gotham Book" w:cs="Arial"/>
        </w:rPr>
        <w:t xml:space="preserve"> the respective roles of the courts, the NSW Police Force and other authorities in relation to the Register need t</w:t>
      </w:r>
      <w:r w:rsidR="007A7E14" w:rsidRPr="004A3983">
        <w:rPr>
          <w:rFonts w:ascii="Gotham Book" w:hAnsi="Gotham Book" w:cs="Arial"/>
        </w:rPr>
        <w:t>o be reconsidered as part of the</w:t>
      </w:r>
      <w:r w:rsidRPr="004A3983">
        <w:rPr>
          <w:rFonts w:ascii="Gotham Book" w:hAnsi="Gotham Book" w:cs="Arial"/>
        </w:rPr>
        <w:t xml:space="preserve"> review of the CPOR Act</w:t>
      </w:r>
      <w:r w:rsidR="007A7E14" w:rsidRPr="004A3983">
        <w:rPr>
          <w:rFonts w:ascii="Gotham Book" w:hAnsi="Gotham Book" w:cs="Arial"/>
        </w:rPr>
        <w:t xml:space="preserve"> recommended in Chapter 6</w:t>
      </w:r>
      <w:r w:rsidRPr="004A3983">
        <w:rPr>
          <w:rFonts w:ascii="Gotham Book" w:hAnsi="Gotham Book" w:cs="Arial"/>
        </w:rPr>
        <w:t xml:space="preserve">. </w:t>
      </w:r>
    </w:p>
    <w:p w14:paraId="20F59033" w14:textId="56FCA0FD" w:rsidR="00DB395A" w:rsidRDefault="00DB395A" w:rsidP="00E967E1">
      <w:pPr>
        <w:spacing w:after="160"/>
        <w:rPr>
          <w:rFonts w:ascii="Gotham Book" w:hAnsi="Gotham Book"/>
        </w:rPr>
      </w:pPr>
      <w:r w:rsidRPr="004A3983">
        <w:rPr>
          <w:rFonts w:ascii="Gotham Book" w:hAnsi="Gotham Book"/>
        </w:rPr>
        <w:t>In</w:t>
      </w:r>
      <w:r w:rsidRPr="004A3983">
        <w:rPr>
          <w:rFonts w:ascii="Gotham Book" w:hAnsi="Gotham Book"/>
          <w:b/>
        </w:rPr>
        <w:t xml:space="preserve"> Chapter 8 </w:t>
      </w:r>
      <w:r w:rsidRPr="004A3983">
        <w:rPr>
          <w:rFonts w:ascii="Gotham Book" w:hAnsi="Gotham Book"/>
        </w:rPr>
        <w:t xml:space="preserve">we discuss the electronic systems that the Registry </w:t>
      </w:r>
      <w:r w:rsidR="001F7A8B" w:rsidRPr="004A3983">
        <w:rPr>
          <w:rFonts w:ascii="Gotham Book" w:hAnsi="Gotham Book"/>
        </w:rPr>
        <w:t xml:space="preserve">uses to </w:t>
      </w:r>
      <w:r w:rsidRPr="004A3983">
        <w:rPr>
          <w:rFonts w:ascii="Gotham Book" w:hAnsi="Gotham Book"/>
        </w:rPr>
        <w:t xml:space="preserve">keep the information </w:t>
      </w:r>
      <w:r w:rsidR="001F7A8B" w:rsidRPr="004A3983">
        <w:rPr>
          <w:rFonts w:ascii="Gotham Book" w:hAnsi="Gotham Book"/>
        </w:rPr>
        <w:t xml:space="preserve">on the Register </w:t>
      </w:r>
      <w:r w:rsidRPr="004A3983">
        <w:rPr>
          <w:rFonts w:ascii="Gotham Book" w:hAnsi="Gotham Book"/>
        </w:rPr>
        <w:t>about offenders</w:t>
      </w:r>
      <w:r w:rsidR="005E0D1F" w:rsidRPr="004A3983">
        <w:rPr>
          <w:rFonts w:ascii="Gotham Book" w:hAnsi="Gotham Book"/>
        </w:rPr>
        <w:t xml:space="preserve">’ </w:t>
      </w:r>
      <w:r w:rsidRPr="004A3983">
        <w:rPr>
          <w:rFonts w:ascii="Gotham Book" w:hAnsi="Gotham Book"/>
        </w:rPr>
        <w:t>reporting obligations up to date.  I</w:t>
      </w:r>
      <w:r w:rsidRPr="004A3983">
        <w:rPr>
          <w:rFonts w:ascii="Gotham Book" w:hAnsi="Gotham Book"/>
          <w:color w:val="000000"/>
        </w:rPr>
        <w:t xml:space="preserve">n 2014 Registry officers began to notice issues with </w:t>
      </w:r>
      <w:r w:rsidRPr="004A3983">
        <w:rPr>
          <w:rFonts w:ascii="Gotham Book" w:hAnsi="Gotham Book"/>
        </w:rPr>
        <w:t xml:space="preserve">these systems, and in 2015 it was reported that these problems had resulted in registered child sex offenders being released into the community without being monitored by the NSW Police Force under the CPOR Act. </w:t>
      </w:r>
      <w:r w:rsidRPr="004A3983">
        <w:rPr>
          <w:rFonts w:ascii="Gotham Book" w:hAnsi="Gotham Book"/>
          <w:color w:val="000000"/>
        </w:rPr>
        <w:t xml:space="preserve">The NSW Police Force approved an IT project in 2017 to fix the issues with the </w:t>
      </w:r>
      <w:r w:rsidR="00C34E9C" w:rsidRPr="004A3983">
        <w:rPr>
          <w:rFonts w:ascii="Gotham Book" w:hAnsi="Gotham Book"/>
          <w:color w:val="000000"/>
        </w:rPr>
        <w:t>electronic systems</w:t>
      </w:r>
      <w:r w:rsidRPr="004A3983">
        <w:rPr>
          <w:rFonts w:ascii="Gotham Book" w:hAnsi="Gotham Book"/>
          <w:color w:val="000000"/>
        </w:rPr>
        <w:t xml:space="preserve">. </w:t>
      </w:r>
      <w:r w:rsidR="00E302E0" w:rsidRPr="004A3983">
        <w:rPr>
          <w:rFonts w:ascii="Gotham Book" w:hAnsi="Gotham Book"/>
          <w:color w:val="000000"/>
        </w:rPr>
        <w:t>A</w:t>
      </w:r>
      <w:r w:rsidRPr="004A3983">
        <w:rPr>
          <w:rFonts w:ascii="Gotham Book" w:hAnsi="Gotham Book"/>
          <w:color w:val="000000"/>
        </w:rPr>
        <w:t xml:space="preserve">t the time of writing, this project </w:t>
      </w:r>
      <w:r w:rsidR="000B218D" w:rsidRPr="004A3983">
        <w:rPr>
          <w:rFonts w:ascii="Gotham Book" w:hAnsi="Gotham Book"/>
          <w:color w:val="000000"/>
        </w:rPr>
        <w:t>had</w:t>
      </w:r>
      <w:r w:rsidR="00E302E0" w:rsidRPr="004A3983">
        <w:rPr>
          <w:rFonts w:ascii="Gotham Book" w:hAnsi="Gotham Book"/>
          <w:color w:val="000000"/>
        </w:rPr>
        <w:t xml:space="preserve"> not yet </w:t>
      </w:r>
      <w:r w:rsidR="000B218D" w:rsidRPr="004A3983">
        <w:rPr>
          <w:rFonts w:ascii="Gotham Book" w:hAnsi="Gotham Book"/>
          <w:color w:val="000000"/>
        </w:rPr>
        <w:t xml:space="preserve">been </w:t>
      </w:r>
      <w:r w:rsidR="00E302E0" w:rsidRPr="004A3983">
        <w:rPr>
          <w:rFonts w:ascii="Gotham Book" w:hAnsi="Gotham Book"/>
          <w:color w:val="000000"/>
        </w:rPr>
        <w:t>completed.</w:t>
      </w:r>
      <w:r w:rsidRPr="004A3983">
        <w:rPr>
          <w:rFonts w:ascii="Gotham Book" w:hAnsi="Gotham Book"/>
          <w:color w:val="000000"/>
        </w:rPr>
        <w:t xml:space="preserve"> We recommend that </w:t>
      </w:r>
      <w:r w:rsidRPr="004A3983">
        <w:rPr>
          <w:rFonts w:ascii="Gotham Book" w:hAnsi="Gotham Book"/>
        </w:rPr>
        <w:t>the NSW Police Force take steps to ensure that the project is completed as soon as possible.</w:t>
      </w:r>
    </w:p>
    <w:p w14:paraId="34B8F00A" w14:textId="77777777" w:rsidR="001C0B4D" w:rsidRPr="004A3983" w:rsidRDefault="001C0B4D" w:rsidP="00E967E1">
      <w:pPr>
        <w:spacing w:after="160"/>
        <w:rPr>
          <w:rFonts w:ascii="Gotham Book" w:hAnsi="Gotham Book"/>
        </w:rPr>
      </w:pPr>
    </w:p>
    <w:p w14:paraId="07A9CAA0" w14:textId="285FDED8" w:rsidR="00DB395A" w:rsidRPr="004A3983" w:rsidRDefault="00DB395A" w:rsidP="001C0B4D">
      <w:pPr>
        <w:pageBreakBefore/>
        <w:spacing w:after="160"/>
        <w:rPr>
          <w:rFonts w:ascii="Gotham Book" w:hAnsi="Gotham Book"/>
        </w:rPr>
      </w:pPr>
      <w:r w:rsidRPr="004A3983">
        <w:rPr>
          <w:rFonts w:ascii="Gotham Book" w:hAnsi="Gotham Book"/>
        </w:rPr>
        <w:lastRenderedPageBreak/>
        <w:t xml:space="preserve">In </w:t>
      </w:r>
      <w:r w:rsidRPr="004A3983">
        <w:rPr>
          <w:rFonts w:ascii="Gotham Book" w:hAnsi="Gotham Book"/>
          <w:b/>
        </w:rPr>
        <w:t>Chapter 9</w:t>
      </w:r>
      <w:r w:rsidRPr="004A3983">
        <w:rPr>
          <w:rFonts w:ascii="Gotham Book" w:hAnsi="Gotham Book"/>
        </w:rPr>
        <w:t xml:space="preserve"> we consider mechanisms to improve governance, quality assurance and accountability in relation to the Register. We recommend that an interagency committee and governance framework, involving the NSW Police Force, courts and supervising authorities, be established to improve compliance with each </w:t>
      </w:r>
      <w:r w:rsidR="004442ED" w:rsidRPr="004A3983">
        <w:rPr>
          <w:rFonts w:ascii="Gotham Book" w:hAnsi="Gotham Book"/>
        </w:rPr>
        <w:t>authority’s</w:t>
      </w:r>
      <w:r w:rsidRPr="004A3983">
        <w:rPr>
          <w:rFonts w:ascii="Gotham Book" w:hAnsi="Gotham Book"/>
        </w:rPr>
        <w:t xml:space="preserve"> obligations under the CPOR Act. We also recommend that the NSW Police Force develop an internal governance framework to ensure all local commands comply with the statutory framework when managing registrable persons. We further recommend that the statutory framework for the Register be amended to provide for independent compliance audit</w:t>
      </w:r>
      <w:r w:rsidR="007C4A6B">
        <w:rPr>
          <w:rFonts w:ascii="Gotham Book" w:hAnsi="Gotham Book"/>
        </w:rPr>
        <w:t>s</w:t>
      </w:r>
      <w:r w:rsidRPr="004A3983">
        <w:rPr>
          <w:rFonts w:ascii="Gotham Book" w:hAnsi="Gotham Book"/>
        </w:rPr>
        <w:t xml:space="preserve"> of the Register, similar to the </w:t>
      </w:r>
      <w:r w:rsidRPr="004A3983">
        <w:rPr>
          <w:rFonts w:ascii="Gotham Book" w:hAnsi="Gotham Book"/>
          <w:i/>
        </w:rPr>
        <w:t>Sex Offenders Registration Act 2004</w:t>
      </w:r>
      <w:r w:rsidRPr="004A3983">
        <w:rPr>
          <w:rFonts w:ascii="Gotham Book" w:hAnsi="Gotham Book"/>
        </w:rPr>
        <w:t xml:space="preserve"> (Vic).</w:t>
      </w:r>
    </w:p>
    <w:p w14:paraId="0C88F4B8" w14:textId="46D6D371" w:rsidR="002073C8" w:rsidRPr="004A3983" w:rsidRDefault="002073C8" w:rsidP="00F03C93">
      <w:pPr>
        <w:spacing w:after="160"/>
        <w:ind w:right="260"/>
      </w:pPr>
    </w:p>
    <w:p w14:paraId="3A7A7A75" w14:textId="77777777" w:rsidR="00B02EB5" w:rsidRPr="004A3983" w:rsidRDefault="00B02EB5" w:rsidP="00F03C93">
      <w:pPr>
        <w:spacing w:after="160"/>
        <w:ind w:right="260"/>
        <w:sectPr w:rsidR="00B02EB5" w:rsidRPr="004A3983" w:rsidSect="00CD3866">
          <w:headerReference w:type="even" r:id="rId29"/>
          <w:headerReference w:type="default" r:id="rId30"/>
          <w:headerReference w:type="first" r:id="rId31"/>
          <w:footerReference w:type="first" r:id="rId32"/>
          <w:pgSz w:w="11906" w:h="16838"/>
          <w:pgMar w:top="720" w:right="1276" w:bottom="1418" w:left="1276" w:header="709" w:footer="567" w:gutter="0"/>
          <w:cols w:space="708"/>
          <w:titlePg/>
          <w:docGrid w:linePitch="360"/>
        </w:sectPr>
      </w:pPr>
    </w:p>
    <w:p w14:paraId="1ED9D680" w14:textId="6A1DB1B4" w:rsidR="00B572BD" w:rsidRPr="004A3983" w:rsidRDefault="001C3982" w:rsidP="001C3982">
      <w:pPr>
        <w:pStyle w:val="Heading1"/>
        <w:framePr w:wrap="around"/>
      </w:pPr>
      <w:bookmarkStart w:id="26" w:name="_Toc513734361"/>
      <w:bookmarkStart w:id="27" w:name="_Toc520453451"/>
      <w:bookmarkStart w:id="28" w:name="_Toc520464669"/>
      <w:bookmarkStart w:id="29" w:name="_Toc520464838"/>
      <w:bookmarkStart w:id="30" w:name="_Toc522263707"/>
      <w:bookmarkStart w:id="31" w:name="_Toc522263981"/>
      <w:bookmarkStart w:id="32" w:name="_Ref9250406"/>
      <w:bookmarkEnd w:id="26"/>
      <w:bookmarkEnd w:id="27"/>
      <w:bookmarkEnd w:id="28"/>
      <w:bookmarkEnd w:id="29"/>
      <w:bookmarkEnd w:id="30"/>
      <w:bookmarkEnd w:id="31"/>
      <w:r>
        <w:lastRenderedPageBreak/>
        <w:br/>
      </w:r>
      <w:bookmarkStart w:id="33" w:name="_Toc22627723"/>
      <w:r w:rsidR="00906607" w:rsidRPr="004A3983">
        <w:t>Our investigation</w:t>
      </w:r>
      <w:bookmarkEnd w:id="32"/>
      <w:r w:rsidR="00906607" w:rsidRPr="004A3983">
        <w:t xml:space="preserve"> process</w:t>
      </w:r>
      <w:bookmarkEnd w:id="33"/>
    </w:p>
    <w:p w14:paraId="2606A752" w14:textId="77777777" w:rsidR="0074214E" w:rsidRPr="004A3983" w:rsidRDefault="0074214E" w:rsidP="00F03C93">
      <w:pPr>
        <w:pStyle w:val="Heading2"/>
        <w:numPr>
          <w:ilvl w:val="0"/>
          <w:numId w:val="0"/>
        </w:numPr>
        <w:spacing w:after="160"/>
        <w:ind w:right="260"/>
      </w:pPr>
      <w:bookmarkStart w:id="34" w:name="_Toc513734362"/>
      <w:bookmarkStart w:id="35" w:name="_Toc520453452"/>
      <w:bookmarkStart w:id="36" w:name="_Toc520464670"/>
      <w:bookmarkStart w:id="37" w:name="_Toc520464839"/>
      <w:bookmarkStart w:id="38" w:name="_Toc522263708"/>
      <w:bookmarkStart w:id="39" w:name="_Toc522263982"/>
      <w:r w:rsidRPr="004A3983">
        <w:br w:type="page"/>
      </w:r>
    </w:p>
    <w:p w14:paraId="12C7A985" w14:textId="422A7BED" w:rsidR="00A55C9C" w:rsidRPr="004A3983" w:rsidRDefault="005F740F" w:rsidP="00846370">
      <w:pPr>
        <w:pStyle w:val="Heading2"/>
      </w:pPr>
      <w:bookmarkStart w:id="40" w:name="_Toc8641126"/>
      <w:bookmarkStart w:id="41" w:name="_Toc22627724"/>
      <w:r w:rsidRPr="004A3983">
        <w:lastRenderedPageBreak/>
        <w:t xml:space="preserve">Initiation of </w:t>
      </w:r>
      <w:r w:rsidR="002D47DA" w:rsidRPr="004A3983">
        <w:t>Operation T</w:t>
      </w:r>
      <w:r w:rsidR="00337486" w:rsidRPr="004A3983">
        <w:t>usket</w:t>
      </w:r>
      <w:bookmarkEnd w:id="40"/>
      <w:bookmarkEnd w:id="41"/>
      <w:r w:rsidR="00337486" w:rsidRPr="004A3983">
        <w:t xml:space="preserve"> </w:t>
      </w:r>
      <w:bookmarkEnd w:id="34"/>
      <w:bookmarkEnd w:id="35"/>
      <w:bookmarkEnd w:id="36"/>
      <w:bookmarkEnd w:id="37"/>
      <w:bookmarkEnd w:id="38"/>
      <w:bookmarkEnd w:id="39"/>
    </w:p>
    <w:p w14:paraId="250F7E7C" w14:textId="0C06B15E" w:rsidR="001D218F" w:rsidRPr="004A3983" w:rsidRDefault="00EE0293" w:rsidP="00846370">
      <w:pPr>
        <w:spacing w:after="160"/>
        <w:rPr>
          <w:rFonts w:ascii="Gotham Book" w:hAnsi="Gotham Book"/>
        </w:rPr>
      </w:pPr>
      <w:bookmarkStart w:id="42" w:name="_Toc513734363"/>
      <w:bookmarkStart w:id="43" w:name="_Toc520453453"/>
      <w:bookmarkStart w:id="44" w:name="_Toc520464671"/>
      <w:bookmarkStart w:id="45" w:name="_Toc520464840"/>
      <w:bookmarkStart w:id="46" w:name="_Toc522263709"/>
      <w:bookmarkStart w:id="47" w:name="_Toc522263983"/>
      <w:r w:rsidRPr="004A3983">
        <w:rPr>
          <w:rFonts w:ascii="Gotham Book" w:hAnsi="Gotham Book"/>
        </w:rPr>
        <w:t xml:space="preserve">In </w:t>
      </w:r>
      <w:r w:rsidR="007366D7" w:rsidRPr="004A3983">
        <w:rPr>
          <w:rFonts w:ascii="Gotham Book" w:hAnsi="Gotham Book"/>
        </w:rPr>
        <w:t xml:space="preserve">2017 the Law Enforcement Conduct Commission (the Commission) received a </w:t>
      </w:r>
      <w:r w:rsidR="006A1FE3" w:rsidRPr="004A3983">
        <w:rPr>
          <w:rFonts w:ascii="Gotham Book" w:hAnsi="Gotham Book"/>
        </w:rPr>
        <w:t>complaint</w:t>
      </w:r>
      <w:r w:rsidR="007366D7" w:rsidRPr="004A3983">
        <w:rPr>
          <w:rFonts w:ascii="Gotham Book" w:hAnsi="Gotham Book"/>
        </w:rPr>
        <w:t xml:space="preserve"> </w:t>
      </w:r>
      <w:r w:rsidR="006A1FE3" w:rsidRPr="004A3983">
        <w:rPr>
          <w:rFonts w:ascii="Gotham Book" w:hAnsi="Gotham Book"/>
        </w:rPr>
        <w:t xml:space="preserve">from an officer (who has since left the NSW Police Force) alleging that there were serious problems with the </w:t>
      </w:r>
      <w:r w:rsidR="00C442B8" w:rsidRPr="004A3983">
        <w:rPr>
          <w:rFonts w:ascii="Gotham Book" w:hAnsi="Gotham Book"/>
        </w:rPr>
        <w:t xml:space="preserve">NSW Child Protection Register (the Register). </w:t>
      </w:r>
      <w:r w:rsidR="00713671" w:rsidRPr="004A3983">
        <w:rPr>
          <w:rFonts w:ascii="Gotham Book" w:hAnsi="Gotham Book"/>
        </w:rPr>
        <w:t>Based on the information provided by the officer, t</w:t>
      </w:r>
      <w:r w:rsidR="00C442B8" w:rsidRPr="004A3983">
        <w:rPr>
          <w:rFonts w:ascii="Gotham Book" w:hAnsi="Gotham Book"/>
        </w:rPr>
        <w:t xml:space="preserve">he Commission determined the complaint </w:t>
      </w:r>
      <w:r w:rsidR="00FB1A3E" w:rsidRPr="004A3983">
        <w:rPr>
          <w:rFonts w:ascii="Gotham Book" w:hAnsi="Gotham Book"/>
        </w:rPr>
        <w:t>qualified as</w:t>
      </w:r>
      <w:r w:rsidR="00C442B8" w:rsidRPr="004A3983">
        <w:rPr>
          <w:rFonts w:ascii="Gotham Book" w:hAnsi="Gotham Book"/>
        </w:rPr>
        <w:t xml:space="preserve"> a public interest disclosure under the </w:t>
      </w:r>
      <w:r w:rsidR="00C442B8" w:rsidRPr="004A3983">
        <w:rPr>
          <w:rFonts w:ascii="Gotham Book" w:hAnsi="Gotham Book"/>
          <w:i/>
        </w:rPr>
        <w:t>Public Interest Disclosures Act 1994</w:t>
      </w:r>
      <w:r w:rsidR="00C442B8" w:rsidRPr="004A3983">
        <w:rPr>
          <w:rFonts w:ascii="Gotham Book" w:hAnsi="Gotham Book"/>
        </w:rPr>
        <w:t xml:space="preserve"> (NSW).</w:t>
      </w:r>
      <w:r w:rsidR="00D719D1" w:rsidRPr="004A3983">
        <w:rPr>
          <w:rStyle w:val="FootnoteReference"/>
          <w:rFonts w:ascii="Gotham Book" w:hAnsi="Gotham Book"/>
        </w:rPr>
        <w:footnoteReference w:id="2"/>
      </w:r>
      <w:r w:rsidR="00D719D1" w:rsidRPr="004A3983">
        <w:rPr>
          <w:rFonts w:ascii="Gotham Book" w:hAnsi="Gotham Book"/>
        </w:rPr>
        <w:t xml:space="preserve"> </w:t>
      </w:r>
      <w:r w:rsidR="00932494" w:rsidRPr="004A3983">
        <w:rPr>
          <w:rFonts w:ascii="Gotham Book" w:hAnsi="Gotham Book"/>
        </w:rPr>
        <w:t xml:space="preserve">On the basis of this disclosure, in September 2017 the Commission commenced </w:t>
      </w:r>
      <w:r w:rsidR="00524C56" w:rsidRPr="004A3983">
        <w:rPr>
          <w:rFonts w:ascii="Gotham Book" w:hAnsi="Gotham Book"/>
        </w:rPr>
        <w:t xml:space="preserve">an investigation into the </w:t>
      </w:r>
      <w:r w:rsidR="00BC1F19" w:rsidRPr="004A3983">
        <w:rPr>
          <w:rFonts w:ascii="Gotham Book" w:hAnsi="Gotham Book"/>
        </w:rPr>
        <w:t xml:space="preserve">administration of the </w:t>
      </w:r>
      <w:r w:rsidR="00524C56" w:rsidRPr="004A3983">
        <w:rPr>
          <w:rFonts w:ascii="Gotham Book" w:hAnsi="Gotham Book"/>
        </w:rPr>
        <w:t>Register</w:t>
      </w:r>
      <w:r w:rsidR="00781B02" w:rsidRPr="004A3983">
        <w:rPr>
          <w:rFonts w:ascii="Gotham Book" w:hAnsi="Gotham Book"/>
        </w:rPr>
        <w:t xml:space="preserve"> by the NSW Police Force</w:t>
      </w:r>
      <w:r w:rsidR="00524C56" w:rsidRPr="004A3983">
        <w:rPr>
          <w:rFonts w:ascii="Gotham Book" w:hAnsi="Gotham Book"/>
        </w:rPr>
        <w:t xml:space="preserve">. </w:t>
      </w:r>
    </w:p>
    <w:p w14:paraId="4E114629" w14:textId="4376061A" w:rsidR="00651B64" w:rsidRPr="004A3983" w:rsidRDefault="001D218F" w:rsidP="00F7559D">
      <w:pPr>
        <w:spacing w:after="160"/>
        <w:rPr>
          <w:rFonts w:ascii="Gotham Book" w:hAnsi="Gotham Book"/>
        </w:rPr>
      </w:pPr>
      <w:r w:rsidRPr="004A3983">
        <w:rPr>
          <w:rFonts w:ascii="Gotham Book" w:hAnsi="Gotham Book"/>
        </w:rPr>
        <w:t>The</w:t>
      </w:r>
      <w:r w:rsidR="00524C56" w:rsidRPr="004A3983">
        <w:rPr>
          <w:rFonts w:ascii="Gotham Book" w:hAnsi="Gotham Book"/>
        </w:rPr>
        <w:t xml:space="preserve"> investigation, referred to as </w:t>
      </w:r>
      <w:r w:rsidR="00337486" w:rsidRPr="004A3983">
        <w:rPr>
          <w:rFonts w:ascii="Gotham Book" w:hAnsi="Gotham Book"/>
        </w:rPr>
        <w:t>Operation Tusket</w:t>
      </w:r>
      <w:r w:rsidR="00524C56" w:rsidRPr="004A3983">
        <w:rPr>
          <w:rFonts w:ascii="Gotham Book" w:hAnsi="Gotham Book"/>
        </w:rPr>
        <w:t>, was initiated</w:t>
      </w:r>
      <w:r w:rsidR="00337486" w:rsidRPr="004A3983">
        <w:rPr>
          <w:rFonts w:ascii="Gotham Book" w:hAnsi="Gotham Book"/>
        </w:rPr>
        <w:t xml:space="preserve"> under s 51(1)(d) of the </w:t>
      </w:r>
      <w:r w:rsidR="00337486" w:rsidRPr="004A3983">
        <w:rPr>
          <w:rFonts w:ascii="Gotham Book" w:hAnsi="Gotham Book"/>
          <w:i/>
        </w:rPr>
        <w:t>Law Enforcement Conduct Commission Act</w:t>
      </w:r>
      <w:r w:rsidR="00337486" w:rsidRPr="004A3983">
        <w:rPr>
          <w:rFonts w:ascii="Gotham Book" w:hAnsi="Gotham Book"/>
        </w:rPr>
        <w:t xml:space="preserve"> </w:t>
      </w:r>
      <w:r w:rsidR="00337486" w:rsidRPr="004A3983">
        <w:rPr>
          <w:rFonts w:ascii="Gotham Book" w:hAnsi="Gotham Book"/>
          <w:i/>
        </w:rPr>
        <w:t xml:space="preserve">2016 </w:t>
      </w:r>
      <w:r w:rsidR="00337486" w:rsidRPr="004A3983">
        <w:rPr>
          <w:rFonts w:ascii="Gotham Book" w:hAnsi="Gotham Book"/>
        </w:rPr>
        <w:t>(NSW)</w:t>
      </w:r>
      <w:r w:rsidR="00653936" w:rsidRPr="004A3983">
        <w:rPr>
          <w:rFonts w:ascii="Gotham Book" w:hAnsi="Gotham Book"/>
          <w:i/>
        </w:rPr>
        <w:t xml:space="preserve"> </w:t>
      </w:r>
      <w:r w:rsidR="00337486" w:rsidRPr="004A3983">
        <w:rPr>
          <w:rFonts w:ascii="Gotham Book" w:hAnsi="Gotham Book"/>
        </w:rPr>
        <w:t>(LECC Act)</w:t>
      </w:r>
      <w:r w:rsidR="000F700D" w:rsidRPr="004A3983">
        <w:rPr>
          <w:rFonts w:ascii="Gotham Book" w:hAnsi="Gotham Book"/>
        </w:rPr>
        <w:t>.</w:t>
      </w:r>
      <w:r w:rsidRPr="004A3983">
        <w:rPr>
          <w:rFonts w:ascii="Gotham Book" w:hAnsi="Gotham Book"/>
        </w:rPr>
        <w:t xml:space="preserve"> That section states that the Commission may exercise its investigation powers in respect of conduct that is, or could be, ‘agency maladministration’</w:t>
      </w:r>
      <w:r w:rsidR="00F7559D" w:rsidRPr="004A3983">
        <w:rPr>
          <w:rFonts w:ascii="Gotham Book" w:hAnsi="Gotham Book"/>
        </w:rPr>
        <w:t xml:space="preserve">. </w:t>
      </w:r>
      <w:r w:rsidR="00651B64" w:rsidRPr="004A3983">
        <w:rPr>
          <w:rFonts w:ascii="Gotham Book" w:hAnsi="Gotham Book"/>
        </w:rPr>
        <w:t>A</w:t>
      </w:r>
      <w:r w:rsidR="00F7559D" w:rsidRPr="004A3983">
        <w:rPr>
          <w:rFonts w:ascii="Gotham Book" w:hAnsi="Gotham Book"/>
        </w:rPr>
        <w:t>ge</w:t>
      </w:r>
      <w:r w:rsidR="006C7956" w:rsidRPr="004A3983">
        <w:rPr>
          <w:rFonts w:ascii="Gotham Book" w:hAnsi="Gotham Book"/>
        </w:rPr>
        <w:t xml:space="preserve">ncy maladministration is </w:t>
      </w:r>
      <w:r w:rsidR="00781B02" w:rsidRPr="004A3983">
        <w:rPr>
          <w:rFonts w:ascii="Gotham Book" w:hAnsi="Gotham Book"/>
        </w:rPr>
        <w:t xml:space="preserve">a </w:t>
      </w:r>
      <w:r w:rsidR="006C7956" w:rsidRPr="004A3983">
        <w:rPr>
          <w:rFonts w:ascii="Gotham Book" w:hAnsi="Gotham Book"/>
        </w:rPr>
        <w:t>drafting device which refers to</w:t>
      </w:r>
      <w:r w:rsidR="00651B64" w:rsidRPr="004A3983">
        <w:rPr>
          <w:rFonts w:ascii="Gotham Book" w:hAnsi="Gotham Book"/>
        </w:rPr>
        <w:t>:</w:t>
      </w:r>
    </w:p>
    <w:p w14:paraId="07BD634C" w14:textId="77777777" w:rsidR="00651B64" w:rsidRPr="004A3983" w:rsidRDefault="00651B64" w:rsidP="00651B64">
      <w:pPr>
        <w:spacing w:after="160"/>
        <w:ind w:left="567" w:right="-2"/>
        <w:rPr>
          <w:rFonts w:ascii="Gotham Book" w:hAnsi="Gotham Book"/>
          <w:sz w:val="20"/>
          <w:szCs w:val="20"/>
        </w:rPr>
      </w:pPr>
      <w:r w:rsidRPr="004A3983">
        <w:rPr>
          <w:rFonts w:ascii="Gotham Book" w:hAnsi="Gotham Book"/>
          <w:sz w:val="20"/>
          <w:szCs w:val="20"/>
        </w:rPr>
        <w:t>any conduct (by way of action or inaction) of the NSW Police Force other than excluded conduct:</w:t>
      </w:r>
    </w:p>
    <w:p w14:paraId="07970A44" w14:textId="77777777" w:rsidR="00651B64" w:rsidRPr="004A3983" w:rsidRDefault="00651B64" w:rsidP="00677139">
      <w:pPr>
        <w:pStyle w:val="ListParagraph"/>
        <w:numPr>
          <w:ilvl w:val="0"/>
          <w:numId w:val="7"/>
        </w:numPr>
        <w:spacing w:before="0" w:after="160"/>
        <w:ind w:left="1134" w:right="-2" w:hanging="567"/>
        <w:contextualSpacing w:val="0"/>
        <w:rPr>
          <w:rFonts w:ascii="Gotham Book" w:hAnsi="Gotham Book"/>
          <w:sz w:val="20"/>
          <w:szCs w:val="20"/>
        </w:rPr>
      </w:pPr>
      <w:r w:rsidRPr="004A3983">
        <w:rPr>
          <w:rFonts w:ascii="Gotham Book" w:hAnsi="Gotham Book"/>
          <w:sz w:val="20"/>
          <w:szCs w:val="20"/>
        </w:rPr>
        <w:t>that is unlawful (that is, constitutes an offence or is corrupt conduct or is otherwise unlawful), or</w:t>
      </w:r>
    </w:p>
    <w:p w14:paraId="48719A42" w14:textId="77777777" w:rsidR="00651B64" w:rsidRPr="004A3983" w:rsidRDefault="00651B64" w:rsidP="00677139">
      <w:pPr>
        <w:pStyle w:val="ListParagraph"/>
        <w:numPr>
          <w:ilvl w:val="0"/>
          <w:numId w:val="7"/>
        </w:numPr>
        <w:spacing w:before="0" w:after="160"/>
        <w:ind w:left="1134" w:right="-2" w:hanging="567"/>
        <w:contextualSpacing w:val="0"/>
        <w:rPr>
          <w:rFonts w:ascii="Gotham Book" w:hAnsi="Gotham Book"/>
          <w:sz w:val="20"/>
          <w:szCs w:val="20"/>
        </w:rPr>
      </w:pPr>
      <w:r w:rsidRPr="004A3983">
        <w:rPr>
          <w:rFonts w:ascii="Gotham Book" w:hAnsi="Gotham Book"/>
          <w:sz w:val="20"/>
          <w:szCs w:val="20"/>
        </w:rPr>
        <w:t>that, although it is not unlawful:</w:t>
      </w:r>
    </w:p>
    <w:p w14:paraId="4937C1B9" w14:textId="77777777" w:rsidR="00651B64" w:rsidRPr="004A3983" w:rsidRDefault="00651B64" w:rsidP="00677139">
      <w:pPr>
        <w:pStyle w:val="ListParagraph"/>
        <w:numPr>
          <w:ilvl w:val="1"/>
          <w:numId w:val="8"/>
        </w:numPr>
        <w:spacing w:before="0" w:after="160"/>
        <w:ind w:left="1701" w:right="-2" w:hanging="567"/>
        <w:contextualSpacing w:val="0"/>
        <w:rPr>
          <w:rFonts w:ascii="Gotham Book" w:hAnsi="Gotham Book"/>
          <w:sz w:val="20"/>
          <w:szCs w:val="20"/>
        </w:rPr>
      </w:pPr>
      <w:r w:rsidRPr="004A3983">
        <w:rPr>
          <w:rFonts w:ascii="Gotham Book" w:hAnsi="Gotham Book"/>
          <w:sz w:val="20"/>
          <w:szCs w:val="20"/>
        </w:rPr>
        <w:t>is unreasonable, unjust, oppressive or improperly discriminatory in its effect, or</w:t>
      </w:r>
    </w:p>
    <w:p w14:paraId="7B0FB7AF" w14:textId="77777777" w:rsidR="00651B64" w:rsidRPr="004A3983" w:rsidRDefault="00651B64" w:rsidP="00677139">
      <w:pPr>
        <w:pStyle w:val="ListParagraph"/>
        <w:numPr>
          <w:ilvl w:val="1"/>
          <w:numId w:val="8"/>
        </w:numPr>
        <w:spacing w:before="0" w:after="160"/>
        <w:ind w:left="1701" w:right="-2" w:hanging="567"/>
        <w:contextualSpacing w:val="0"/>
        <w:rPr>
          <w:rFonts w:ascii="Gotham Book" w:hAnsi="Gotham Book"/>
          <w:sz w:val="20"/>
          <w:szCs w:val="20"/>
        </w:rPr>
      </w:pPr>
      <w:r w:rsidRPr="004A3983">
        <w:rPr>
          <w:rFonts w:ascii="Gotham Book" w:hAnsi="Gotham Book"/>
          <w:sz w:val="20"/>
          <w:szCs w:val="20"/>
        </w:rPr>
        <w:t>arises, wholly or in part, from improper motives, or</w:t>
      </w:r>
    </w:p>
    <w:p w14:paraId="2506C0D8" w14:textId="77777777" w:rsidR="00651B64" w:rsidRPr="004A3983" w:rsidRDefault="00651B64" w:rsidP="00677139">
      <w:pPr>
        <w:pStyle w:val="ListParagraph"/>
        <w:numPr>
          <w:ilvl w:val="1"/>
          <w:numId w:val="8"/>
        </w:numPr>
        <w:spacing w:before="0" w:after="160"/>
        <w:ind w:left="1701" w:right="-2" w:hanging="567"/>
        <w:contextualSpacing w:val="0"/>
        <w:rPr>
          <w:rFonts w:ascii="Gotham Book" w:hAnsi="Gotham Book"/>
          <w:sz w:val="20"/>
          <w:szCs w:val="20"/>
        </w:rPr>
      </w:pPr>
      <w:r w:rsidRPr="004A3983">
        <w:rPr>
          <w:rFonts w:ascii="Gotham Book" w:hAnsi="Gotham Book"/>
          <w:sz w:val="20"/>
          <w:szCs w:val="20"/>
        </w:rPr>
        <w:t>arises, wholly or in part, from a decision that has taken irrelevant matters into consideration, or</w:t>
      </w:r>
    </w:p>
    <w:p w14:paraId="0F20D326" w14:textId="77777777" w:rsidR="00651B64" w:rsidRPr="004A3983" w:rsidRDefault="00651B64" w:rsidP="00677139">
      <w:pPr>
        <w:pStyle w:val="ListParagraph"/>
        <w:numPr>
          <w:ilvl w:val="1"/>
          <w:numId w:val="8"/>
        </w:numPr>
        <w:spacing w:before="0" w:after="160"/>
        <w:ind w:left="1701" w:right="-2" w:hanging="567"/>
        <w:contextualSpacing w:val="0"/>
        <w:rPr>
          <w:rFonts w:ascii="Gotham Book" w:hAnsi="Gotham Book"/>
          <w:sz w:val="20"/>
          <w:szCs w:val="20"/>
        </w:rPr>
      </w:pPr>
      <w:r w:rsidRPr="004A3983">
        <w:rPr>
          <w:rFonts w:ascii="Gotham Book" w:hAnsi="Gotham Book"/>
          <w:sz w:val="20"/>
          <w:szCs w:val="20"/>
        </w:rPr>
        <w:t>arises, wholly or in part, from a mistake of law or fact, or</w:t>
      </w:r>
    </w:p>
    <w:p w14:paraId="79510083" w14:textId="77777777" w:rsidR="00651B64" w:rsidRPr="004A3983" w:rsidRDefault="00651B64" w:rsidP="00677139">
      <w:pPr>
        <w:pStyle w:val="ListParagraph"/>
        <w:numPr>
          <w:ilvl w:val="1"/>
          <w:numId w:val="8"/>
        </w:numPr>
        <w:spacing w:before="0" w:after="160"/>
        <w:ind w:left="1701" w:right="-2" w:hanging="567"/>
        <w:contextualSpacing w:val="0"/>
        <w:rPr>
          <w:rFonts w:ascii="Gotham Book" w:hAnsi="Gotham Book"/>
          <w:sz w:val="20"/>
          <w:szCs w:val="20"/>
        </w:rPr>
      </w:pPr>
      <w:r w:rsidRPr="004A3983">
        <w:rPr>
          <w:rFonts w:ascii="Gotham Book" w:hAnsi="Gotham Book"/>
          <w:sz w:val="20"/>
          <w:szCs w:val="20"/>
        </w:rPr>
        <w:t>is conduct of a kind for which reasons should have (but have not) been given, or</w:t>
      </w:r>
    </w:p>
    <w:p w14:paraId="338DAC22" w14:textId="3507FC0E" w:rsidR="00651B64" w:rsidRPr="004A3983" w:rsidRDefault="00651B64" w:rsidP="00677139">
      <w:pPr>
        <w:pStyle w:val="ListParagraph"/>
        <w:numPr>
          <w:ilvl w:val="0"/>
          <w:numId w:val="7"/>
        </w:numPr>
        <w:spacing w:before="0" w:after="160"/>
        <w:ind w:left="1134" w:right="-2" w:hanging="567"/>
        <w:contextualSpacing w:val="0"/>
        <w:rPr>
          <w:rFonts w:ascii="Gotham Book" w:hAnsi="Gotham Book"/>
          <w:sz w:val="20"/>
          <w:szCs w:val="20"/>
        </w:rPr>
      </w:pPr>
      <w:r w:rsidRPr="004A3983">
        <w:rPr>
          <w:rFonts w:ascii="Gotham Book" w:hAnsi="Gotham Book"/>
          <w:sz w:val="20"/>
          <w:szCs w:val="20"/>
        </w:rPr>
        <w:t>that is engaged in in accordance with a law or established practice, being a law or practice that is, or may be, unreasonable, unjust, oppressive or improperly discriminatory in its effect.</w:t>
      </w:r>
      <w:r w:rsidR="00BA04C4" w:rsidRPr="004A3983">
        <w:rPr>
          <w:rStyle w:val="FootnoteReference"/>
          <w:rFonts w:ascii="Gotham Book" w:hAnsi="Gotham Book"/>
          <w:sz w:val="20"/>
          <w:szCs w:val="20"/>
        </w:rPr>
        <w:footnoteReference w:id="3"/>
      </w:r>
    </w:p>
    <w:p w14:paraId="5D1168A5" w14:textId="5A132ACC" w:rsidR="00651B64" w:rsidRPr="004A3983" w:rsidRDefault="00335D71" w:rsidP="00651B64">
      <w:pPr>
        <w:spacing w:after="160"/>
        <w:ind w:right="-2"/>
        <w:rPr>
          <w:rFonts w:ascii="Gotham Book" w:hAnsi="Gotham Book"/>
        </w:rPr>
      </w:pPr>
      <w:r w:rsidRPr="004A3983">
        <w:rPr>
          <w:rFonts w:ascii="Gotham Book" w:hAnsi="Gotham Book"/>
        </w:rPr>
        <w:t>Agency maladministration may constitute ‘s</w:t>
      </w:r>
      <w:r w:rsidR="00651B64" w:rsidRPr="004A3983">
        <w:rPr>
          <w:rFonts w:ascii="Gotham Book" w:hAnsi="Gotham Book"/>
        </w:rPr>
        <w:t>erious maladministration’</w:t>
      </w:r>
      <w:r w:rsidRPr="004A3983">
        <w:rPr>
          <w:rFonts w:ascii="Gotham Book" w:hAnsi="Gotham Book"/>
        </w:rPr>
        <w:t xml:space="preserve"> if</w:t>
      </w:r>
      <w:r w:rsidR="00651B64" w:rsidRPr="004A3983">
        <w:rPr>
          <w:rFonts w:ascii="Gotham Book" w:hAnsi="Gotham Book"/>
        </w:rPr>
        <w:t>:</w:t>
      </w:r>
    </w:p>
    <w:p w14:paraId="7FE8690A" w14:textId="4552BAD9" w:rsidR="00651B64" w:rsidRPr="004A3983" w:rsidRDefault="00651B64" w:rsidP="00677139">
      <w:pPr>
        <w:pStyle w:val="ListParagraph"/>
        <w:numPr>
          <w:ilvl w:val="0"/>
          <w:numId w:val="9"/>
        </w:numPr>
        <w:spacing w:before="0" w:after="160"/>
        <w:ind w:right="-2"/>
        <w:contextualSpacing w:val="0"/>
        <w:rPr>
          <w:rFonts w:ascii="Gotham Book" w:hAnsi="Gotham Book"/>
          <w:sz w:val="20"/>
          <w:szCs w:val="20"/>
        </w:rPr>
      </w:pPr>
      <w:r w:rsidRPr="004A3983">
        <w:rPr>
          <w:rFonts w:ascii="Gotham Book" w:hAnsi="Gotham Book"/>
          <w:sz w:val="20"/>
          <w:szCs w:val="20"/>
        </w:rPr>
        <w:t>… the conduct involved is unlawful (that is, constitutes an offence or is corrupt conduct or is otherwise unlawful), or</w:t>
      </w:r>
    </w:p>
    <w:p w14:paraId="1212A271" w14:textId="61E83A65" w:rsidR="00651B64" w:rsidRPr="004A3983" w:rsidRDefault="00651B64" w:rsidP="00677139">
      <w:pPr>
        <w:pStyle w:val="ListParagraph"/>
        <w:numPr>
          <w:ilvl w:val="0"/>
          <w:numId w:val="9"/>
        </w:numPr>
        <w:spacing w:before="0" w:after="160"/>
        <w:ind w:right="-2"/>
        <w:contextualSpacing w:val="0"/>
        <w:rPr>
          <w:rFonts w:ascii="Gotham Book" w:hAnsi="Gotham Book"/>
          <w:sz w:val="20"/>
          <w:szCs w:val="20"/>
        </w:rPr>
      </w:pPr>
      <w:r w:rsidRPr="004A3983">
        <w:rPr>
          <w:rFonts w:ascii="Gotham Book" w:hAnsi="Gotham Book"/>
          <w:sz w:val="20"/>
          <w:szCs w:val="20"/>
        </w:rPr>
        <w:t>… the conduct involved is o</w:t>
      </w:r>
      <w:r w:rsidR="007F50A7" w:rsidRPr="004A3983">
        <w:rPr>
          <w:rFonts w:ascii="Gotham Book" w:hAnsi="Gotham Book"/>
          <w:sz w:val="20"/>
          <w:szCs w:val="20"/>
        </w:rPr>
        <w:t>f</w:t>
      </w:r>
      <w:r w:rsidRPr="004A3983">
        <w:rPr>
          <w:rFonts w:ascii="Gotham Book" w:hAnsi="Gotham Book"/>
          <w:sz w:val="20"/>
          <w:szCs w:val="20"/>
        </w:rPr>
        <w:t xml:space="preserve"> a serious nature and, although it is not unlawful:</w:t>
      </w:r>
    </w:p>
    <w:p w14:paraId="6FEE7BA0" w14:textId="77777777" w:rsidR="00651B64" w:rsidRPr="004A3983" w:rsidRDefault="00651B64" w:rsidP="00677139">
      <w:pPr>
        <w:pStyle w:val="ListParagraph"/>
        <w:numPr>
          <w:ilvl w:val="0"/>
          <w:numId w:val="10"/>
        </w:numPr>
        <w:spacing w:before="0" w:after="160"/>
        <w:ind w:right="-2"/>
        <w:contextualSpacing w:val="0"/>
        <w:rPr>
          <w:rFonts w:ascii="Gotham Book" w:hAnsi="Gotham Book"/>
          <w:sz w:val="20"/>
          <w:szCs w:val="20"/>
        </w:rPr>
      </w:pPr>
      <w:r w:rsidRPr="004A3983">
        <w:rPr>
          <w:rFonts w:ascii="Gotham Book" w:hAnsi="Gotham Book"/>
          <w:sz w:val="20"/>
          <w:szCs w:val="20"/>
        </w:rPr>
        <w:t>is unreasonable, unjust, oppressive or improperly discriminatory in its effect, or</w:t>
      </w:r>
    </w:p>
    <w:p w14:paraId="26D61F8C" w14:textId="04352E7F" w:rsidR="00651B64" w:rsidRPr="004A3983" w:rsidRDefault="00651B64" w:rsidP="00677139">
      <w:pPr>
        <w:pStyle w:val="ListParagraph"/>
        <w:numPr>
          <w:ilvl w:val="0"/>
          <w:numId w:val="10"/>
        </w:numPr>
        <w:spacing w:before="0" w:after="160"/>
        <w:ind w:left="1434" w:right="-2" w:hanging="357"/>
        <w:contextualSpacing w:val="0"/>
        <w:rPr>
          <w:rFonts w:ascii="Gotham Book" w:hAnsi="Gotham Book"/>
          <w:sz w:val="20"/>
          <w:szCs w:val="20"/>
        </w:rPr>
      </w:pPr>
      <w:r w:rsidRPr="004A3983">
        <w:rPr>
          <w:rFonts w:ascii="Gotham Book" w:hAnsi="Gotham Book"/>
          <w:sz w:val="20"/>
          <w:szCs w:val="20"/>
        </w:rPr>
        <w:t>arises, wholly or in part, from improper motives.</w:t>
      </w:r>
      <w:r w:rsidR="006E5E8D" w:rsidRPr="004A3983">
        <w:rPr>
          <w:rStyle w:val="FootnoteReference"/>
          <w:rFonts w:ascii="Gotham Book" w:hAnsi="Gotham Book"/>
          <w:sz w:val="20"/>
          <w:szCs w:val="20"/>
        </w:rPr>
        <w:footnoteReference w:id="4"/>
      </w:r>
    </w:p>
    <w:p w14:paraId="6AD2475F" w14:textId="6EC098AD" w:rsidR="004C19B8" w:rsidRPr="004A3983" w:rsidRDefault="00C20CDE" w:rsidP="004C19B8">
      <w:pPr>
        <w:spacing w:after="160"/>
        <w:ind w:right="-2"/>
        <w:rPr>
          <w:rFonts w:ascii="Gotham Book" w:hAnsi="Gotham Book"/>
          <w:sz w:val="20"/>
          <w:szCs w:val="20"/>
        </w:rPr>
      </w:pPr>
      <w:r w:rsidRPr="004A3983">
        <w:t xml:space="preserve">Operation Tusket </w:t>
      </w:r>
      <w:r w:rsidR="00DD04F4" w:rsidRPr="004A3983">
        <w:t>was the Commission’s first investigation into agency maladministration.</w:t>
      </w:r>
    </w:p>
    <w:p w14:paraId="68B04E80" w14:textId="15C107AE" w:rsidR="00D26583" w:rsidRPr="004A3983" w:rsidRDefault="007F1A89" w:rsidP="00846370">
      <w:pPr>
        <w:pStyle w:val="Heading2"/>
        <w:spacing w:after="160"/>
      </w:pPr>
      <w:bookmarkStart w:id="48" w:name="_Toc8641127"/>
      <w:bookmarkStart w:id="49" w:name="_Toc22627725"/>
      <w:r w:rsidRPr="004A3983">
        <w:lastRenderedPageBreak/>
        <w:t xml:space="preserve">The </w:t>
      </w:r>
      <w:bookmarkEnd w:id="48"/>
      <w:r w:rsidR="001904A9" w:rsidRPr="004A3983">
        <w:t>s</w:t>
      </w:r>
      <w:r w:rsidR="005D22F8" w:rsidRPr="004A3983">
        <w:t>cope of our investigation</w:t>
      </w:r>
      <w:bookmarkEnd w:id="49"/>
    </w:p>
    <w:p w14:paraId="2D5FD4D1" w14:textId="4D85CBD2" w:rsidR="008914F1" w:rsidRPr="004A3983" w:rsidRDefault="00D26583" w:rsidP="00846370">
      <w:pPr>
        <w:spacing w:after="160"/>
        <w:rPr>
          <w:rFonts w:ascii="Gotham Book" w:hAnsi="Gotham Book"/>
        </w:rPr>
      </w:pPr>
      <w:r w:rsidRPr="004A3983">
        <w:rPr>
          <w:rFonts w:ascii="Gotham Book" w:hAnsi="Gotham Book"/>
        </w:rPr>
        <w:t>The N</w:t>
      </w:r>
      <w:r w:rsidR="003576E6" w:rsidRPr="004A3983">
        <w:rPr>
          <w:rFonts w:ascii="Gotham Book" w:hAnsi="Gotham Book"/>
        </w:rPr>
        <w:t>SW Police Force established the Register</w:t>
      </w:r>
      <w:r w:rsidRPr="004A3983">
        <w:rPr>
          <w:rFonts w:ascii="Gotham Book" w:hAnsi="Gotham Book"/>
        </w:rPr>
        <w:t xml:space="preserve"> in October 2001, following the commencement of the </w:t>
      </w:r>
      <w:r w:rsidRPr="004A3983">
        <w:rPr>
          <w:rFonts w:ascii="Gotham Book" w:hAnsi="Gotham Book"/>
          <w:i/>
        </w:rPr>
        <w:t>Child Protection (Offender Registration Act)</w:t>
      </w:r>
      <w:r w:rsidRPr="004A3983">
        <w:rPr>
          <w:rFonts w:ascii="Gotham Book" w:hAnsi="Gotham Book"/>
        </w:rPr>
        <w:t xml:space="preserve"> </w:t>
      </w:r>
      <w:r w:rsidRPr="004A3983">
        <w:rPr>
          <w:rFonts w:ascii="Gotham Book" w:hAnsi="Gotham Book"/>
          <w:i/>
        </w:rPr>
        <w:t>2000</w:t>
      </w:r>
      <w:r w:rsidR="00250282">
        <w:rPr>
          <w:rFonts w:ascii="Gotham Book" w:hAnsi="Gotham Book"/>
        </w:rPr>
        <w:t xml:space="preserve"> (NSW) (the CPOR Act). </w:t>
      </w:r>
      <w:r w:rsidRPr="004A3983">
        <w:rPr>
          <w:rFonts w:ascii="Gotham Book" w:hAnsi="Gotham Book"/>
        </w:rPr>
        <w:t xml:space="preserve">It is a confidential </w:t>
      </w:r>
      <w:r w:rsidR="005D22F8" w:rsidRPr="004A3983">
        <w:rPr>
          <w:rFonts w:ascii="Gotham Book" w:hAnsi="Gotham Book"/>
        </w:rPr>
        <w:t>database</w:t>
      </w:r>
      <w:r w:rsidRPr="004A3983">
        <w:rPr>
          <w:rFonts w:ascii="Gotham Book" w:hAnsi="Gotham Book"/>
        </w:rPr>
        <w:t xml:space="preserve"> containing a range of personal information about offenders who have been sentenced for sexual or certain violent offences against children, </w:t>
      </w:r>
      <w:r w:rsidR="005D22F8" w:rsidRPr="004A3983">
        <w:rPr>
          <w:rFonts w:ascii="Gotham Book" w:hAnsi="Gotham Book"/>
        </w:rPr>
        <w:t>or</w:t>
      </w:r>
      <w:r w:rsidRPr="004A3983">
        <w:rPr>
          <w:rFonts w:ascii="Gotham Book" w:hAnsi="Gotham Book"/>
        </w:rPr>
        <w:t xml:space="preserve"> offences involving child abuse material. </w:t>
      </w:r>
    </w:p>
    <w:p w14:paraId="0FECB6D5" w14:textId="1337FCD5" w:rsidR="008914F1" w:rsidRPr="004A3983" w:rsidRDefault="008914F1" w:rsidP="00250282">
      <w:pPr>
        <w:pStyle w:val="ListBullet"/>
        <w:numPr>
          <w:ilvl w:val="0"/>
          <w:numId w:val="0"/>
        </w:numPr>
      </w:pPr>
      <w:r w:rsidRPr="004A3983">
        <w:t xml:space="preserve">The CPOR Act governs which offenders must be included on the Register, the reporting obligations each person must comply with, and the period of time for which those </w:t>
      </w:r>
      <w:r w:rsidR="005D22F8" w:rsidRPr="004A3983">
        <w:t>reporting obligations apply to those persons</w:t>
      </w:r>
      <w:r w:rsidRPr="004A3983">
        <w:t>. While other agencies have responsibilities under the CPOR Act, the NSW Police Force is primarily responsible for maintaining the Register.</w:t>
      </w:r>
      <w:r w:rsidRPr="004A3983">
        <w:rPr>
          <w:rStyle w:val="FootnoteReference"/>
        </w:rPr>
        <w:footnoteReference w:id="5"/>
      </w:r>
      <w:r w:rsidRPr="004A3983">
        <w:t xml:space="preserve"> </w:t>
      </w:r>
    </w:p>
    <w:p w14:paraId="6C5F2C33" w14:textId="65EB2D53" w:rsidR="00D26583" w:rsidRPr="004A3983" w:rsidRDefault="008914F1" w:rsidP="00846370">
      <w:pPr>
        <w:spacing w:after="160"/>
        <w:rPr>
          <w:rFonts w:ascii="Gotham Book" w:hAnsi="Gotham Book"/>
        </w:rPr>
      </w:pPr>
      <w:r w:rsidRPr="004A3983">
        <w:rPr>
          <w:rFonts w:ascii="Gotham Book" w:hAnsi="Gotham Book"/>
        </w:rPr>
        <w:t>The Register</w:t>
      </w:r>
      <w:r w:rsidR="00D26583" w:rsidRPr="004A3983">
        <w:rPr>
          <w:rFonts w:ascii="Gotham Book" w:hAnsi="Gotham Book"/>
        </w:rPr>
        <w:t xml:space="preserve"> is managed by the Child Protection Registry</w:t>
      </w:r>
      <w:r w:rsidR="003576E6" w:rsidRPr="004A3983">
        <w:rPr>
          <w:rFonts w:ascii="Gotham Book" w:hAnsi="Gotham Book"/>
        </w:rPr>
        <w:t xml:space="preserve"> (the Registry)</w:t>
      </w:r>
      <w:r w:rsidR="00D26583" w:rsidRPr="004A3983">
        <w:rPr>
          <w:rFonts w:ascii="Gotham Book" w:hAnsi="Gotham Book"/>
        </w:rPr>
        <w:t>, a specialist unit within the Child Abuse and Sex Crimes Squad of the NSW Police Force.</w:t>
      </w:r>
      <w:r w:rsidRPr="004A3983">
        <w:rPr>
          <w:rFonts w:ascii="Gotham Book" w:hAnsi="Gotham Book"/>
        </w:rPr>
        <w:t xml:space="preserve"> </w:t>
      </w:r>
    </w:p>
    <w:p w14:paraId="5A98D386" w14:textId="70739DF2" w:rsidR="00D26583" w:rsidRPr="004A3983" w:rsidRDefault="00276412" w:rsidP="00846370">
      <w:pPr>
        <w:spacing w:after="160"/>
        <w:rPr>
          <w:rFonts w:ascii="Gotham Book" w:hAnsi="Gotham Book"/>
        </w:rPr>
      </w:pPr>
      <w:r w:rsidRPr="004A3983">
        <w:rPr>
          <w:rFonts w:ascii="Gotham Book" w:hAnsi="Gotham Book"/>
        </w:rPr>
        <w:t xml:space="preserve">Operation Tusket </w:t>
      </w:r>
      <w:r w:rsidR="00D26583" w:rsidRPr="004A3983">
        <w:rPr>
          <w:rFonts w:ascii="Gotham Book" w:hAnsi="Gotham Book"/>
        </w:rPr>
        <w:t>examin</w:t>
      </w:r>
      <w:r w:rsidRPr="004A3983">
        <w:rPr>
          <w:rFonts w:ascii="Gotham Book" w:hAnsi="Gotham Book"/>
        </w:rPr>
        <w:t>ed</w:t>
      </w:r>
      <w:r w:rsidR="009B47DE" w:rsidRPr="004A3983">
        <w:rPr>
          <w:rFonts w:ascii="Gotham Book" w:hAnsi="Gotham Book"/>
        </w:rPr>
        <w:t xml:space="preserve"> </w:t>
      </w:r>
      <w:r w:rsidR="003E0035" w:rsidRPr="004A3983">
        <w:rPr>
          <w:rFonts w:ascii="Gotham Book" w:hAnsi="Gotham Book"/>
        </w:rPr>
        <w:t>the administration of the Register by the NSW Police Force</w:t>
      </w:r>
      <w:r w:rsidR="009B47DE" w:rsidRPr="004A3983">
        <w:rPr>
          <w:rFonts w:ascii="Gotham Book" w:hAnsi="Gotham Book"/>
        </w:rPr>
        <w:t xml:space="preserve"> under the CPOR Act</w:t>
      </w:r>
      <w:r w:rsidR="00D26583" w:rsidRPr="004A3983">
        <w:rPr>
          <w:rFonts w:ascii="Gotham Book" w:hAnsi="Gotham Book"/>
        </w:rPr>
        <w:t xml:space="preserve">. We used a range of investigation, research, and consultation strategies. </w:t>
      </w:r>
    </w:p>
    <w:p w14:paraId="3FD05737" w14:textId="3222DCE1" w:rsidR="00D26583" w:rsidRPr="004A3983" w:rsidRDefault="00D26583" w:rsidP="00846370">
      <w:pPr>
        <w:spacing w:after="160"/>
        <w:rPr>
          <w:rFonts w:ascii="Gotham Book" w:hAnsi="Gotham Book"/>
        </w:rPr>
      </w:pPr>
      <w:r w:rsidRPr="004A3983">
        <w:rPr>
          <w:rFonts w:ascii="Gotham Book" w:hAnsi="Gotham Book"/>
        </w:rPr>
        <w:t>At the outset of our investigation, the NSW Police Force acknowledged there was a significant error rate in the Register. It informed us that it had initiated a review of all of its Register case files in 2016 to correct th</w:t>
      </w:r>
      <w:r w:rsidR="0048506A" w:rsidRPr="004A3983">
        <w:rPr>
          <w:rFonts w:ascii="Gotham Book" w:hAnsi="Gotham Book"/>
        </w:rPr>
        <w:t>ese errors (the CPR case review</w:t>
      </w:r>
      <w:r w:rsidRPr="004A3983">
        <w:rPr>
          <w:rFonts w:ascii="Gotham Book" w:hAnsi="Gotham Book"/>
        </w:rPr>
        <w:t>). The review was ongoing at the time our investigation was initiated</w:t>
      </w:r>
      <w:r w:rsidR="00276412" w:rsidRPr="004A3983">
        <w:rPr>
          <w:rFonts w:ascii="Gotham Book" w:hAnsi="Gotham Book"/>
        </w:rPr>
        <w:t>, and it was finalised in October 2018</w:t>
      </w:r>
      <w:r w:rsidRPr="004A3983">
        <w:rPr>
          <w:rFonts w:ascii="Gotham Book" w:hAnsi="Gotham Book"/>
        </w:rPr>
        <w:t xml:space="preserve">. </w:t>
      </w:r>
    </w:p>
    <w:p w14:paraId="68BB40B0" w14:textId="2F0B9C69" w:rsidR="00D26583" w:rsidRPr="004A3983" w:rsidRDefault="00D26583" w:rsidP="00846370">
      <w:pPr>
        <w:spacing w:after="160"/>
        <w:rPr>
          <w:rFonts w:ascii="Gotham Book" w:hAnsi="Gotham Book"/>
        </w:rPr>
      </w:pPr>
      <w:r w:rsidRPr="004A3983">
        <w:rPr>
          <w:rFonts w:ascii="Gotham Book" w:hAnsi="Gotham Book"/>
        </w:rPr>
        <w:t>Given this acknowledgement, and the fact t</w:t>
      </w:r>
      <w:r w:rsidR="00276412" w:rsidRPr="004A3983">
        <w:rPr>
          <w:rFonts w:ascii="Gotham Book" w:hAnsi="Gotham Book"/>
        </w:rPr>
        <w:t>he CPR case review was underway</w:t>
      </w:r>
      <w:r w:rsidRPr="004A3983">
        <w:rPr>
          <w:rFonts w:ascii="Gotham Book" w:hAnsi="Gotham Book"/>
        </w:rPr>
        <w:t xml:space="preserve">, it was not necessary for the Commission to conduct its own audit of </w:t>
      </w:r>
      <w:r w:rsidR="00252865" w:rsidRPr="004A3983">
        <w:rPr>
          <w:rFonts w:ascii="Gotham Book" w:hAnsi="Gotham Book"/>
        </w:rPr>
        <w:t>Register</w:t>
      </w:r>
      <w:r w:rsidRPr="004A3983">
        <w:rPr>
          <w:rFonts w:ascii="Gotham Book" w:hAnsi="Gotham Book"/>
        </w:rPr>
        <w:t xml:space="preserve"> case files to establish there were problems with the </w:t>
      </w:r>
      <w:r w:rsidR="00252865" w:rsidRPr="004A3983">
        <w:rPr>
          <w:rFonts w:ascii="Gotham Book" w:hAnsi="Gotham Book"/>
        </w:rPr>
        <w:t>information in</w:t>
      </w:r>
      <w:r w:rsidR="005A5F9A" w:rsidRPr="004A3983">
        <w:rPr>
          <w:rFonts w:ascii="Gotham Book" w:hAnsi="Gotham Book"/>
        </w:rPr>
        <w:t xml:space="preserve"> the </w:t>
      </w:r>
      <w:r w:rsidRPr="004A3983">
        <w:rPr>
          <w:rFonts w:ascii="Gotham Book" w:hAnsi="Gotham Book"/>
        </w:rPr>
        <w:t xml:space="preserve">Register. </w:t>
      </w:r>
      <w:r w:rsidR="002906C0" w:rsidRPr="004A3983">
        <w:rPr>
          <w:rFonts w:ascii="Gotham Book" w:hAnsi="Gotham Book"/>
        </w:rPr>
        <w:t>W</w:t>
      </w:r>
      <w:r w:rsidRPr="004A3983">
        <w:rPr>
          <w:rFonts w:ascii="Gotham Book" w:hAnsi="Gotham Book"/>
        </w:rPr>
        <w:t xml:space="preserve">e focused on identifying the consequences of </w:t>
      </w:r>
      <w:r w:rsidR="00276412" w:rsidRPr="004A3983">
        <w:rPr>
          <w:rFonts w:ascii="Gotham Book" w:hAnsi="Gotham Book"/>
        </w:rPr>
        <w:t>the</w:t>
      </w:r>
      <w:r w:rsidRPr="004A3983">
        <w:rPr>
          <w:rFonts w:ascii="Gotham Book" w:hAnsi="Gotham Book"/>
        </w:rPr>
        <w:t xml:space="preserve"> errors </w:t>
      </w:r>
      <w:r w:rsidR="00276412" w:rsidRPr="004A3983">
        <w:rPr>
          <w:rFonts w:ascii="Gotham Book" w:hAnsi="Gotham Book"/>
        </w:rPr>
        <w:t>contained in the Register cases. I</w:t>
      </w:r>
      <w:r w:rsidRPr="004A3983">
        <w:rPr>
          <w:rFonts w:ascii="Gotham Book" w:hAnsi="Gotham Book"/>
        </w:rPr>
        <w:t>n particular</w:t>
      </w:r>
      <w:r w:rsidR="00276412" w:rsidRPr="004A3983">
        <w:rPr>
          <w:rFonts w:ascii="Gotham Book" w:hAnsi="Gotham Book"/>
        </w:rPr>
        <w:t>, we looked at the actions taken by</w:t>
      </w:r>
      <w:r w:rsidRPr="004A3983">
        <w:rPr>
          <w:rFonts w:ascii="Gotham Book" w:hAnsi="Gotham Book"/>
        </w:rPr>
        <w:t xml:space="preserve"> the NSW Police Force on the basis of incorrect information in the Register.   </w:t>
      </w:r>
    </w:p>
    <w:p w14:paraId="35861CAA" w14:textId="7E628FBC" w:rsidR="00E03C4C" w:rsidRPr="004A3983" w:rsidRDefault="001C716E" w:rsidP="00846370">
      <w:pPr>
        <w:spacing w:after="160"/>
        <w:rPr>
          <w:rFonts w:ascii="Gotham Book" w:hAnsi="Gotham Book"/>
        </w:rPr>
      </w:pPr>
      <w:r w:rsidRPr="004A3983">
        <w:rPr>
          <w:rFonts w:ascii="Gotham Book" w:hAnsi="Gotham Book"/>
        </w:rPr>
        <w:t xml:space="preserve">It </w:t>
      </w:r>
      <w:r w:rsidR="00D26583" w:rsidRPr="004A3983">
        <w:rPr>
          <w:rFonts w:ascii="Gotham Book" w:hAnsi="Gotham Book"/>
        </w:rPr>
        <w:t xml:space="preserve">became </w:t>
      </w:r>
      <w:r w:rsidRPr="004A3983">
        <w:rPr>
          <w:rFonts w:ascii="Gotham Book" w:hAnsi="Gotham Book"/>
        </w:rPr>
        <w:t xml:space="preserve">clear during our investigation that </w:t>
      </w:r>
      <w:r w:rsidR="00D26583" w:rsidRPr="004A3983">
        <w:rPr>
          <w:rFonts w:ascii="Gotham Book" w:hAnsi="Gotham Book"/>
        </w:rPr>
        <w:t>a nu</w:t>
      </w:r>
      <w:r w:rsidRPr="004A3983">
        <w:rPr>
          <w:rFonts w:ascii="Gotham Book" w:hAnsi="Gotham Book"/>
        </w:rPr>
        <w:t xml:space="preserve">mber of systemic </w:t>
      </w:r>
      <w:r w:rsidR="00252865" w:rsidRPr="004A3983">
        <w:rPr>
          <w:rFonts w:ascii="Gotham Book" w:hAnsi="Gotham Book"/>
        </w:rPr>
        <w:t>factor</w:t>
      </w:r>
      <w:r w:rsidRPr="004A3983">
        <w:rPr>
          <w:rFonts w:ascii="Gotham Book" w:hAnsi="Gotham Book"/>
        </w:rPr>
        <w:t xml:space="preserve">s </w:t>
      </w:r>
      <w:r w:rsidR="00D26583" w:rsidRPr="004A3983">
        <w:rPr>
          <w:rFonts w:ascii="Gotham Book" w:hAnsi="Gotham Book"/>
        </w:rPr>
        <w:t xml:space="preserve">were hampering the ability of the Registry to accurately maintain the Register, including </w:t>
      </w:r>
      <w:r w:rsidR="00252865" w:rsidRPr="004A3983">
        <w:rPr>
          <w:rFonts w:ascii="Gotham Book" w:hAnsi="Gotham Book"/>
        </w:rPr>
        <w:t>problems with the statutory framework</w:t>
      </w:r>
      <w:r w:rsidR="00D26583" w:rsidRPr="004A3983">
        <w:rPr>
          <w:rFonts w:ascii="Gotham Book" w:hAnsi="Gotham Book"/>
        </w:rPr>
        <w:t xml:space="preserve">. We </w:t>
      </w:r>
      <w:r w:rsidRPr="004A3983">
        <w:rPr>
          <w:rFonts w:ascii="Gotham Book" w:hAnsi="Gotham Book"/>
        </w:rPr>
        <w:t xml:space="preserve">prioritised the analysis of </w:t>
      </w:r>
      <w:r w:rsidR="00D26583" w:rsidRPr="004A3983">
        <w:rPr>
          <w:rFonts w:ascii="Gotham Book" w:hAnsi="Gotham Book"/>
        </w:rPr>
        <w:t xml:space="preserve">these systemic problems, and </w:t>
      </w:r>
      <w:r w:rsidR="006966B6" w:rsidRPr="004A3983">
        <w:rPr>
          <w:rFonts w:ascii="Gotham Book" w:hAnsi="Gotham Book"/>
        </w:rPr>
        <w:t>the development of</w:t>
      </w:r>
      <w:r w:rsidR="00D26583" w:rsidRPr="004A3983">
        <w:rPr>
          <w:rFonts w:ascii="Gotham Book" w:hAnsi="Gotham Book"/>
        </w:rPr>
        <w:t xml:space="preserve"> interim and long term soluti</w:t>
      </w:r>
      <w:r w:rsidR="00D32E30" w:rsidRPr="004A3983">
        <w:rPr>
          <w:rFonts w:ascii="Gotham Book" w:hAnsi="Gotham Book"/>
        </w:rPr>
        <w:t>ons</w:t>
      </w:r>
      <w:r w:rsidR="00D26583" w:rsidRPr="004A3983">
        <w:rPr>
          <w:rFonts w:ascii="Gotham Book" w:hAnsi="Gotham Book"/>
        </w:rPr>
        <w:t>.</w:t>
      </w:r>
    </w:p>
    <w:p w14:paraId="682418B7" w14:textId="51108416" w:rsidR="00D26583" w:rsidRPr="004A3983" w:rsidRDefault="001F36C6" w:rsidP="00846370">
      <w:pPr>
        <w:pStyle w:val="Heading2"/>
        <w:spacing w:after="160"/>
      </w:pPr>
      <w:bookmarkStart w:id="50" w:name="_Toc8641129"/>
      <w:bookmarkStart w:id="51" w:name="_Toc22627726"/>
      <w:r w:rsidRPr="004A3983">
        <w:t>C</w:t>
      </w:r>
      <w:r w:rsidR="00D26583" w:rsidRPr="004A3983">
        <w:t>ollaborative approach</w:t>
      </w:r>
      <w:bookmarkEnd w:id="50"/>
      <w:bookmarkEnd w:id="51"/>
    </w:p>
    <w:p w14:paraId="63ADE801" w14:textId="464C6398" w:rsidR="00D32E30" w:rsidRPr="004A3983" w:rsidRDefault="00D32E30" w:rsidP="00846370">
      <w:pPr>
        <w:spacing w:after="160"/>
      </w:pPr>
      <w:r w:rsidRPr="004A3983">
        <w:t xml:space="preserve">The Commission wishes to acknowledge the co-operation </w:t>
      </w:r>
      <w:r w:rsidR="00982FDB" w:rsidRPr="004A3983">
        <w:t>provided by</w:t>
      </w:r>
      <w:r w:rsidRPr="004A3983">
        <w:t xml:space="preserve"> the NSW Police Force throughout Operation Tusket. The NSW Police Force provided significant assistance to the Commission in undertaking this investigation, by providing </w:t>
      </w:r>
      <w:r w:rsidR="00213F76" w:rsidRPr="004A3983">
        <w:t xml:space="preserve">detailed </w:t>
      </w:r>
      <w:r w:rsidRPr="004A3983">
        <w:t xml:space="preserve">information and explanations about the operation of the Registry and the Register. This enabled Commission investigators to gain a </w:t>
      </w:r>
      <w:r w:rsidRPr="004A3983">
        <w:rPr>
          <w:rFonts w:ascii="Gotham Book" w:hAnsi="Gotham Book"/>
        </w:rPr>
        <w:t xml:space="preserve">comprehensive understanding of the challenges faced by the Registry in seeking to implement the CPOR Act. </w:t>
      </w:r>
    </w:p>
    <w:p w14:paraId="6F5BBC8A" w14:textId="2468EDA1" w:rsidR="00C93E73" w:rsidRPr="004A3983" w:rsidRDefault="00982FDB" w:rsidP="00846370">
      <w:pPr>
        <w:spacing w:after="160"/>
      </w:pPr>
      <w:r w:rsidRPr="004A3983">
        <w:t>B</w:t>
      </w:r>
      <w:r w:rsidR="00D32E30" w:rsidRPr="004A3983">
        <w:t>y acknowledging at a very early stage</w:t>
      </w:r>
      <w:r w:rsidRPr="004A3983">
        <w:t xml:space="preserve"> in our investigation</w:t>
      </w:r>
      <w:r w:rsidR="00D32E30" w:rsidRPr="004A3983">
        <w:t xml:space="preserve"> the extent of the errors in the Register</w:t>
      </w:r>
      <w:r w:rsidRPr="004A3983">
        <w:t>, the NSW Police Force</w:t>
      </w:r>
      <w:r w:rsidR="000241AE" w:rsidRPr="004A3983">
        <w:t xml:space="preserve"> also</w:t>
      </w:r>
      <w:r w:rsidR="00D32E30" w:rsidRPr="004A3983">
        <w:t xml:space="preserve"> </w:t>
      </w:r>
      <w:r w:rsidR="000241AE" w:rsidRPr="004A3983">
        <w:t xml:space="preserve">enabled us </w:t>
      </w:r>
      <w:r w:rsidR="00D32E30" w:rsidRPr="004A3983">
        <w:t xml:space="preserve">to focus a significant part of our </w:t>
      </w:r>
      <w:r w:rsidR="00D32E30" w:rsidRPr="004A3983">
        <w:lastRenderedPageBreak/>
        <w:t xml:space="preserve">investigation on exploring solutions to the systemic problems </w:t>
      </w:r>
      <w:r w:rsidR="002E5E6E" w:rsidRPr="004A3983">
        <w:t>that had contributed</w:t>
      </w:r>
      <w:r w:rsidR="00EF5D6F" w:rsidRPr="004A3983">
        <w:t xml:space="preserve"> to these errors</w:t>
      </w:r>
      <w:r w:rsidR="00D32E30" w:rsidRPr="004A3983">
        <w:t>.</w:t>
      </w:r>
      <w:r w:rsidR="00B87E65" w:rsidRPr="004A3983">
        <w:t xml:space="preserve"> </w:t>
      </w:r>
    </w:p>
    <w:p w14:paraId="5EE6D3F3" w14:textId="61CE2C9D" w:rsidR="00E03C4C" w:rsidRPr="004A3983" w:rsidRDefault="00DA0C57" w:rsidP="00846370">
      <w:pPr>
        <w:spacing w:after="160"/>
        <w:rPr>
          <w:rFonts w:ascii="Gotham Book" w:hAnsi="Gotham Book"/>
        </w:rPr>
      </w:pPr>
      <w:r w:rsidRPr="004A3983">
        <w:rPr>
          <w:rFonts w:ascii="Gotham Book" w:hAnsi="Gotham Book"/>
        </w:rPr>
        <w:t>T</w:t>
      </w:r>
      <w:r w:rsidR="008F155D" w:rsidRPr="004A3983">
        <w:rPr>
          <w:rFonts w:ascii="Gotham Book" w:hAnsi="Gotham Book"/>
        </w:rPr>
        <w:t xml:space="preserve">he Commission also </w:t>
      </w:r>
      <w:r w:rsidR="00D54093" w:rsidRPr="004A3983">
        <w:rPr>
          <w:rFonts w:ascii="Gotham Book" w:hAnsi="Gotham Book"/>
        </w:rPr>
        <w:t xml:space="preserve">assisted </w:t>
      </w:r>
      <w:r w:rsidR="007F14D8" w:rsidRPr="004A3983">
        <w:rPr>
          <w:rFonts w:ascii="Gotham Book" w:hAnsi="Gotham Book"/>
        </w:rPr>
        <w:t xml:space="preserve">the NSW Police Force to address </w:t>
      </w:r>
      <w:r w:rsidR="00A2435B" w:rsidRPr="004A3983">
        <w:rPr>
          <w:rFonts w:ascii="Gotham Book" w:hAnsi="Gotham Book"/>
        </w:rPr>
        <w:t xml:space="preserve">issues </w:t>
      </w:r>
      <w:r w:rsidR="007F14D8" w:rsidRPr="004A3983">
        <w:rPr>
          <w:rFonts w:ascii="Gotham Book" w:hAnsi="Gotham Book"/>
        </w:rPr>
        <w:t xml:space="preserve">discovered during </w:t>
      </w:r>
      <w:r w:rsidRPr="004A3983">
        <w:rPr>
          <w:rFonts w:ascii="Gotham Book" w:hAnsi="Gotham Book"/>
        </w:rPr>
        <w:t xml:space="preserve">Operation Tusket. </w:t>
      </w:r>
      <w:r w:rsidR="00D26583" w:rsidRPr="004A3983">
        <w:rPr>
          <w:rFonts w:ascii="Gotham Book" w:hAnsi="Gotham Book"/>
        </w:rPr>
        <w:t>Commission investigators raised issues directly with the NSW Police Force as they were identified</w:t>
      </w:r>
      <w:r w:rsidR="00F03408" w:rsidRPr="004A3983">
        <w:rPr>
          <w:rFonts w:ascii="Gotham Book" w:hAnsi="Gotham Book"/>
        </w:rPr>
        <w:t>, and the NSW Police Force responded promptly to the</w:t>
      </w:r>
      <w:r w:rsidR="005A4C97" w:rsidRPr="004A3983">
        <w:rPr>
          <w:rFonts w:ascii="Gotham Book" w:hAnsi="Gotham Book"/>
        </w:rPr>
        <w:t>se issues</w:t>
      </w:r>
      <w:r w:rsidR="00F03408" w:rsidRPr="004A3983">
        <w:rPr>
          <w:rFonts w:ascii="Gotham Book" w:hAnsi="Gotham Book"/>
        </w:rPr>
        <w:t>.</w:t>
      </w:r>
      <w:r w:rsidR="00D26583" w:rsidRPr="004A3983">
        <w:rPr>
          <w:rFonts w:ascii="Gotham Book" w:hAnsi="Gotham Book"/>
        </w:rPr>
        <w:t xml:space="preserve"> As a result, </w:t>
      </w:r>
      <w:r w:rsidR="00F03408" w:rsidRPr="004A3983">
        <w:rPr>
          <w:rFonts w:ascii="Gotham Book" w:hAnsi="Gotham Book"/>
        </w:rPr>
        <w:t xml:space="preserve">there have been a </w:t>
      </w:r>
      <w:r w:rsidR="00C02C72" w:rsidRPr="004A3983">
        <w:rPr>
          <w:rFonts w:ascii="Gotham Book" w:hAnsi="Gotham Book"/>
        </w:rPr>
        <w:t>number of improvements to</w:t>
      </w:r>
      <w:r w:rsidR="007A240C" w:rsidRPr="004A3983">
        <w:rPr>
          <w:rFonts w:ascii="Gotham Book" w:hAnsi="Gotham Book"/>
        </w:rPr>
        <w:t xml:space="preserve"> </w:t>
      </w:r>
      <w:r w:rsidR="00D26583" w:rsidRPr="004A3983">
        <w:rPr>
          <w:rFonts w:ascii="Gotham Book" w:hAnsi="Gotham Book"/>
        </w:rPr>
        <w:t>NSW Police Force processes and systems during the course of this investigation. Examples include:</w:t>
      </w:r>
    </w:p>
    <w:p w14:paraId="65FE08D8" w14:textId="4177519E" w:rsidR="00E03C4C" w:rsidRPr="004A3983" w:rsidRDefault="00515408" w:rsidP="00593D70">
      <w:pPr>
        <w:pStyle w:val="ListBullet"/>
      </w:pPr>
      <w:r w:rsidRPr="004A3983">
        <w:t>W</w:t>
      </w:r>
      <w:r w:rsidR="00D26583" w:rsidRPr="004A3983">
        <w:t xml:space="preserve">e provided the NSW Police Force with our analysis of the list of criminal charges it was using to identify offenders who may need to be included on the Register. We identified 58 charges that were missing from </w:t>
      </w:r>
      <w:r w:rsidR="00337ED5" w:rsidRPr="004A3983">
        <w:t xml:space="preserve">that </w:t>
      </w:r>
      <w:r w:rsidR="00D26583" w:rsidRPr="004A3983">
        <w:t>list, 56 charges that were incorrectly classified, and six charges that needed to be removed from the list. The NSW Police For</w:t>
      </w:r>
      <w:r w:rsidR="007A240C" w:rsidRPr="004A3983">
        <w:t>ce subsequently adjusted its list of charges</w:t>
      </w:r>
      <w:r w:rsidR="00D26583" w:rsidRPr="004A3983">
        <w:t xml:space="preserve"> and </w:t>
      </w:r>
      <w:r w:rsidR="009A500F" w:rsidRPr="004A3983">
        <w:t xml:space="preserve">as a result </w:t>
      </w:r>
      <w:r w:rsidR="00D26583" w:rsidRPr="004A3983">
        <w:t>identified one new offender to add to the Register.</w:t>
      </w:r>
      <w:r w:rsidR="000B5C4A" w:rsidRPr="004A3983">
        <w:rPr>
          <w:rStyle w:val="FootnoteReference"/>
        </w:rPr>
        <w:footnoteReference w:id="6"/>
      </w:r>
      <w:r w:rsidR="00D26583" w:rsidRPr="004A3983">
        <w:t xml:space="preserve"> </w:t>
      </w:r>
    </w:p>
    <w:p w14:paraId="46C72B91" w14:textId="27E8AB16" w:rsidR="00515408" w:rsidRPr="004A3983" w:rsidRDefault="00515408" w:rsidP="00593D70">
      <w:pPr>
        <w:pStyle w:val="ListBullet"/>
      </w:pPr>
      <w:r w:rsidRPr="004A3983">
        <w:t xml:space="preserve">We </w:t>
      </w:r>
      <w:r w:rsidR="00FE0A83" w:rsidRPr="004A3983">
        <w:t>raised concerns with</w:t>
      </w:r>
      <w:r w:rsidRPr="004A3983">
        <w:t xml:space="preserve"> the NSW Police Force </w:t>
      </w:r>
      <w:r w:rsidR="00FE0A83" w:rsidRPr="004A3983">
        <w:t>that it had not undertaken</w:t>
      </w:r>
      <w:r w:rsidRPr="004A3983">
        <w:t xml:space="preserve"> a process to identify if there were registrable persons who were missing from the Register.</w:t>
      </w:r>
      <w:r w:rsidRPr="004A3983">
        <w:rPr>
          <w:rStyle w:val="FootnoteReference"/>
        </w:rPr>
        <w:t xml:space="preserve"> </w:t>
      </w:r>
      <w:r w:rsidRPr="004A3983">
        <w:t>The NSW Police Force subsequently undertook such a process, and identified 94 people who had been incorrectly determined not to be registrable persons under the CPOR Act.</w:t>
      </w:r>
      <w:r w:rsidRPr="004A3983">
        <w:rPr>
          <w:rStyle w:val="FootnoteReference"/>
        </w:rPr>
        <w:footnoteReference w:id="7"/>
      </w:r>
      <w:r w:rsidRPr="004A3983">
        <w:t xml:space="preserve"> Along with the person</w:t>
      </w:r>
      <w:r w:rsidR="004E3A49" w:rsidRPr="004A3983">
        <w:t xml:space="preserve"> who had been identified because of the </w:t>
      </w:r>
      <w:r w:rsidR="000C6DBD" w:rsidRPr="004A3983">
        <w:t xml:space="preserve">missing </w:t>
      </w:r>
      <w:r w:rsidR="004E3A49" w:rsidRPr="004A3983">
        <w:t xml:space="preserve">charges, this meant that as a result of </w:t>
      </w:r>
      <w:r w:rsidR="000C6DBD" w:rsidRPr="004A3983">
        <w:t xml:space="preserve">our investigation </w:t>
      </w:r>
      <w:r w:rsidR="004E3A49" w:rsidRPr="004A3983">
        <w:t xml:space="preserve">the NSW Police Force found a total of 95 offenders who had been missing from the Register.  </w:t>
      </w:r>
      <w:r w:rsidRPr="004A3983">
        <w:t xml:space="preserve">  </w:t>
      </w:r>
    </w:p>
    <w:p w14:paraId="599BE5EE" w14:textId="2B8B1235" w:rsidR="00515408" w:rsidRPr="004A3983" w:rsidRDefault="00515408" w:rsidP="00593D70">
      <w:pPr>
        <w:pStyle w:val="ListBullet"/>
      </w:pPr>
      <w:r w:rsidRPr="004A3983">
        <w:t xml:space="preserve">Commission investigators identified </w:t>
      </w:r>
      <w:r w:rsidR="000655DF" w:rsidRPr="004A3983">
        <w:t>incorrect decisions</w:t>
      </w:r>
      <w:r w:rsidRPr="004A3983">
        <w:t xml:space="preserve"> in some Register case files which had not been identified by the NSW Police Force.</w:t>
      </w:r>
      <w:r w:rsidRPr="004A3983">
        <w:rPr>
          <w:rStyle w:val="FootnoteReference"/>
        </w:rPr>
        <w:footnoteReference w:id="8"/>
      </w:r>
      <w:r w:rsidRPr="004A3983">
        <w:t xml:space="preserve"> We brought these errors to the attention of the </w:t>
      </w:r>
      <w:r w:rsidR="00E82988" w:rsidRPr="004A3983">
        <w:t>NSW Police Force</w:t>
      </w:r>
      <w:r w:rsidRPr="004A3983">
        <w:t xml:space="preserve"> and </w:t>
      </w:r>
      <w:r w:rsidR="00E82988" w:rsidRPr="004A3983">
        <w:t>it</w:t>
      </w:r>
      <w:r w:rsidRPr="004A3983">
        <w:t xml:space="preserve"> promptly re-reviewed those files.</w:t>
      </w:r>
    </w:p>
    <w:p w14:paraId="67E53BC2" w14:textId="2ED2EE0E" w:rsidR="00C93E73" w:rsidRPr="004A3983" w:rsidRDefault="0086049D" w:rsidP="00593D70">
      <w:pPr>
        <w:pStyle w:val="ListBullet"/>
      </w:pPr>
      <w:r w:rsidRPr="004A3983">
        <w:t>In July 2018 t</w:t>
      </w:r>
      <w:r w:rsidR="00D26583" w:rsidRPr="004A3983">
        <w:t xml:space="preserve">he Commission facilitated </w:t>
      </w:r>
      <w:r w:rsidR="00B87E65" w:rsidRPr="004A3983">
        <w:t xml:space="preserve">a meeting between </w:t>
      </w:r>
      <w:r w:rsidRPr="004A3983">
        <w:t xml:space="preserve">the NSW Police Force and Corrective Services NSW to discuss </w:t>
      </w:r>
      <w:r w:rsidR="00D26583" w:rsidRPr="004A3983">
        <w:t>access for Registry st</w:t>
      </w:r>
      <w:r w:rsidR="007F50A7" w:rsidRPr="004A3983">
        <w:t>aff to Corrective Services NSW</w:t>
      </w:r>
      <w:r w:rsidR="00D26583" w:rsidRPr="004A3983">
        <w:t xml:space="preserve"> </w:t>
      </w:r>
      <w:r w:rsidR="006775CC" w:rsidRPr="004A3983">
        <w:t>Offender Integrated Management System (OIMS)</w:t>
      </w:r>
      <w:r w:rsidR="00D26583" w:rsidRPr="004A3983">
        <w:t xml:space="preserve">. </w:t>
      </w:r>
    </w:p>
    <w:p w14:paraId="37AE6EAF" w14:textId="7B694A70" w:rsidR="00E03C4C" w:rsidRPr="004A3983" w:rsidRDefault="00F02036" w:rsidP="00593D70">
      <w:pPr>
        <w:pStyle w:val="ListBullet"/>
      </w:pPr>
      <w:r w:rsidRPr="004A3983">
        <w:t>In</w:t>
      </w:r>
      <w:r w:rsidR="00C93E73" w:rsidRPr="004A3983">
        <w:t xml:space="preserve"> </w:t>
      </w:r>
      <w:r w:rsidR="000B5C4A" w:rsidRPr="004A3983">
        <w:t xml:space="preserve">August 2018 the Commission provided the </w:t>
      </w:r>
      <w:r w:rsidR="003D0131" w:rsidRPr="004A3983">
        <w:t xml:space="preserve">NSW </w:t>
      </w:r>
      <w:r w:rsidR="000B5C4A" w:rsidRPr="004A3983">
        <w:t xml:space="preserve">Commissioner of Police with a confidential interim report on its investigation, which included provisional recommendations. By December 2018 the NSW Police </w:t>
      </w:r>
      <w:r w:rsidR="007F50A7" w:rsidRPr="004A3983">
        <w:t xml:space="preserve">Force </w:t>
      </w:r>
      <w:r w:rsidR="000B5C4A" w:rsidRPr="004A3983">
        <w:t>had implemented two of these recommendations, by securing access for Registry staff to OIMS and</w:t>
      </w:r>
      <w:r w:rsidR="002B2006" w:rsidRPr="004A3983">
        <w:t xml:space="preserve"> </w:t>
      </w:r>
      <w:r w:rsidR="00662E9E" w:rsidRPr="004A3983">
        <w:t xml:space="preserve">to </w:t>
      </w:r>
      <w:r w:rsidR="000B5C4A" w:rsidRPr="004A3983">
        <w:t xml:space="preserve">JusticeLink, </w:t>
      </w:r>
      <w:r w:rsidR="003C0BCF" w:rsidRPr="004A3983">
        <w:t xml:space="preserve">the </w:t>
      </w:r>
      <w:r w:rsidR="001A466E" w:rsidRPr="004A3983">
        <w:t xml:space="preserve">central </w:t>
      </w:r>
      <w:r w:rsidR="003C0BCF" w:rsidRPr="004A3983">
        <w:t xml:space="preserve">database used by </w:t>
      </w:r>
      <w:r w:rsidR="001A466E" w:rsidRPr="004A3983">
        <w:t xml:space="preserve">all </w:t>
      </w:r>
      <w:r w:rsidR="007F50A7" w:rsidRPr="004A3983">
        <w:t>courts in New South Wales</w:t>
      </w:r>
      <w:r w:rsidR="003C0BCF" w:rsidRPr="004A3983">
        <w:t xml:space="preserve"> to record the outcomes of proceedings. </w:t>
      </w:r>
      <w:r w:rsidR="00D26583" w:rsidRPr="004A3983">
        <w:t>Direct access to the</w:t>
      </w:r>
      <w:r w:rsidR="0042789D">
        <w:t> </w:t>
      </w:r>
      <w:r w:rsidR="00D26583" w:rsidRPr="004A3983">
        <w:t xml:space="preserve">information in these systems has reduced the administrative burden on Registry staff who need </w:t>
      </w:r>
      <w:r w:rsidR="00590E87" w:rsidRPr="004A3983">
        <w:t xml:space="preserve">that </w:t>
      </w:r>
      <w:r w:rsidR="00D26583" w:rsidRPr="004A3983">
        <w:t>information to implement the CPOR Act.</w:t>
      </w:r>
      <w:r w:rsidR="00D26583" w:rsidRPr="004A3983">
        <w:rPr>
          <w:rStyle w:val="FootnoteReference"/>
        </w:rPr>
        <w:footnoteReference w:id="9"/>
      </w:r>
    </w:p>
    <w:p w14:paraId="478EC60B" w14:textId="3069CEA6" w:rsidR="00D26583" w:rsidRPr="004A3983" w:rsidRDefault="001F36C6" w:rsidP="00846370">
      <w:pPr>
        <w:pStyle w:val="Heading2"/>
        <w:spacing w:after="160"/>
      </w:pPr>
      <w:bookmarkStart w:id="52" w:name="_Toc8641130"/>
      <w:bookmarkStart w:id="53" w:name="_Toc22627727"/>
      <w:r w:rsidRPr="004A3983">
        <w:lastRenderedPageBreak/>
        <w:t>N</w:t>
      </w:r>
      <w:r w:rsidR="00D265F5" w:rsidRPr="004A3983">
        <w:t>SW</w:t>
      </w:r>
      <w:r w:rsidR="008F104D" w:rsidRPr="004A3983">
        <w:t xml:space="preserve"> Police F</w:t>
      </w:r>
      <w:r w:rsidR="00D26583" w:rsidRPr="004A3983">
        <w:t>orce information</w:t>
      </w:r>
      <w:bookmarkEnd w:id="52"/>
      <w:bookmarkEnd w:id="53"/>
    </w:p>
    <w:p w14:paraId="14B00F2E" w14:textId="7C44F69D" w:rsidR="00D26583" w:rsidRPr="004A3983" w:rsidRDefault="00D26583" w:rsidP="00846370">
      <w:pPr>
        <w:spacing w:after="160"/>
        <w:rPr>
          <w:rFonts w:ascii="Gotham Book" w:hAnsi="Gotham Book"/>
        </w:rPr>
      </w:pPr>
      <w:r w:rsidRPr="004A3983">
        <w:rPr>
          <w:rFonts w:ascii="Gotham Book" w:hAnsi="Gotham Book"/>
        </w:rPr>
        <w:t>Part 6 of the LECC Act contains the Commission’s coercive powers of investigation, including the power</w:t>
      </w:r>
      <w:r w:rsidR="00590E87" w:rsidRPr="004A3983">
        <w:rPr>
          <w:rFonts w:ascii="Gotham Book" w:hAnsi="Gotham Book"/>
        </w:rPr>
        <w:t>s in s 54 and s 55</w:t>
      </w:r>
      <w:r w:rsidRPr="004A3983">
        <w:rPr>
          <w:rFonts w:ascii="Gotham Book" w:hAnsi="Gotham Book"/>
        </w:rPr>
        <w:t xml:space="preserve"> to </w:t>
      </w:r>
      <w:r w:rsidR="00590E87" w:rsidRPr="004A3983">
        <w:rPr>
          <w:rFonts w:ascii="Gotham Book" w:hAnsi="Gotham Book"/>
        </w:rPr>
        <w:t>require the</w:t>
      </w:r>
      <w:r w:rsidRPr="004A3983">
        <w:rPr>
          <w:rFonts w:ascii="Gotham Book" w:hAnsi="Gotham Book"/>
        </w:rPr>
        <w:t xml:space="preserve"> </w:t>
      </w:r>
      <w:r w:rsidR="00590E87" w:rsidRPr="004A3983">
        <w:rPr>
          <w:rFonts w:ascii="Gotham Book" w:hAnsi="Gotham Book"/>
        </w:rPr>
        <w:t xml:space="preserve">production of information, documents or other </w:t>
      </w:r>
      <w:r w:rsidRPr="004A3983">
        <w:rPr>
          <w:rFonts w:ascii="Gotham Book" w:hAnsi="Gotham Book"/>
        </w:rPr>
        <w:t>things</w:t>
      </w:r>
      <w:r w:rsidR="00F62579" w:rsidRPr="004A3983">
        <w:rPr>
          <w:rFonts w:ascii="Gotham Book" w:hAnsi="Gotham Book"/>
        </w:rPr>
        <w:t xml:space="preserve"> through</w:t>
      </w:r>
      <w:r w:rsidR="00590E87" w:rsidRPr="004A3983">
        <w:rPr>
          <w:rFonts w:ascii="Gotham Book" w:hAnsi="Gotham Book"/>
        </w:rPr>
        <w:t xml:space="preserve"> issuing notices.</w:t>
      </w:r>
      <w:r w:rsidRPr="004A3983">
        <w:rPr>
          <w:rFonts w:ascii="Gotham Book" w:hAnsi="Gotham Book"/>
        </w:rPr>
        <w:t xml:space="preserve"> </w:t>
      </w:r>
    </w:p>
    <w:p w14:paraId="44A0BBA5" w14:textId="40D6A955" w:rsidR="00D26583" w:rsidRPr="004A3983" w:rsidRDefault="00D26583" w:rsidP="00846370">
      <w:pPr>
        <w:spacing w:after="160"/>
        <w:rPr>
          <w:rFonts w:ascii="Gotham Book" w:hAnsi="Gotham Book"/>
        </w:rPr>
      </w:pPr>
      <w:r w:rsidRPr="004A3983">
        <w:rPr>
          <w:rFonts w:ascii="Gotham Book" w:hAnsi="Gotham Book"/>
        </w:rPr>
        <w:t>During our investigation we served seven notices on the NSW Police Force under s</w:t>
      </w:r>
      <w:r w:rsidR="00AC38B2" w:rsidRPr="004A3983">
        <w:rPr>
          <w:rFonts w:ascii="Gotham Book" w:hAnsi="Gotham Book"/>
        </w:rPr>
        <w:t> </w:t>
      </w:r>
      <w:r w:rsidRPr="004A3983">
        <w:rPr>
          <w:rFonts w:ascii="Gotham Book" w:hAnsi="Gotham Book"/>
        </w:rPr>
        <w:t>55 of the LECC Act, requiring it to produce certain do</w:t>
      </w:r>
      <w:r w:rsidR="00611646" w:rsidRPr="004A3983">
        <w:rPr>
          <w:rFonts w:ascii="Gotham Book" w:hAnsi="Gotham Book"/>
        </w:rPr>
        <w:t>cuments within a specified time</w:t>
      </w:r>
      <w:r w:rsidRPr="004A3983">
        <w:rPr>
          <w:rFonts w:ascii="Gotham Book" w:hAnsi="Gotham Book"/>
        </w:rPr>
        <w:t xml:space="preserve">frame. These notices targeted NSW Police Force information held by the Registry, the Office of the </w:t>
      </w:r>
      <w:r w:rsidR="00BE3726" w:rsidRPr="004A3983">
        <w:rPr>
          <w:rFonts w:ascii="Gotham Book" w:hAnsi="Gotham Book"/>
        </w:rPr>
        <w:t>General Counsel</w:t>
      </w:r>
      <w:r w:rsidRPr="004A3983">
        <w:rPr>
          <w:rFonts w:ascii="Gotham Book" w:hAnsi="Gotham Book"/>
        </w:rPr>
        <w:t xml:space="preserve"> and the Performance and Program Support Command. As a result we received and analysed over 5,000 pages of documents.</w:t>
      </w:r>
    </w:p>
    <w:p w14:paraId="1AB19DAE" w14:textId="581EAB98" w:rsidR="00D26583" w:rsidRPr="004A3983" w:rsidRDefault="00D26583" w:rsidP="00846370">
      <w:pPr>
        <w:spacing w:after="160"/>
        <w:rPr>
          <w:rFonts w:ascii="Gotham Book" w:hAnsi="Gotham Book"/>
        </w:rPr>
      </w:pPr>
      <w:r w:rsidRPr="004A3983">
        <w:rPr>
          <w:rFonts w:ascii="Gotham Book" w:hAnsi="Gotham Book"/>
        </w:rPr>
        <w:t xml:space="preserve">We </w:t>
      </w:r>
      <w:r w:rsidR="007635C2" w:rsidRPr="004A3983">
        <w:rPr>
          <w:rFonts w:ascii="Gotham Book" w:hAnsi="Gotham Book"/>
        </w:rPr>
        <w:t xml:space="preserve">also </w:t>
      </w:r>
      <w:r w:rsidRPr="004A3983">
        <w:rPr>
          <w:rFonts w:ascii="Gotham Book" w:hAnsi="Gotham Book"/>
        </w:rPr>
        <w:t xml:space="preserve">investigated the cases of 21 individuals </w:t>
      </w:r>
      <w:r w:rsidR="00387ED3" w:rsidRPr="004A3983">
        <w:rPr>
          <w:rFonts w:ascii="Gotham Book" w:hAnsi="Gotham Book"/>
        </w:rPr>
        <w:t xml:space="preserve">who </w:t>
      </w:r>
      <w:r w:rsidR="00F933FB" w:rsidRPr="004A3983">
        <w:rPr>
          <w:rFonts w:ascii="Gotham Book" w:hAnsi="Gotham Book"/>
        </w:rPr>
        <w:t xml:space="preserve">the NSW Police Force had </w:t>
      </w:r>
      <w:r w:rsidR="00387ED3" w:rsidRPr="004A3983">
        <w:rPr>
          <w:rFonts w:ascii="Gotham Book" w:hAnsi="Gotham Book"/>
        </w:rPr>
        <w:t>placed on the Register</w:t>
      </w:r>
      <w:r w:rsidRPr="004A3983">
        <w:rPr>
          <w:rFonts w:ascii="Gotham Book" w:hAnsi="Gotham Book"/>
        </w:rPr>
        <w:t>. We chose these cases for review as they had been referenced in NSW Police Force documents as being cases in which errors had been made. The purpose of our review was to ide</w:t>
      </w:r>
      <w:r w:rsidR="0071130B" w:rsidRPr="004A3983">
        <w:rPr>
          <w:rFonts w:ascii="Gotham Book" w:hAnsi="Gotham Book"/>
        </w:rPr>
        <w:t>ntify</w:t>
      </w:r>
      <w:r w:rsidR="00F12031" w:rsidRPr="004A3983">
        <w:rPr>
          <w:rFonts w:ascii="Gotham Book" w:hAnsi="Gotham Book"/>
        </w:rPr>
        <w:t xml:space="preserve"> the precise nature of the errors, </w:t>
      </w:r>
      <w:r w:rsidR="0071130B" w:rsidRPr="004A3983">
        <w:rPr>
          <w:rFonts w:ascii="Gotham Book" w:hAnsi="Gotham Book"/>
        </w:rPr>
        <w:t xml:space="preserve">what </w:t>
      </w:r>
      <w:r w:rsidR="00F12031" w:rsidRPr="004A3983">
        <w:rPr>
          <w:rFonts w:ascii="Gotham Book" w:hAnsi="Gotham Book"/>
        </w:rPr>
        <w:t xml:space="preserve">had </w:t>
      </w:r>
      <w:r w:rsidR="0071130B" w:rsidRPr="004A3983">
        <w:rPr>
          <w:rFonts w:ascii="Gotham Book" w:hAnsi="Gotham Book"/>
        </w:rPr>
        <w:t xml:space="preserve">caused </w:t>
      </w:r>
      <w:r w:rsidR="00F12031" w:rsidRPr="004A3983">
        <w:rPr>
          <w:rFonts w:ascii="Gotham Book" w:hAnsi="Gotham Book"/>
        </w:rPr>
        <w:t>them</w:t>
      </w:r>
      <w:r w:rsidR="0071130B" w:rsidRPr="004A3983">
        <w:rPr>
          <w:rFonts w:ascii="Gotham Book" w:hAnsi="Gotham Book"/>
        </w:rPr>
        <w:t>, the consequences of th</w:t>
      </w:r>
      <w:r w:rsidR="008337A4" w:rsidRPr="004A3983">
        <w:rPr>
          <w:rFonts w:ascii="Gotham Book" w:hAnsi="Gotham Book"/>
        </w:rPr>
        <w:t>os</w:t>
      </w:r>
      <w:r w:rsidR="0071130B" w:rsidRPr="004A3983">
        <w:rPr>
          <w:rFonts w:ascii="Gotham Book" w:hAnsi="Gotham Book"/>
        </w:rPr>
        <w:t>e</w:t>
      </w:r>
      <w:r w:rsidRPr="004A3983">
        <w:rPr>
          <w:rFonts w:ascii="Gotham Book" w:hAnsi="Gotham Book"/>
        </w:rPr>
        <w:t xml:space="preserve"> errors, and what remedial action the NSW Police Force had taken upon </w:t>
      </w:r>
      <w:r w:rsidR="008337A4" w:rsidRPr="004A3983">
        <w:rPr>
          <w:rFonts w:ascii="Gotham Book" w:hAnsi="Gotham Book"/>
        </w:rPr>
        <w:t>their discovery</w:t>
      </w:r>
      <w:r w:rsidRPr="004A3983">
        <w:rPr>
          <w:rFonts w:ascii="Gotham Book" w:hAnsi="Gotham Book"/>
        </w:rPr>
        <w:t>.</w:t>
      </w:r>
    </w:p>
    <w:p w14:paraId="6EDC794E" w14:textId="485D9CB6" w:rsidR="00A252D4" w:rsidRPr="004A3983" w:rsidRDefault="00D26583" w:rsidP="00846370">
      <w:pPr>
        <w:spacing w:after="160"/>
        <w:rPr>
          <w:rFonts w:ascii="Gotham Book" w:hAnsi="Gotham Book"/>
        </w:rPr>
      </w:pPr>
      <w:r w:rsidRPr="004A3983">
        <w:rPr>
          <w:rFonts w:ascii="Gotham Book" w:hAnsi="Gotham Book"/>
        </w:rPr>
        <w:t xml:space="preserve">As part of our case file reviews we interrogated </w:t>
      </w:r>
      <w:r w:rsidR="00164339" w:rsidRPr="004A3983">
        <w:rPr>
          <w:rFonts w:ascii="Gotham Book" w:hAnsi="Gotham Book"/>
        </w:rPr>
        <w:t xml:space="preserve">records in the </w:t>
      </w:r>
      <w:r w:rsidR="00A252D4" w:rsidRPr="004A3983">
        <w:rPr>
          <w:rFonts w:ascii="Gotham Book" w:hAnsi="Gotham Book"/>
        </w:rPr>
        <w:t>NSW Police Force</w:t>
      </w:r>
      <w:r w:rsidRPr="004A3983">
        <w:rPr>
          <w:rFonts w:ascii="Gotham Book" w:hAnsi="Gotham Book"/>
        </w:rPr>
        <w:t xml:space="preserve"> Computerised Operational Policing System (COPS) and </w:t>
      </w:r>
      <w:r w:rsidR="00F94CB8" w:rsidRPr="004A3983">
        <w:rPr>
          <w:rFonts w:ascii="Gotham Book" w:hAnsi="Gotham Book"/>
        </w:rPr>
        <w:t xml:space="preserve">in </w:t>
      </w:r>
      <w:r w:rsidR="00893BB6" w:rsidRPr="004A3983">
        <w:rPr>
          <w:rFonts w:ascii="Gotham Book" w:hAnsi="Gotham Book"/>
        </w:rPr>
        <w:t>JusticeL</w:t>
      </w:r>
      <w:r w:rsidRPr="004A3983">
        <w:rPr>
          <w:rFonts w:ascii="Gotham Book" w:hAnsi="Gotham Book"/>
        </w:rPr>
        <w:t>ink</w:t>
      </w:r>
      <w:r w:rsidR="00DF5A22" w:rsidRPr="004A3983">
        <w:rPr>
          <w:rFonts w:ascii="Gotham Book" w:hAnsi="Gotham Book"/>
        </w:rPr>
        <w:t>, in order to</w:t>
      </w:r>
      <w:r w:rsidR="00A252D4" w:rsidRPr="004A3983">
        <w:rPr>
          <w:rFonts w:ascii="Gotham Book" w:hAnsi="Gotham Book"/>
        </w:rPr>
        <w:t>:</w:t>
      </w:r>
    </w:p>
    <w:p w14:paraId="71A6467D" w14:textId="1161F4BD" w:rsidR="00A252D4" w:rsidRPr="004A3983" w:rsidRDefault="00D26583" w:rsidP="006A1E39">
      <w:pPr>
        <w:pStyle w:val="ListBullet"/>
      </w:pPr>
      <w:r w:rsidRPr="006A1E39">
        <w:t>ver</w:t>
      </w:r>
      <w:r w:rsidR="00A252D4" w:rsidRPr="006A1E39">
        <w:t xml:space="preserve">ify </w:t>
      </w:r>
      <w:r w:rsidR="0016257E" w:rsidRPr="006A1E39">
        <w:t>each person’s criminal history</w:t>
      </w:r>
      <w:r w:rsidR="00A252D4" w:rsidRPr="006A1E39">
        <w:t xml:space="preserve"> to</w:t>
      </w:r>
      <w:r w:rsidRPr="006A1E39">
        <w:t xml:space="preserve"> identify the errors that had been made</w:t>
      </w:r>
      <w:r w:rsidR="00A252D4" w:rsidRPr="006A1E39">
        <w:t xml:space="preserve"> in</w:t>
      </w:r>
      <w:r w:rsidR="00AF13DE" w:rsidRPr="006A1E39">
        <w:t xml:space="preserve"> applying the CPOR Act in their case</w:t>
      </w:r>
      <w:r w:rsidR="00A252D4" w:rsidRPr="004A3983">
        <w:t>;</w:t>
      </w:r>
    </w:p>
    <w:p w14:paraId="39DBB43C" w14:textId="42E95721" w:rsidR="00A252D4" w:rsidRPr="004A3983" w:rsidRDefault="00A252D4" w:rsidP="006A1E39">
      <w:pPr>
        <w:pStyle w:val="ListBullet"/>
      </w:pPr>
      <w:r w:rsidRPr="004A3983">
        <w:t>identify instances where police had</w:t>
      </w:r>
      <w:r w:rsidR="0071130B" w:rsidRPr="004A3983">
        <w:t xml:space="preserve"> searched</w:t>
      </w:r>
      <w:r w:rsidR="00D26583" w:rsidRPr="004A3983">
        <w:t xml:space="preserve"> residen</w:t>
      </w:r>
      <w:r w:rsidR="00B16E76" w:rsidRPr="004A3983">
        <w:t>ces in purported</w:t>
      </w:r>
      <w:r w:rsidRPr="004A3983">
        <w:t xml:space="preserve"> </w:t>
      </w:r>
      <w:r w:rsidR="00B16E76" w:rsidRPr="004A3983">
        <w:t>reliance on a</w:t>
      </w:r>
      <w:r w:rsidRPr="004A3983">
        <w:t xml:space="preserve"> power in the CPOR Act,</w:t>
      </w:r>
      <w:r w:rsidR="00D26583" w:rsidRPr="004A3983">
        <w:rPr>
          <w:rStyle w:val="FootnoteReference"/>
        </w:rPr>
        <w:footnoteReference w:id="10"/>
      </w:r>
      <w:r w:rsidRPr="004A3983">
        <w:t xml:space="preserve"> and</w:t>
      </w:r>
    </w:p>
    <w:p w14:paraId="733DA1C3" w14:textId="23D8DED6" w:rsidR="00D26583" w:rsidRPr="004A3983" w:rsidRDefault="00A252D4" w:rsidP="006A1E39">
      <w:pPr>
        <w:pStyle w:val="ListBullet"/>
      </w:pPr>
      <w:r w:rsidRPr="004A3983">
        <w:t>check</w:t>
      </w:r>
      <w:r w:rsidR="0071130B" w:rsidRPr="004A3983">
        <w:t xml:space="preserve"> for </w:t>
      </w:r>
      <w:r w:rsidR="005626A9" w:rsidRPr="004A3983">
        <w:t xml:space="preserve">charges, arrests and </w:t>
      </w:r>
      <w:r w:rsidR="00D26583" w:rsidRPr="004A3983">
        <w:t xml:space="preserve">convictions for </w:t>
      </w:r>
      <w:r w:rsidR="00C5449A" w:rsidRPr="004A3983">
        <w:t xml:space="preserve">offences </w:t>
      </w:r>
      <w:r w:rsidR="00D26583" w:rsidRPr="004A3983">
        <w:t xml:space="preserve">under the CPOR Act. </w:t>
      </w:r>
    </w:p>
    <w:p w14:paraId="55F3AE93" w14:textId="77A9D733" w:rsidR="00D26583" w:rsidRPr="004A3983" w:rsidRDefault="00D26583" w:rsidP="00846370">
      <w:pPr>
        <w:spacing w:after="160"/>
        <w:rPr>
          <w:rFonts w:ascii="Gotham Book" w:hAnsi="Gotham Book"/>
        </w:rPr>
      </w:pPr>
      <w:r w:rsidRPr="004A3983">
        <w:rPr>
          <w:rFonts w:ascii="Gotham Book" w:hAnsi="Gotham Book"/>
        </w:rPr>
        <w:t xml:space="preserve">The case studies </w:t>
      </w:r>
      <w:r w:rsidR="005C1D7B" w:rsidRPr="004A3983">
        <w:rPr>
          <w:rFonts w:ascii="Gotham Book" w:hAnsi="Gotham Book"/>
        </w:rPr>
        <w:t>in</w:t>
      </w:r>
      <w:r w:rsidR="0071130B" w:rsidRPr="004A3983">
        <w:rPr>
          <w:rFonts w:ascii="Gotham Book" w:hAnsi="Gotham Book"/>
        </w:rPr>
        <w:t xml:space="preserve"> this report are drawn from our review of these files</w:t>
      </w:r>
      <w:r w:rsidRPr="004A3983">
        <w:rPr>
          <w:rFonts w:ascii="Gotham Book" w:hAnsi="Gotham Book"/>
        </w:rPr>
        <w:t>.</w:t>
      </w:r>
      <w:r w:rsidRPr="004A3983">
        <w:rPr>
          <w:rStyle w:val="FootnoteReference"/>
          <w:rFonts w:ascii="Gotham Book" w:hAnsi="Gotham Book"/>
        </w:rPr>
        <w:footnoteReference w:id="11"/>
      </w:r>
      <w:r w:rsidR="00672214" w:rsidRPr="004A3983">
        <w:rPr>
          <w:rFonts w:ascii="Gotham Book" w:hAnsi="Gotham Book"/>
        </w:rPr>
        <w:t xml:space="preserve"> All offenders</w:t>
      </w:r>
      <w:r w:rsidRPr="004A3983">
        <w:rPr>
          <w:rFonts w:ascii="Gotham Book" w:hAnsi="Gotham Book"/>
        </w:rPr>
        <w:t xml:space="preserve"> mentioned in these case studies</w:t>
      </w:r>
      <w:r w:rsidR="00672214" w:rsidRPr="004A3983">
        <w:rPr>
          <w:rFonts w:ascii="Gotham Book" w:hAnsi="Gotham Book"/>
        </w:rPr>
        <w:t xml:space="preserve"> or elsewhere in the report</w:t>
      </w:r>
      <w:r w:rsidRPr="004A3983">
        <w:rPr>
          <w:rFonts w:ascii="Gotham Book" w:hAnsi="Gotham Book"/>
        </w:rPr>
        <w:t xml:space="preserve"> have been given pseudonyms. </w:t>
      </w:r>
    </w:p>
    <w:p w14:paraId="007D0F61" w14:textId="77777777" w:rsidR="00D26583" w:rsidRPr="004A3983" w:rsidRDefault="00D26583" w:rsidP="00846370">
      <w:pPr>
        <w:spacing w:after="160"/>
        <w:rPr>
          <w:rFonts w:ascii="Gotham Book" w:hAnsi="Gotham Book"/>
        </w:rPr>
      </w:pPr>
      <w:r w:rsidRPr="004A3983">
        <w:rPr>
          <w:rFonts w:ascii="Gotham Book" w:hAnsi="Gotham Book"/>
        </w:rPr>
        <w:t>Although the Commission has the power to hold public and private examinations under Part 6 of the LECC Act, it was not considered necessary to hold any examinations in Operation Tusket.</w:t>
      </w:r>
    </w:p>
    <w:p w14:paraId="206DEBC7" w14:textId="195C426C" w:rsidR="00D26583" w:rsidRPr="004A3983" w:rsidRDefault="007A4455" w:rsidP="00846370">
      <w:pPr>
        <w:pStyle w:val="Heading2"/>
        <w:spacing w:after="160"/>
      </w:pPr>
      <w:bookmarkStart w:id="54" w:name="_Toc8641131"/>
      <w:bookmarkStart w:id="55" w:name="_Toc22627728"/>
      <w:r w:rsidRPr="004A3983">
        <w:rPr>
          <w:rFonts w:ascii="Gotham Book" w:hAnsi="Gotham Book"/>
        </w:rPr>
        <w:t>Legal research, analysis and literature review</w:t>
      </w:r>
      <w:bookmarkEnd w:id="54"/>
      <w:bookmarkEnd w:id="55"/>
    </w:p>
    <w:p w14:paraId="12480D7C" w14:textId="321F427A" w:rsidR="007A4455" w:rsidRPr="004A3983" w:rsidRDefault="007A4455" w:rsidP="00846370">
      <w:pPr>
        <w:spacing w:after="160"/>
        <w:rPr>
          <w:rFonts w:ascii="Gotham Book" w:hAnsi="Gotham Book"/>
        </w:rPr>
      </w:pPr>
      <w:r w:rsidRPr="004A3983">
        <w:rPr>
          <w:rFonts w:ascii="Gotham Book" w:hAnsi="Gotham Book"/>
        </w:rPr>
        <w:t xml:space="preserve">We reviewed academic literature about sex offender registers and topics relevant to the management of sex offenders in the community post-sentence. We reviewed the reports of inquiries and reviews </w:t>
      </w:r>
      <w:r w:rsidR="00734A01" w:rsidRPr="004A3983">
        <w:rPr>
          <w:rFonts w:ascii="Gotham Book" w:hAnsi="Gotham Book"/>
        </w:rPr>
        <w:t>that considered the CPOR Act or</w:t>
      </w:r>
      <w:r w:rsidRPr="004A3983">
        <w:rPr>
          <w:rFonts w:ascii="Gotham Book" w:hAnsi="Gotham Book"/>
        </w:rPr>
        <w:t xml:space="preserve"> the Register</w:t>
      </w:r>
      <w:r w:rsidR="00AB0933" w:rsidRPr="004A3983">
        <w:rPr>
          <w:rFonts w:ascii="Gotham Book" w:hAnsi="Gotham Book"/>
        </w:rPr>
        <w:t xml:space="preserve"> more broadly</w:t>
      </w:r>
      <w:r w:rsidRPr="004A3983">
        <w:rPr>
          <w:rFonts w:ascii="Gotham Book" w:hAnsi="Gotham Book"/>
        </w:rPr>
        <w:t>.</w:t>
      </w:r>
      <w:r w:rsidRPr="004A3983">
        <w:rPr>
          <w:rStyle w:val="FootnoteReference"/>
          <w:rFonts w:ascii="Gotham Book" w:hAnsi="Gotham Book"/>
        </w:rPr>
        <w:footnoteReference w:id="12"/>
      </w:r>
    </w:p>
    <w:p w14:paraId="549BFA7B" w14:textId="1871AAB2" w:rsidR="00D26583" w:rsidRPr="004A3983" w:rsidRDefault="007A4455" w:rsidP="00846370">
      <w:pPr>
        <w:spacing w:after="160"/>
        <w:rPr>
          <w:rFonts w:ascii="Gotham Book" w:hAnsi="Gotham Book"/>
        </w:rPr>
      </w:pPr>
      <w:r w:rsidRPr="004A3983">
        <w:rPr>
          <w:rFonts w:ascii="Gotham Book" w:hAnsi="Gotham Book"/>
        </w:rPr>
        <w:lastRenderedPageBreak/>
        <w:t>As part of our focus on identifying the systemic factors contributing to errors in the Register, we undertook an extensive analysis of the CPOR Act</w:t>
      </w:r>
      <w:r w:rsidR="00B065C5" w:rsidRPr="004A3983">
        <w:rPr>
          <w:rFonts w:ascii="Gotham Book" w:hAnsi="Gotham Book"/>
        </w:rPr>
        <w:t>,</w:t>
      </w:r>
      <w:r w:rsidR="001B0E30" w:rsidRPr="004A3983">
        <w:rPr>
          <w:rFonts w:ascii="Gotham Book" w:hAnsi="Gotham Book"/>
        </w:rPr>
        <w:t xml:space="preserve"> the final results of which are</w:t>
      </w:r>
      <w:r w:rsidR="00B065C5" w:rsidRPr="004A3983">
        <w:rPr>
          <w:rFonts w:ascii="Gotham Book" w:hAnsi="Gotham Book"/>
        </w:rPr>
        <w:t xml:space="preserve"> contained in Appendix </w:t>
      </w:r>
      <w:r w:rsidR="00932B86" w:rsidRPr="004A3983">
        <w:rPr>
          <w:rFonts w:ascii="Gotham Book" w:hAnsi="Gotham Book"/>
        </w:rPr>
        <w:t>2</w:t>
      </w:r>
      <w:r w:rsidRPr="004A3983">
        <w:rPr>
          <w:rFonts w:ascii="Gotham Book" w:hAnsi="Gotham Book"/>
        </w:rPr>
        <w:t>. We also analysed relevant civil proceedings and N</w:t>
      </w:r>
      <w:r w:rsidR="003C5B97" w:rsidRPr="004A3983">
        <w:rPr>
          <w:rFonts w:ascii="Gotham Book" w:hAnsi="Gotham Book"/>
        </w:rPr>
        <w:t>ew South Wales</w:t>
      </w:r>
      <w:r w:rsidRPr="004A3983">
        <w:rPr>
          <w:rFonts w:ascii="Gotham Book" w:hAnsi="Gotham Book"/>
        </w:rPr>
        <w:t xml:space="preserve"> case law, and undertook a comparative analysis of the equivalent statutory frameworks in all Australian jurisdictions, New Zealand and the United Kingdom.  </w:t>
      </w:r>
    </w:p>
    <w:p w14:paraId="221D2450" w14:textId="206963C0" w:rsidR="007A4455" w:rsidRPr="004A3983" w:rsidRDefault="007A4455" w:rsidP="00846370">
      <w:pPr>
        <w:pStyle w:val="Heading2"/>
        <w:spacing w:after="160"/>
      </w:pPr>
      <w:bookmarkStart w:id="56" w:name="_Toc8641132"/>
      <w:bookmarkStart w:id="57" w:name="_Toc22627729"/>
      <w:r w:rsidRPr="004A3983">
        <w:rPr>
          <w:rFonts w:ascii="Gotham Book" w:hAnsi="Gotham Book"/>
        </w:rPr>
        <w:t>Information from the NSW Bureau of Crime Statistics and Research</w:t>
      </w:r>
      <w:bookmarkEnd w:id="56"/>
      <w:bookmarkEnd w:id="57"/>
    </w:p>
    <w:p w14:paraId="7109B3A0" w14:textId="086121C8" w:rsidR="00BA25C2" w:rsidRPr="004A3983" w:rsidRDefault="00BA25C2" w:rsidP="00846370">
      <w:pPr>
        <w:spacing w:after="160"/>
        <w:rPr>
          <w:rFonts w:ascii="Gotham Book" w:hAnsi="Gotham Book"/>
        </w:rPr>
      </w:pPr>
      <w:r w:rsidRPr="004A3983">
        <w:rPr>
          <w:rFonts w:ascii="Gotham Book" w:hAnsi="Gotham Book"/>
        </w:rPr>
        <w:t>We requested datasets from the NSW Bureau of Crime Statistics and Research (BOCSAR) to explore trends in the numbers of persons added to the Register between its commencement in 2001 and the present.</w:t>
      </w:r>
      <w:r w:rsidRPr="004A3983">
        <w:rPr>
          <w:rStyle w:val="FootnoteReference"/>
          <w:rFonts w:ascii="Gotham Book" w:hAnsi="Gotham Book"/>
        </w:rPr>
        <w:footnoteReference w:id="13"/>
      </w:r>
      <w:r w:rsidRPr="004A3983">
        <w:rPr>
          <w:rFonts w:ascii="Gotham Book" w:hAnsi="Gotham Book"/>
        </w:rPr>
        <w:t xml:space="preserve"> These datasets included the number of persons convicted of child sexual offences</w:t>
      </w:r>
      <w:r w:rsidR="00F65978" w:rsidRPr="004A3983">
        <w:rPr>
          <w:rFonts w:ascii="Gotham Book" w:hAnsi="Gotham Book"/>
        </w:rPr>
        <w:t>,</w:t>
      </w:r>
      <w:r w:rsidRPr="004A3983">
        <w:rPr>
          <w:rFonts w:ascii="Gotham Book" w:hAnsi="Gotham Book"/>
        </w:rPr>
        <w:t xml:space="preserve"> an</w:t>
      </w:r>
      <w:r w:rsidR="00D76C69" w:rsidRPr="004A3983">
        <w:rPr>
          <w:rFonts w:ascii="Gotham Book" w:hAnsi="Gotham Book"/>
        </w:rPr>
        <w:t xml:space="preserve">d </w:t>
      </w:r>
      <w:r w:rsidR="00F65978" w:rsidRPr="004A3983">
        <w:rPr>
          <w:rFonts w:ascii="Gotham Book" w:hAnsi="Gotham Book"/>
        </w:rPr>
        <w:t xml:space="preserve">in particular </w:t>
      </w:r>
      <w:r w:rsidR="00D76C69" w:rsidRPr="004A3983">
        <w:rPr>
          <w:rFonts w:ascii="Gotham Book" w:hAnsi="Gotham Book"/>
        </w:rPr>
        <w:t>child abuse material offences</w:t>
      </w:r>
      <w:r w:rsidR="00F65978" w:rsidRPr="004A3983">
        <w:rPr>
          <w:rFonts w:ascii="Gotham Book" w:hAnsi="Gotham Book"/>
        </w:rPr>
        <w:t>,</w:t>
      </w:r>
      <w:r w:rsidRPr="004A3983">
        <w:rPr>
          <w:rStyle w:val="FootnoteReference"/>
          <w:rFonts w:ascii="Gotham Book" w:hAnsi="Gotham Book"/>
        </w:rPr>
        <w:footnoteReference w:id="14"/>
      </w:r>
      <w:r w:rsidRPr="004A3983">
        <w:rPr>
          <w:rFonts w:ascii="Gotham Book" w:hAnsi="Gotham Book"/>
        </w:rPr>
        <w:t xml:space="preserve"> and the number of these o</w:t>
      </w:r>
      <w:r w:rsidR="003C5B97" w:rsidRPr="004A3983">
        <w:rPr>
          <w:rFonts w:ascii="Gotham Book" w:hAnsi="Gotham Book"/>
        </w:rPr>
        <w:t>ffences which were proven in New South Wales</w:t>
      </w:r>
      <w:r w:rsidRPr="004A3983">
        <w:rPr>
          <w:rFonts w:ascii="Gotham Book" w:hAnsi="Gotham Book"/>
        </w:rPr>
        <w:t xml:space="preserve"> courts between 2001 and 2018.</w:t>
      </w:r>
    </w:p>
    <w:p w14:paraId="2CF2DEAD" w14:textId="08672097" w:rsidR="00BA25C2" w:rsidRPr="004A3983" w:rsidRDefault="00BA25C2" w:rsidP="00846370">
      <w:pPr>
        <w:pStyle w:val="Heading2"/>
        <w:spacing w:after="160"/>
        <w:rPr>
          <w:rFonts w:ascii="Gotham Book" w:hAnsi="Gotham Book"/>
        </w:rPr>
      </w:pPr>
      <w:bookmarkStart w:id="58" w:name="_Toc8641133"/>
      <w:bookmarkStart w:id="59" w:name="_Toc22627730"/>
      <w:r w:rsidRPr="004A3983">
        <w:rPr>
          <w:rFonts w:ascii="Gotham Book" w:hAnsi="Gotham Book"/>
        </w:rPr>
        <w:t>Consultations</w:t>
      </w:r>
      <w:bookmarkEnd w:id="58"/>
      <w:bookmarkEnd w:id="59"/>
    </w:p>
    <w:p w14:paraId="71A1DA35" w14:textId="598F25BB" w:rsidR="00347584" w:rsidRPr="004A3983" w:rsidRDefault="00692BAE" w:rsidP="00846370">
      <w:pPr>
        <w:spacing w:after="160"/>
        <w:rPr>
          <w:rFonts w:ascii="Gotham Book" w:hAnsi="Gotham Book"/>
        </w:rPr>
      </w:pPr>
      <w:r w:rsidRPr="004A3983">
        <w:rPr>
          <w:rFonts w:ascii="Gotham Book" w:hAnsi="Gotham Book"/>
        </w:rPr>
        <w:t>During Operation Tusket w</w:t>
      </w:r>
      <w:r w:rsidR="00BA25C2" w:rsidRPr="004A3983">
        <w:rPr>
          <w:rFonts w:ascii="Gotham Book" w:hAnsi="Gotham Book"/>
        </w:rPr>
        <w:t>e held multiple consultations with police officers and legal officers from the Registry, the Child Abuse and Sex Crimes Squad, the Prosecutions Command, the Performa</w:t>
      </w:r>
      <w:r w:rsidR="00A43D00" w:rsidRPr="004A3983">
        <w:rPr>
          <w:rFonts w:ascii="Gotham Book" w:hAnsi="Gotham Book"/>
        </w:rPr>
        <w:t>nce and Program Support Command</w:t>
      </w:r>
      <w:r w:rsidR="00BA25C2" w:rsidRPr="004A3983">
        <w:rPr>
          <w:rFonts w:ascii="Gotham Book" w:hAnsi="Gotham Book"/>
        </w:rPr>
        <w:t xml:space="preserve"> and the Professional Standards Command of the NSW Police Force.</w:t>
      </w:r>
      <w:r w:rsidR="00A351EA" w:rsidRPr="004A3983">
        <w:rPr>
          <w:rFonts w:ascii="Gotham Book" w:hAnsi="Gotham Book"/>
        </w:rPr>
        <w:t xml:space="preserve"> </w:t>
      </w:r>
      <w:r w:rsidR="00347584" w:rsidRPr="004A3983">
        <w:t xml:space="preserve">The Commission particularly thanks those Registry officers and legal officers in the State Crime Command who spent a significant amount of time </w:t>
      </w:r>
      <w:r w:rsidR="00683391" w:rsidRPr="004A3983">
        <w:t>in</w:t>
      </w:r>
      <w:r w:rsidR="00347584" w:rsidRPr="004A3983">
        <w:t xml:space="preserve"> consultations with Commission investigators discussing the technical aspects of the operation of the Register.</w:t>
      </w:r>
    </w:p>
    <w:p w14:paraId="2A2E8FF7" w14:textId="1C94FB25" w:rsidR="00BA25C2" w:rsidRPr="004A3983" w:rsidRDefault="00BA25C2" w:rsidP="00846370">
      <w:pPr>
        <w:spacing w:after="160"/>
        <w:rPr>
          <w:rFonts w:ascii="Gotham Book" w:hAnsi="Gotham Book"/>
        </w:rPr>
      </w:pPr>
      <w:r w:rsidRPr="004A3983">
        <w:rPr>
          <w:rFonts w:ascii="Gotham Book" w:hAnsi="Gotham Book"/>
        </w:rPr>
        <w:t>The Chief Commissioner wrote to the Commissioner of Police to notify him of the initiation of Operation Tusket,</w:t>
      </w:r>
      <w:r w:rsidR="001B0E30" w:rsidRPr="004A3983">
        <w:rPr>
          <w:rStyle w:val="FootnoteReference"/>
          <w:rFonts w:ascii="Gotham Book" w:hAnsi="Gotham Book"/>
        </w:rPr>
        <w:footnoteReference w:id="15"/>
      </w:r>
      <w:r w:rsidRPr="004A3983">
        <w:rPr>
          <w:rFonts w:ascii="Gotham Book" w:hAnsi="Gotham Book"/>
        </w:rPr>
        <w:t xml:space="preserve"> to provide him with our Interim Report,</w:t>
      </w:r>
      <w:r w:rsidR="001B0E30" w:rsidRPr="004A3983">
        <w:rPr>
          <w:rStyle w:val="FootnoteReference"/>
          <w:rFonts w:ascii="Gotham Book" w:hAnsi="Gotham Book"/>
        </w:rPr>
        <w:footnoteReference w:id="16"/>
      </w:r>
      <w:r w:rsidRPr="004A3983">
        <w:rPr>
          <w:rFonts w:ascii="Gotham Book" w:hAnsi="Gotham Book"/>
        </w:rPr>
        <w:t xml:space="preserve"> to seek his approval for our consultation with State Crime Command staff about</w:t>
      </w:r>
      <w:r w:rsidR="00B43C11" w:rsidRPr="004A3983">
        <w:rPr>
          <w:rFonts w:ascii="Gotham Book" w:hAnsi="Gotham Book"/>
        </w:rPr>
        <w:t xml:space="preserve"> the problems </w:t>
      </w:r>
      <w:r w:rsidR="00B43C11" w:rsidRPr="004A3983">
        <w:rPr>
          <w:rFonts w:ascii="Gotham Book" w:hAnsi="Gotham Book"/>
        </w:rPr>
        <w:lastRenderedPageBreak/>
        <w:t>with the CPOR Act,</w:t>
      </w:r>
      <w:r w:rsidR="001B0E30" w:rsidRPr="004A3983">
        <w:rPr>
          <w:rStyle w:val="FootnoteReference"/>
          <w:rFonts w:ascii="Gotham Book" w:hAnsi="Gotham Book"/>
        </w:rPr>
        <w:footnoteReference w:id="17"/>
      </w:r>
      <w:r w:rsidR="00B43C11" w:rsidRPr="004A3983">
        <w:rPr>
          <w:rFonts w:ascii="Gotham Book" w:hAnsi="Gotham Book"/>
        </w:rPr>
        <w:t xml:space="preserve"> and to provide him with a draft of our final report for comment.</w:t>
      </w:r>
      <w:r w:rsidR="00B43C11" w:rsidRPr="004A3983">
        <w:rPr>
          <w:rStyle w:val="FootnoteReference"/>
          <w:rFonts w:ascii="Gotham Book" w:hAnsi="Gotham Book"/>
        </w:rPr>
        <w:footnoteReference w:id="18"/>
      </w:r>
      <w:r w:rsidRPr="004A3983">
        <w:rPr>
          <w:rFonts w:ascii="Gotham Book" w:hAnsi="Gotham Book"/>
        </w:rPr>
        <w:t xml:space="preserve"> </w:t>
      </w:r>
    </w:p>
    <w:p w14:paraId="0F6F0266" w14:textId="5E1431A8" w:rsidR="00BA25C2" w:rsidRPr="004A3983" w:rsidRDefault="00BA25C2" w:rsidP="00846370">
      <w:pPr>
        <w:spacing w:after="160"/>
        <w:rPr>
          <w:rFonts w:ascii="Gotham Book" w:hAnsi="Gotham Book"/>
        </w:rPr>
      </w:pPr>
      <w:r w:rsidRPr="004A3983">
        <w:rPr>
          <w:rFonts w:ascii="Gotham Book" w:hAnsi="Gotham Book"/>
        </w:rPr>
        <w:t>The Chief Commissioner, the Commissioner of Integrity, the Solicitor to the Commission and Commission investigators met with the NSW Police Force Deputy Commissioner (Investigations and Counter Terrorism), the NSW Police Force General Counsel and the Commander of the State Crime Command on a number of occasions.</w:t>
      </w:r>
    </w:p>
    <w:p w14:paraId="30BBC24C" w14:textId="4D94F0CD" w:rsidR="00BA25C2" w:rsidRPr="004A3983" w:rsidRDefault="00BA25C2" w:rsidP="00846370">
      <w:pPr>
        <w:spacing w:after="160"/>
        <w:rPr>
          <w:rFonts w:ascii="Gotham Book" w:hAnsi="Gotham Book"/>
        </w:rPr>
      </w:pPr>
      <w:r w:rsidRPr="004A3983">
        <w:rPr>
          <w:rFonts w:ascii="Gotham Book" w:hAnsi="Gotham Book"/>
        </w:rPr>
        <w:t xml:space="preserve">We </w:t>
      </w:r>
      <w:r w:rsidR="007C10AF" w:rsidRPr="004A3983">
        <w:rPr>
          <w:rFonts w:ascii="Gotham Book" w:hAnsi="Gotham Book"/>
        </w:rPr>
        <w:t xml:space="preserve">also </w:t>
      </w:r>
      <w:r w:rsidRPr="004A3983">
        <w:rPr>
          <w:rFonts w:ascii="Gotham Book" w:hAnsi="Gotham Book"/>
        </w:rPr>
        <w:t>consulted with the NSW Ombudsman, Corrective Services NSW, the I</w:t>
      </w:r>
      <w:r w:rsidR="003C5B97" w:rsidRPr="004A3983">
        <w:rPr>
          <w:rFonts w:ascii="Gotham Book" w:hAnsi="Gotham Book"/>
        </w:rPr>
        <w:t>ndependent Broad-based Anti-c</w:t>
      </w:r>
      <w:r w:rsidRPr="004A3983">
        <w:rPr>
          <w:rFonts w:ascii="Gotham Book" w:hAnsi="Gotham Book"/>
        </w:rPr>
        <w:t xml:space="preserve">orruption Commission (Victoria) and Victoria Police. </w:t>
      </w:r>
    </w:p>
    <w:p w14:paraId="09D696E2" w14:textId="2BE39DF5" w:rsidR="00BA25C2" w:rsidRPr="004A3983" w:rsidRDefault="001F36C6" w:rsidP="00846370">
      <w:pPr>
        <w:pStyle w:val="Heading2"/>
        <w:spacing w:after="160"/>
      </w:pPr>
      <w:bookmarkStart w:id="60" w:name="_Toc8641134"/>
      <w:bookmarkStart w:id="61" w:name="_Toc22627731"/>
      <w:r w:rsidRPr="004A3983">
        <w:t>I</w:t>
      </w:r>
      <w:r w:rsidR="00325B2C" w:rsidRPr="004A3983">
        <w:t>nterim reports</w:t>
      </w:r>
      <w:bookmarkEnd w:id="60"/>
      <w:bookmarkEnd w:id="61"/>
    </w:p>
    <w:p w14:paraId="207BF672" w14:textId="2B7518C5" w:rsidR="004D48C9" w:rsidRPr="004A3983" w:rsidRDefault="004D48C9" w:rsidP="004D48C9">
      <w:pPr>
        <w:spacing w:after="160"/>
        <w:rPr>
          <w:rFonts w:ascii="Gotham Book" w:hAnsi="Gotham Book"/>
        </w:rPr>
      </w:pPr>
      <w:r w:rsidRPr="004A3983">
        <w:t xml:space="preserve">During Operation Tusket we provided the NSW Police Force with interim reports and briefings, and sought its response. </w:t>
      </w:r>
      <w:r w:rsidRPr="004A3983">
        <w:rPr>
          <w:rFonts w:ascii="Gotham Book" w:hAnsi="Gotham Book"/>
        </w:rPr>
        <w:t>This process helped us to clarify areas of consensus and disagreement and further develop our recommendations. It also provided the NSW Police Force with the opportunity to implement improvements to relevant practices in a timely manner.</w:t>
      </w:r>
    </w:p>
    <w:p w14:paraId="06D9863B" w14:textId="77777777" w:rsidR="00325B2C" w:rsidRPr="004A3983" w:rsidRDefault="00325B2C" w:rsidP="00846370">
      <w:pPr>
        <w:pStyle w:val="Heading3"/>
        <w:spacing w:after="160"/>
        <w:ind w:left="709" w:hanging="709"/>
      </w:pPr>
      <w:bookmarkStart w:id="62" w:name="_Toc8641135"/>
      <w:bookmarkStart w:id="63" w:name="_Toc8913475"/>
      <w:bookmarkStart w:id="64" w:name="_Toc9428336"/>
      <w:bookmarkStart w:id="65" w:name="_Toc12020288"/>
      <w:bookmarkStart w:id="66" w:name="_Toc14790453"/>
      <w:bookmarkStart w:id="67" w:name="_Toc15478336"/>
      <w:bookmarkStart w:id="68" w:name="_Toc22627732"/>
      <w:bookmarkEnd w:id="42"/>
      <w:bookmarkEnd w:id="43"/>
      <w:bookmarkEnd w:id="44"/>
      <w:bookmarkEnd w:id="45"/>
      <w:bookmarkEnd w:id="46"/>
      <w:bookmarkEnd w:id="47"/>
      <w:r w:rsidRPr="004A3983">
        <w:rPr>
          <w:i/>
        </w:rPr>
        <w:t>Operation Tusket: Interim Report</w:t>
      </w:r>
      <w:r w:rsidRPr="004A3983">
        <w:t>, August 2018</w:t>
      </w:r>
      <w:bookmarkEnd w:id="62"/>
      <w:bookmarkEnd w:id="63"/>
      <w:bookmarkEnd w:id="64"/>
      <w:bookmarkEnd w:id="65"/>
      <w:bookmarkEnd w:id="66"/>
      <w:bookmarkEnd w:id="67"/>
      <w:bookmarkEnd w:id="68"/>
    </w:p>
    <w:p w14:paraId="5CF05740" w14:textId="2B058E83" w:rsidR="00325B2C" w:rsidRPr="004A3983" w:rsidRDefault="00325B2C" w:rsidP="00846370">
      <w:pPr>
        <w:spacing w:after="160"/>
        <w:rPr>
          <w:rFonts w:ascii="Gotham Book" w:hAnsi="Gotham Book"/>
        </w:rPr>
      </w:pPr>
      <w:r w:rsidRPr="004A3983">
        <w:rPr>
          <w:rFonts w:ascii="Gotham Book" w:hAnsi="Gotham Book"/>
        </w:rPr>
        <w:t xml:space="preserve">In August 2018 we provided the </w:t>
      </w:r>
      <w:r w:rsidR="00281BF2" w:rsidRPr="004A3983">
        <w:rPr>
          <w:rFonts w:ascii="Gotham Book" w:hAnsi="Gotham Book"/>
        </w:rPr>
        <w:t xml:space="preserve">NSW </w:t>
      </w:r>
      <w:r w:rsidRPr="004A3983">
        <w:rPr>
          <w:rFonts w:ascii="Gotham Book" w:hAnsi="Gotham Book"/>
        </w:rPr>
        <w:t xml:space="preserve">Commissioner of Police with a confidential report, </w:t>
      </w:r>
      <w:r w:rsidRPr="004A3983">
        <w:rPr>
          <w:rFonts w:ascii="Gotham Book" w:hAnsi="Gotham Book"/>
          <w:i/>
        </w:rPr>
        <w:t>Operation Tusket: Interim Report</w:t>
      </w:r>
      <w:r w:rsidRPr="004A3983">
        <w:rPr>
          <w:rFonts w:ascii="Gotham Book" w:hAnsi="Gotham Book"/>
        </w:rPr>
        <w:t xml:space="preserve">, setting out our provisional analysis, findings and recommendations. </w:t>
      </w:r>
    </w:p>
    <w:p w14:paraId="1D986A3B" w14:textId="0D4967FB" w:rsidR="00325B2C" w:rsidRPr="004A3983" w:rsidRDefault="00325B2C" w:rsidP="00846370">
      <w:pPr>
        <w:spacing w:after="160"/>
        <w:rPr>
          <w:rFonts w:ascii="Gotham Book" w:hAnsi="Gotham Book"/>
        </w:rPr>
      </w:pPr>
      <w:r w:rsidRPr="004A3983">
        <w:rPr>
          <w:rFonts w:ascii="Gotham Book" w:hAnsi="Gotham Book"/>
        </w:rPr>
        <w:t xml:space="preserve">The Commissioner of Police provided a written response in October 2018 indicating support for our analysis and a number of the recommendations. We then met with the Deputy Commissioner (Investigations and Counter Terrorism), Assistant Commissioner (Professional Standards Command) and the Assistant Commissioner (State Crime Command) to discuss the NSW Police Force response. </w:t>
      </w:r>
    </w:p>
    <w:p w14:paraId="7B301872" w14:textId="4A9A9441" w:rsidR="00325B2C" w:rsidRPr="004A3983" w:rsidRDefault="00325B2C" w:rsidP="00846370">
      <w:pPr>
        <w:spacing w:after="160"/>
        <w:rPr>
          <w:rFonts w:ascii="Gotham Book" w:hAnsi="Gotham Book"/>
        </w:rPr>
      </w:pPr>
      <w:r w:rsidRPr="004A3983">
        <w:rPr>
          <w:rFonts w:ascii="Gotham Book" w:hAnsi="Gotham Book"/>
        </w:rPr>
        <w:t xml:space="preserve">In December 2018 we provided a further report </w:t>
      </w:r>
      <w:r w:rsidR="005C0CD5" w:rsidRPr="004A3983">
        <w:rPr>
          <w:rFonts w:ascii="Gotham Book" w:hAnsi="Gotham Book"/>
        </w:rPr>
        <w:t>to the NSW Police Force</w:t>
      </w:r>
      <w:r w:rsidRPr="004A3983">
        <w:rPr>
          <w:rFonts w:ascii="Gotham Book" w:hAnsi="Gotham Book"/>
        </w:rPr>
        <w:t xml:space="preserve"> detailing our outstanding concerns and met again with the Deputy Commissioner (Investigations and Counter Terrorism), the General Counsel for the NSW Police Force, and others. </w:t>
      </w:r>
    </w:p>
    <w:p w14:paraId="5732E4B0" w14:textId="77777777" w:rsidR="00CA477E" w:rsidRPr="004A3983" w:rsidRDefault="00CA477E" w:rsidP="00846370">
      <w:pPr>
        <w:pStyle w:val="Heading3"/>
        <w:spacing w:after="160"/>
        <w:ind w:left="709" w:hanging="709"/>
      </w:pPr>
      <w:bookmarkStart w:id="69" w:name="_Toc8641136"/>
      <w:bookmarkStart w:id="70" w:name="_Toc8913476"/>
      <w:bookmarkStart w:id="71" w:name="_Toc9428337"/>
      <w:bookmarkStart w:id="72" w:name="_Toc12020289"/>
      <w:bookmarkStart w:id="73" w:name="_Toc14790454"/>
      <w:bookmarkStart w:id="74" w:name="_Toc15478337"/>
      <w:bookmarkStart w:id="75" w:name="_Toc22627733"/>
      <w:r w:rsidRPr="004A3983">
        <w:t>Consultation Briefing on issues with the</w:t>
      </w:r>
      <w:r w:rsidRPr="004A3983">
        <w:rPr>
          <w:i/>
        </w:rPr>
        <w:t xml:space="preserve"> Child Protection (Offenders Registration) Act 2000</w:t>
      </w:r>
      <w:r w:rsidRPr="004A3983">
        <w:t xml:space="preserve"> (NSW), October 2018</w:t>
      </w:r>
      <w:bookmarkEnd w:id="69"/>
      <w:bookmarkEnd w:id="70"/>
      <w:bookmarkEnd w:id="71"/>
      <w:bookmarkEnd w:id="72"/>
      <w:bookmarkEnd w:id="73"/>
      <w:bookmarkEnd w:id="74"/>
      <w:bookmarkEnd w:id="75"/>
    </w:p>
    <w:p w14:paraId="2C30E743" w14:textId="24305B84" w:rsidR="00CA477E" w:rsidRPr="004A3983" w:rsidRDefault="00CA477E" w:rsidP="00846370">
      <w:pPr>
        <w:spacing w:after="160"/>
        <w:rPr>
          <w:rFonts w:ascii="Gotham Book" w:hAnsi="Gotham Book"/>
        </w:rPr>
      </w:pPr>
      <w:r w:rsidRPr="004A3983">
        <w:rPr>
          <w:rFonts w:ascii="Gotham Book" w:hAnsi="Gotham Book"/>
        </w:rPr>
        <w:t xml:space="preserve">We prepared a report for the NSW Police Force which </w:t>
      </w:r>
      <w:r w:rsidRPr="004A3983">
        <w:rPr>
          <w:rFonts w:ascii="Gotham Book" w:eastAsia="Source Sans Pro Light" w:hAnsi="Gotham Book" w:cs="Source Sans Pro Light"/>
          <w:color w:val="000000"/>
        </w:rPr>
        <w:t xml:space="preserve">identified the </w:t>
      </w:r>
      <w:r w:rsidRPr="004A3983">
        <w:rPr>
          <w:rFonts w:ascii="Gotham Book" w:hAnsi="Gotham Book"/>
        </w:rPr>
        <w:t xml:space="preserve">areas of complexity, ambiguity and errors in the CPOR Act which we consider have </w:t>
      </w:r>
      <w:r w:rsidR="0010197A">
        <w:rPr>
          <w:rFonts w:ascii="Gotham Book" w:hAnsi="Gotham Book"/>
        </w:rPr>
        <w:t>contributed</w:t>
      </w:r>
      <w:r w:rsidRPr="004A3983">
        <w:rPr>
          <w:rFonts w:ascii="Gotham Book" w:hAnsi="Gotham Book"/>
        </w:rPr>
        <w:t xml:space="preserve"> </w:t>
      </w:r>
      <w:r w:rsidR="0010197A">
        <w:rPr>
          <w:rFonts w:ascii="Gotham Book" w:hAnsi="Gotham Book"/>
        </w:rPr>
        <w:t>or may contribute to</w:t>
      </w:r>
      <w:r w:rsidRPr="004A3983">
        <w:rPr>
          <w:rFonts w:ascii="Gotham Book" w:hAnsi="Gotham Book"/>
        </w:rPr>
        <w:t xml:space="preserve"> errors being made in det</w:t>
      </w:r>
      <w:r w:rsidR="009B13C0" w:rsidRPr="004A3983">
        <w:rPr>
          <w:rFonts w:ascii="Gotham Book" w:hAnsi="Gotham Book"/>
        </w:rPr>
        <w:t>ermining who the Act applies to</w:t>
      </w:r>
      <w:r w:rsidRPr="004A3983">
        <w:rPr>
          <w:rFonts w:ascii="Gotham Book" w:hAnsi="Gotham Book"/>
        </w:rPr>
        <w:t xml:space="preserve"> and the obligations it imposes on them. In October 2018 we provided this report to Registry staff and legal officers attached to the State Crime Comman</w:t>
      </w:r>
      <w:r w:rsidR="0060555E" w:rsidRPr="004A3983">
        <w:rPr>
          <w:rFonts w:ascii="Gotham Book" w:hAnsi="Gotham Book"/>
        </w:rPr>
        <w:t>d</w:t>
      </w:r>
      <w:r w:rsidRPr="004A3983">
        <w:rPr>
          <w:rFonts w:ascii="Gotham Book" w:hAnsi="Gotham Book"/>
        </w:rPr>
        <w:t xml:space="preserve"> and conducted a consultation to hear their views on the issues they experience when applying the Act.</w:t>
      </w:r>
      <w:r w:rsidRPr="004A3983">
        <w:rPr>
          <w:rStyle w:val="FootnoteReference"/>
          <w:rFonts w:ascii="Gotham Book" w:hAnsi="Gotham Book"/>
        </w:rPr>
        <w:t xml:space="preserve"> </w:t>
      </w:r>
      <w:r w:rsidRPr="004A3983">
        <w:rPr>
          <w:rFonts w:ascii="Gotham Book" w:hAnsi="Gotham Book"/>
        </w:rPr>
        <w:t xml:space="preserve">Our final analysis, incorporating the feedback from the State Crime </w:t>
      </w:r>
      <w:r w:rsidRPr="004A3983">
        <w:rPr>
          <w:rFonts w:ascii="Gotham Book" w:hAnsi="Gotham Book"/>
        </w:rPr>
        <w:lastRenderedPageBreak/>
        <w:t xml:space="preserve">Command officers, identified more than 20 problems in the CPOR Act (this analysis is contained in Appendix </w:t>
      </w:r>
      <w:r w:rsidR="00F3382B" w:rsidRPr="004A3983">
        <w:rPr>
          <w:rFonts w:ascii="Gotham Book" w:hAnsi="Gotham Book"/>
        </w:rPr>
        <w:t>2</w:t>
      </w:r>
      <w:r w:rsidRPr="004A3983">
        <w:rPr>
          <w:rFonts w:ascii="Gotham Book" w:hAnsi="Gotham Book"/>
        </w:rPr>
        <w:t>).</w:t>
      </w:r>
    </w:p>
    <w:p w14:paraId="4BECF1F6" w14:textId="0045443E" w:rsidR="004814CF" w:rsidRPr="004A3983" w:rsidRDefault="002C1C46" w:rsidP="005F740F">
      <w:pPr>
        <w:pStyle w:val="Heading2"/>
        <w:spacing w:after="160"/>
      </w:pPr>
      <w:bookmarkStart w:id="76" w:name="_Toc8641137"/>
      <w:bookmarkStart w:id="77" w:name="_Toc8913477"/>
      <w:bookmarkStart w:id="78" w:name="_Toc9428338"/>
      <w:bookmarkStart w:id="79" w:name="_Toc12020290"/>
      <w:bookmarkStart w:id="80" w:name="_Toc14790455"/>
      <w:bookmarkStart w:id="81" w:name="_Toc15478338"/>
      <w:bookmarkStart w:id="82" w:name="_Toc22627734"/>
      <w:r w:rsidRPr="004A3983">
        <w:t>Final report</w:t>
      </w:r>
      <w:bookmarkEnd w:id="76"/>
      <w:bookmarkEnd w:id="77"/>
      <w:bookmarkEnd w:id="78"/>
      <w:bookmarkEnd w:id="79"/>
      <w:bookmarkEnd w:id="80"/>
      <w:bookmarkEnd w:id="81"/>
      <w:r w:rsidR="00690526" w:rsidRPr="004A3983">
        <w:t xml:space="preserve"> on</w:t>
      </w:r>
      <w:r w:rsidR="005F740F" w:rsidRPr="004A3983">
        <w:t xml:space="preserve"> Operation Tusket</w:t>
      </w:r>
      <w:bookmarkEnd w:id="82"/>
    </w:p>
    <w:p w14:paraId="4AD7D081" w14:textId="11F89723" w:rsidR="005F740F" w:rsidRPr="004A3983" w:rsidRDefault="005F740F" w:rsidP="005F740F">
      <w:pPr>
        <w:spacing w:after="160"/>
        <w:rPr>
          <w:rFonts w:ascii="Gotham Book" w:hAnsi="Gotham Book"/>
        </w:rPr>
      </w:pPr>
      <w:r w:rsidRPr="004A3983">
        <w:rPr>
          <w:rFonts w:ascii="Gotham Book" w:hAnsi="Gotham Book"/>
        </w:rPr>
        <w:t xml:space="preserve">This </w:t>
      </w:r>
      <w:r w:rsidR="00E27639" w:rsidRPr="004A3983">
        <w:rPr>
          <w:rFonts w:ascii="Gotham Book" w:hAnsi="Gotham Book"/>
        </w:rPr>
        <w:t xml:space="preserve">final report </w:t>
      </w:r>
      <w:r w:rsidR="0070469F" w:rsidRPr="004A3983">
        <w:rPr>
          <w:rFonts w:ascii="Gotham Book" w:hAnsi="Gotham Book"/>
        </w:rPr>
        <w:t>of Operation Tusket</w:t>
      </w:r>
      <w:r w:rsidRPr="004A3983">
        <w:rPr>
          <w:rFonts w:ascii="Gotham Book" w:hAnsi="Gotham Book"/>
        </w:rPr>
        <w:t xml:space="preserve"> is made under s 132(1) of the LECC Act. It outlines our investigation, our findings and our recommendations. </w:t>
      </w:r>
    </w:p>
    <w:p w14:paraId="4FBBBB2E" w14:textId="1F579C5B" w:rsidR="002C1C46" w:rsidRPr="004A3983" w:rsidRDefault="002C1C46" w:rsidP="00846370">
      <w:pPr>
        <w:spacing w:after="160"/>
        <w:rPr>
          <w:rFonts w:ascii="Gotham Book" w:hAnsi="Gotham Book"/>
        </w:rPr>
      </w:pPr>
      <w:r w:rsidRPr="004A3983">
        <w:rPr>
          <w:rFonts w:ascii="Gotham Book" w:hAnsi="Gotham Book"/>
        </w:rPr>
        <w:t>This report does not include any findings against individual officers. I</w:t>
      </w:r>
      <w:r w:rsidR="00B3146D" w:rsidRPr="004A3983">
        <w:rPr>
          <w:rFonts w:ascii="Gotham Book" w:hAnsi="Gotham Book"/>
        </w:rPr>
        <w:t xml:space="preserve">t includes </w:t>
      </w:r>
      <w:r w:rsidR="003672CE" w:rsidRPr="004A3983">
        <w:rPr>
          <w:rFonts w:ascii="Gotham Book" w:hAnsi="Gotham Book"/>
        </w:rPr>
        <w:t xml:space="preserve">four </w:t>
      </w:r>
      <w:r w:rsidR="00B3146D" w:rsidRPr="004A3983">
        <w:rPr>
          <w:rFonts w:ascii="Gotham Book" w:hAnsi="Gotham Book"/>
        </w:rPr>
        <w:t xml:space="preserve">findings against </w:t>
      </w:r>
      <w:r w:rsidRPr="004A3983">
        <w:rPr>
          <w:rFonts w:ascii="Gotham Book" w:hAnsi="Gotham Book"/>
        </w:rPr>
        <w:t>the NSW Police Force as an agency.</w:t>
      </w:r>
    </w:p>
    <w:p w14:paraId="16F6F768" w14:textId="56998456" w:rsidR="002C1C46" w:rsidRPr="004A3983" w:rsidRDefault="002C1C46" w:rsidP="00846370">
      <w:pPr>
        <w:spacing w:after="160"/>
        <w:rPr>
          <w:rFonts w:ascii="Gotham Book" w:hAnsi="Gotham Book"/>
        </w:rPr>
      </w:pPr>
      <w:r w:rsidRPr="004A3983">
        <w:rPr>
          <w:rFonts w:ascii="Gotham Book" w:hAnsi="Gotham Book"/>
        </w:rPr>
        <w:t xml:space="preserve">The Commission notes that as all findings in this report </w:t>
      </w:r>
      <w:r w:rsidR="0088054D" w:rsidRPr="004A3983">
        <w:rPr>
          <w:rFonts w:ascii="Gotham Book" w:hAnsi="Gotham Book"/>
        </w:rPr>
        <w:t>concern</w:t>
      </w:r>
      <w:r w:rsidRPr="004A3983">
        <w:rPr>
          <w:rFonts w:ascii="Gotham Book" w:hAnsi="Gotham Book"/>
        </w:rPr>
        <w:t xml:space="preserve"> the NSW Police Force as an agency, and not any particular officers, there are no individuals who are ‘affected persons’ within the meaning of s 133(3) of the LECC Act. There is therefore no need for the Commission to include a statement a</w:t>
      </w:r>
      <w:r w:rsidR="007859D3" w:rsidRPr="004A3983">
        <w:rPr>
          <w:rFonts w:ascii="Gotham Book" w:hAnsi="Gotham Book"/>
        </w:rPr>
        <w:t>s referred to i</w:t>
      </w:r>
      <w:r w:rsidR="003C5B97" w:rsidRPr="004A3983">
        <w:rPr>
          <w:rFonts w:ascii="Gotham Book" w:hAnsi="Gotham Book"/>
        </w:rPr>
        <w:t>n s 133(2) of that</w:t>
      </w:r>
      <w:r w:rsidR="00CA0141">
        <w:rPr>
          <w:rFonts w:ascii="Gotham Book" w:hAnsi="Gotham Book"/>
        </w:rPr>
        <w:t> </w:t>
      </w:r>
      <w:r w:rsidRPr="004A3983">
        <w:rPr>
          <w:rFonts w:ascii="Gotham Book" w:hAnsi="Gotham Book"/>
        </w:rPr>
        <w:t>Act.</w:t>
      </w:r>
    </w:p>
    <w:p w14:paraId="7C394D94" w14:textId="77777777" w:rsidR="00350AC6" w:rsidRPr="004A3983" w:rsidRDefault="00B3146D" w:rsidP="00846370">
      <w:pPr>
        <w:spacing w:after="160"/>
        <w:rPr>
          <w:rFonts w:ascii="Gotham Book" w:hAnsi="Gotham Book"/>
        </w:rPr>
      </w:pPr>
      <w:r w:rsidRPr="004A3983">
        <w:rPr>
          <w:rFonts w:ascii="Gotham Book" w:hAnsi="Gotham Book"/>
        </w:rPr>
        <w:t xml:space="preserve">Although there are no individuals who are ‘affected persons’ for the purposes of this report, the Commission </w:t>
      </w:r>
      <w:r w:rsidR="0030158F" w:rsidRPr="004A3983">
        <w:rPr>
          <w:rFonts w:ascii="Gotham Book" w:hAnsi="Gotham Book"/>
        </w:rPr>
        <w:t>ga</w:t>
      </w:r>
      <w:r w:rsidR="008E36BB" w:rsidRPr="004A3983">
        <w:rPr>
          <w:rFonts w:ascii="Gotham Book" w:hAnsi="Gotham Book"/>
        </w:rPr>
        <w:t>ve</w:t>
      </w:r>
      <w:r w:rsidRPr="004A3983">
        <w:rPr>
          <w:rFonts w:ascii="Gotham Book" w:hAnsi="Gotham Book"/>
        </w:rPr>
        <w:t xml:space="preserve"> certain individuals whose condu</w:t>
      </w:r>
      <w:r w:rsidR="008E36BB" w:rsidRPr="004A3983">
        <w:rPr>
          <w:rFonts w:ascii="Gotham Book" w:hAnsi="Gotham Book"/>
        </w:rPr>
        <w:t xml:space="preserve">ct is discussed in this report </w:t>
      </w:r>
      <w:r w:rsidRPr="004A3983">
        <w:rPr>
          <w:rFonts w:ascii="Gotham Book" w:hAnsi="Gotham Book"/>
        </w:rPr>
        <w:t>an opportunity to</w:t>
      </w:r>
      <w:r w:rsidR="00A20AED" w:rsidRPr="004A3983">
        <w:rPr>
          <w:rFonts w:ascii="Gotham Book" w:hAnsi="Gotham Book"/>
        </w:rPr>
        <w:t xml:space="preserve"> make comments to the Commission</w:t>
      </w:r>
      <w:r w:rsidR="00EB2CE4" w:rsidRPr="004A3983">
        <w:rPr>
          <w:rFonts w:ascii="Gotham Book" w:hAnsi="Gotham Book"/>
        </w:rPr>
        <w:t xml:space="preserve"> in response to a draft</w:t>
      </w:r>
      <w:r w:rsidR="00A20AED" w:rsidRPr="004A3983">
        <w:rPr>
          <w:rFonts w:ascii="Gotham Book" w:hAnsi="Gotham Book"/>
        </w:rPr>
        <w:t>. The Commission considered the submissions it received from those individuals and consequently revised parts of the draft report</w:t>
      </w:r>
      <w:r w:rsidR="00F13E4D" w:rsidRPr="004A3983">
        <w:rPr>
          <w:rFonts w:ascii="Gotham Book" w:hAnsi="Gotham Book"/>
        </w:rPr>
        <w:t xml:space="preserve">. </w:t>
      </w:r>
    </w:p>
    <w:p w14:paraId="49171267" w14:textId="1FB47802" w:rsidR="00FE52C0" w:rsidRPr="004A3983" w:rsidRDefault="00BD33F0" w:rsidP="00846370">
      <w:pPr>
        <w:spacing w:after="160"/>
        <w:rPr>
          <w:rFonts w:ascii="Gotham Book" w:hAnsi="Gotham Book"/>
        </w:rPr>
      </w:pPr>
      <w:r w:rsidRPr="004A3983">
        <w:rPr>
          <w:rFonts w:ascii="Gotham Book" w:hAnsi="Gotham Book"/>
        </w:rPr>
        <w:t>A copy of the</w:t>
      </w:r>
      <w:r w:rsidR="00C65468" w:rsidRPr="004A3983">
        <w:rPr>
          <w:rFonts w:ascii="Gotham Book" w:hAnsi="Gotham Book"/>
        </w:rPr>
        <w:t xml:space="preserve"> draft report, including proposed recommendations, </w:t>
      </w:r>
      <w:r w:rsidR="00F13E4D" w:rsidRPr="004A3983">
        <w:rPr>
          <w:rFonts w:ascii="Gotham Book" w:hAnsi="Gotham Book"/>
        </w:rPr>
        <w:t xml:space="preserve">was then provided to the NSW Commissioner of Police for </w:t>
      </w:r>
      <w:r w:rsidR="00131985" w:rsidRPr="004A3983">
        <w:rPr>
          <w:rFonts w:ascii="Gotham Book" w:hAnsi="Gotham Book"/>
        </w:rPr>
        <w:t xml:space="preserve">his </w:t>
      </w:r>
      <w:r w:rsidR="00F13E4D" w:rsidRPr="004A3983">
        <w:rPr>
          <w:rFonts w:ascii="Gotham Book" w:hAnsi="Gotham Book"/>
        </w:rPr>
        <w:t>response on behalf of the NSW Police Force</w:t>
      </w:r>
      <w:r w:rsidR="00633508" w:rsidRPr="004A3983">
        <w:rPr>
          <w:rFonts w:ascii="Gotham Book" w:hAnsi="Gotham Book"/>
        </w:rPr>
        <w:t xml:space="preserve"> in August 2019</w:t>
      </w:r>
      <w:r w:rsidR="00F13E4D" w:rsidRPr="004A3983">
        <w:rPr>
          <w:rFonts w:ascii="Gotham Book" w:hAnsi="Gotham Book"/>
        </w:rPr>
        <w:t>.</w:t>
      </w:r>
      <w:r w:rsidR="00A20AED" w:rsidRPr="004A3983">
        <w:rPr>
          <w:rFonts w:ascii="Gotham Book" w:hAnsi="Gotham Book"/>
        </w:rPr>
        <w:t xml:space="preserve"> </w:t>
      </w:r>
      <w:r w:rsidR="00173232" w:rsidRPr="004A3983">
        <w:rPr>
          <w:rFonts w:ascii="Gotham Book" w:hAnsi="Gotham Book"/>
        </w:rPr>
        <w:t>The Comm</w:t>
      </w:r>
      <w:r w:rsidR="00973F9D" w:rsidRPr="004A3983">
        <w:rPr>
          <w:rFonts w:ascii="Gotham Book" w:hAnsi="Gotham Book"/>
        </w:rPr>
        <w:t>issioner of Police provided his</w:t>
      </w:r>
      <w:r w:rsidR="00173232" w:rsidRPr="004A3983">
        <w:rPr>
          <w:rFonts w:ascii="Gotham Book" w:hAnsi="Gotham Book"/>
        </w:rPr>
        <w:t xml:space="preserve"> response </w:t>
      </w:r>
      <w:r w:rsidR="00A86B4F" w:rsidRPr="004A3983">
        <w:rPr>
          <w:rFonts w:ascii="Gotham Book" w:hAnsi="Gotham Book"/>
        </w:rPr>
        <w:t xml:space="preserve">on 30 September 2019, and the report was updated to </w:t>
      </w:r>
      <w:r w:rsidR="003633F6" w:rsidRPr="004A3983">
        <w:rPr>
          <w:rFonts w:ascii="Gotham Book" w:hAnsi="Gotham Book"/>
        </w:rPr>
        <w:t xml:space="preserve">reflect </w:t>
      </w:r>
      <w:r w:rsidR="00A024BB" w:rsidRPr="004A3983">
        <w:rPr>
          <w:rFonts w:ascii="Gotham Book" w:hAnsi="Gotham Book"/>
        </w:rPr>
        <w:t>th</w:t>
      </w:r>
      <w:r w:rsidR="00347BD5" w:rsidRPr="004A3983">
        <w:rPr>
          <w:rFonts w:ascii="Gotham Book" w:hAnsi="Gotham Book"/>
        </w:rPr>
        <w:t>ose comments</w:t>
      </w:r>
      <w:r w:rsidR="00A86B4F" w:rsidRPr="004A3983">
        <w:rPr>
          <w:rFonts w:ascii="Gotham Book" w:hAnsi="Gotham Book"/>
        </w:rPr>
        <w:t>.</w:t>
      </w:r>
    </w:p>
    <w:p w14:paraId="753D6A40" w14:textId="6DA2BF08" w:rsidR="00B02EB5" w:rsidRPr="004A3983" w:rsidRDefault="00B02EB5" w:rsidP="00F03C93">
      <w:pPr>
        <w:pStyle w:val="Footnote"/>
        <w:spacing w:after="160" w:line="259" w:lineRule="auto"/>
        <w:ind w:right="260"/>
      </w:pPr>
      <w:bookmarkStart w:id="83" w:name="_Ref513737569"/>
      <w:bookmarkEnd w:id="83"/>
    </w:p>
    <w:p w14:paraId="50221089" w14:textId="77777777" w:rsidR="00B02EB5" w:rsidRPr="004A3983" w:rsidRDefault="00B02EB5" w:rsidP="00F03C93">
      <w:pPr>
        <w:spacing w:after="160"/>
        <w:ind w:right="260"/>
        <w:sectPr w:rsidR="00B02EB5" w:rsidRPr="004A3983" w:rsidSect="00C36AFD">
          <w:headerReference w:type="even" r:id="rId33"/>
          <w:headerReference w:type="default" r:id="rId34"/>
          <w:headerReference w:type="first" r:id="rId35"/>
          <w:footerReference w:type="first" r:id="rId36"/>
          <w:pgSz w:w="11906" w:h="16838"/>
          <w:pgMar w:top="720" w:right="1276" w:bottom="1418" w:left="1276" w:header="709" w:footer="567" w:gutter="0"/>
          <w:cols w:space="708"/>
          <w:titlePg/>
          <w:docGrid w:linePitch="360"/>
        </w:sectPr>
      </w:pPr>
    </w:p>
    <w:p w14:paraId="45E13834" w14:textId="7AD1379D" w:rsidR="0027635F" w:rsidRPr="001C3982" w:rsidRDefault="00916D1F" w:rsidP="001C3982">
      <w:pPr>
        <w:pStyle w:val="Heading1"/>
        <w:framePr w:wrap="around"/>
      </w:pPr>
      <w:r w:rsidRPr="004A3983">
        <w:lastRenderedPageBreak/>
        <w:br/>
      </w:r>
      <w:bookmarkStart w:id="84" w:name="_Ref10460472"/>
      <w:bookmarkStart w:id="85" w:name="_Ref10469100"/>
      <w:bookmarkStart w:id="86" w:name="_Ref10557482"/>
      <w:bookmarkStart w:id="87" w:name="_Ref10559782"/>
      <w:bookmarkStart w:id="88" w:name="_Toc22627735"/>
      <w:r w:rsidR="00C63459" w:rsidRPr="001C3982">
        <w:t xml:space="preserve">The </w:t>
      </w:r>
      <w:r w:rsidR="0016707E" w:rsidRPr="001C3982">
        <w:t xml:space="preserve">NSW </w:t>
      </w:r>
      <w:r w:rsidR="00C63459" w:rsidRPr="001C3982">
        <w:t>Child Protection Register</w:t>
      </w:r>
      <w:bookmarkEnd w:id="84"/>
      <w:bookmarkEnd w:id="85"/>
      <w:bookmarkEnd w:id="86"/>
      <w:bookmarkEnd w:id="87"/>
      <w:bookmarkEnd w:id="88"/>
    </w:p>
    <w:p w14:paraId="6C35F3F6" w14:textId="77777777" w:rsidR="00B02EB5" w:rsidRPr="004A3983" w:rsidRDefault="00B02EB5" w:rsidP="00F03C93">
      <w:pPr>
        <w:spacing w:after="160"/>
        <w:ind w:right="260"/>
      </w:pPr>
      <w:r w:rsidRPr="004A3983">
        <w:br w:type="page"/>
      </w:r>
    </w:p>
    <w:p w14:paraId="6CDD12BC" w14:textId="2FB57553" w:rsidR="004814CF" w:rsidRPr="004A3983" w:rsidRDefault="00863180" w:rsidP="00846370">
      <w:pPr>
        <w:pStyle w:val="Heading2"/>
        <w:spacing w:after="160"/>
        <w:ind w:right="-2"/>
      </w:pPr>
      <w:bookmarkStart w:id="89" w:name="_Toc22627736"/>
      <w:r w:rsidRPr="004A3983">
        <w:lastRenderedPageBreak/>
        <w:t>Introduction</w:t>
      </w:r>
      <w:bookmarkEnd w:id="89"/>
    </w:p>
    <w:p w14:paraId="081B5DA2" w14:textId="45230164" w:rsidR="00863180" w:rsidRPr="004A3983" w:rsidRDefault="00863180" w:rsidP="00846370">
      <w:pPr>
        <w:spacing w:after="160"/>
        <w:ind w:right="-2"/>
        <w:rPr>
          <w:rFonts w:ascii="Gotham Book" w:hAnsi="Gotham Book"/>
        </w:rPr>
      </w:pPr>
      <w:r w:rsidRPr="004A3983">
        <w:rPr>
          <w:rFonts w:ascii="Gotham Book" w:hAnsi="Gotham Book"/>
        </w:rPr>
        <w:t>New South Wales was the first Australian jurisdiction to introduce a mandatory registration scheme for persons convicted of sexual offences against children.</w:t>
      </w:r>
      <w:r w:rsidRPr="004A3983">
        <w:rPr>
          <w:rStyle w:val="FootnoteReference"/>
          <w:rFonts w:ascii="Gotham Book" w:hAnsi="Gotham Book"/>
        </w:rPr>
        <w:footnoteReference w:id="19"/>
      </w:r>
      <w:r w:rsidR="00AA1EDF" w:rsidRPr="004A3983">
        <w:rPr>
          <w:rFonts w:ascii="Gotham Book" w:hAnsi="Gotham Book"/>
        </w:rPr>
        <w:t xml:space="preserve"> The</w:t>
      </w:r>
      <w:r w:rsidRPr="004A3983">
        <w:rPr>
          <w:rFonts w:ascii="Gotham Book" w:hAnsi="Gotham Book"/>
        </w:rPr>
        <w:t xml:space="preserve"> Child Protection Register (the Register) </w:t>
      </w:r>
      <w:r w:rsidR="001F094A" w:rsidRPr="004A3983">
        <w:rPr>
          <w:rFonts w:ascii="Gotham Book" w:hAnsi="Gotham Book"/>
        </w:rPr>
        <w:t>was established</w:t>
      </w:r>
      <w:r w:rsidRPr="004A3983">
        <w:rPr>
          <w:rFonts w:ascii="Gotham Book" w:hAnsi="Gotham Book"/>
        </w:rPr>
        <w:t xml:space="preserve"> in 2001 under the </w:t>
      </w:r>
      <w:r w:rsidRPr="004A3983">
        <w:rPr>
          <w:rFonts w:ascii="Gotham Book" w:hAnsi="Gotham Book"/>
          <w:i/>
        </w:rPr>
        <w:t>Child Protection (Offenders Registration) Act 2000</w:t>
      </w:r>
      <w:r w:rsidRPr="004A3983">
        <w:rPr>
          <w:rFonts w:ascii="Gotham Book" w:hAnsi="Gotham Book"/>
        </w:rPr>
        <w:t xml:space="preserve"> </w:t>
      </w:r>
      <w:r w:rsidR="007E0588" w:rsidRPr="004A3983">
        <w:rPr>
          <w:rFonts w:ascii="Gotham Book" w:hAnsi="Gotham Book"/>
        </w:rPr>
        <w:t xml:space="preserve">(NSW) </w:t>
      </w:r>
      <w:r w:rsidRPr="004A3983">
        <w:rPr>
          <w:rFonts w:ascii="Gotham Book" w:hAnsi="Gotham Book"/>
        </w:rPr>
        <w:t>(CPOR Act). The purpose of the Register is to protect children from serious harm and ensure the early detection of offences by r</w:t>
      </w:r>
      <w:r w:rsidR="00255F54" w:rsidRPr="004A3983">
        <w:rPr>
          <w:rFonts w:ascii="Gotham Book" w:hAnsi="Gotham Book"/>
        </w:rPr>
        <w:t>epeat</w:t>
      </w:r>
      <w:r w:rsidRPr="004A3983">
        <w:rPr>
          <w:rFonts w:ascii="Gotham Book" w:hAnsi="Gotham Book"/>
        </w:rPr>
        <w:t xml:space="preserve"> child sex offenders.</w:t>
      </w:r>
      <w:r w:rsidRPr="004A3983">
        <w:rPr>
          <w:rStyle w:val="FootnoteReference"/>
          <w:rFonts w:ascii="Gotham Book" w:hAnsi="Gotham Book"/>
        </w:rPr>
        <w:footnoteReference w:id="20"/>
      </w:r>
      <w:r w:rsidR="00367C49" w:rsidRPr="004A3983">
        <w:rPr>
          <w:rFonts w:ascii="Gotham Book" w:hAnsi="Gotham Book"/>
        </w:rPr>
        <w:t xml:space="preserve"> The Register is </w:t>
      </w:r>
      <w:r w:rsidR="00B121E3" w:rsidRPr="004A3983">
        <w:rPr>
          <w:rFonts w:ascii="Gotham Book" w:hAnsi="Gotham Book"/>
        </w:rPr>
        <w:t xml:space="preserve">primarily </w:t>
      </w:r>
      <w:r w:rsidR="00995F6F" w:rsidRPr="004A3983">
        <w:rPr>
          <w:rFonts w:ascii="Gotham Book" w:hAnsi="Gotham Book"/>
        </w:rPr>
        <w:t>a database</w:t>
      </w:r>
      <w:r w:rsidR="000143B1" w:rsidRPr="004A3983">
        <w:rPr>
          <w:rFonts w:ascii="Gotham Book" w:hAnsi="Gotham Book"/>
        </w:rPr>
        <w:t xml:space="preserve"> to assist police</w:t>
      </w:r>
      <w:r w:rsidR="00367C49" w:rsidRPr="004A3983">
        <w:rPr>
          <w:rFonts w:ascii="Gotham Book" w:hAnsi="Gotham Book"/>
        </w:rPr>
        <w:t xml:space="preserve">; it cannot </w:t>
      </w:r>
      <w:r w:rsidR="00D03EE5" w:rsidRPr="004A3983">
        <w:rPr>
          <w:rFonts w:ascii="Gotham Book" w:hAnsi="Gotham Book"/>
        </w:rPr>
        <w:t>be accessed b</w:t>
      </w:r>
      <w:r w:rsidR="00367C49" w:rsidRPr="004A3983">
        <w:rPr>
          <w:rFonts w:ascii="Gotham Book" w:hAnsi="Gotham Book"/>
        </w:rPr>
        <w:t>y members of the general public.</w:t>
      </w:r>
    </w:p>
    <w:p w14:paraId="6DC4BDE2" w14:textId="3FFE631E" w:rsidR="00863180" w:rsidRPr="004A3983" w:rsidRDefault="00863180" w:rsidP="00846370">
      <w:pPr>
        <w:spacing w:after="160"/>
        <w:ind w:right="-2"/>
        <w:rPr>
          <w:rFonts w:ascii="Gotham Book" w:hAnsi="Gotham Book"/>
        </w:rPr>
      </w:pPr>
      <w:r w:rsidRPr="004A3983">
        <w:rPr>
          <w:rFonts w:ascii="Gotham Book" w:hAnsi="Gotham Book"/>
        </w:rPr>
        <w:t>In this chapter we explain the key statutory elements and purpose</w:t>
      </w:r>
      <w:r w:rsidR="00A60E80" w:rsidRPr="004A3983">
        <w:rPr>
          <w:rFonts w:ascii="Gotham Book" w:hAnsi="Gotham Book"/>
        </w:rPr>
        <w:t>s</w:t>
      </w:r>
      <w:r w:rsidRPr="004A3983">
        <w:rPr>
          <w:rFonts w:ascii="Gotham Book" w:hAnsi="Gotham Book"/>
        </w:rPr>
        <w:t xml:space="preserve"> of the Register. We also discuss the roles and responsibilities of the NSW Police Force Child Protection Registry and other </w:t>
      </w:r>
      <w:r w:rsidR="00D80030" w:rsidRPr="004A3983">
        <w:rPr>
          <w:rFonts w:ascii="Gotham Book" w:hAnsi="Gotham Book"/>
        </w:rPr>
        <w:t xml:space="preserve">police </w:t>
      </w:r>
      <w:r w:rsidRPr="004A3983">
        <w:rPr>
          <w:rFonts w:ascii="Gotham Book" w:hAnsi="Gotham Book"/>
        </w:rPr>
        <w:t>officers in relation to the maintenance of the Register, and the national context regarding the registration of sex offenders.</w:t>
      </w:r>
    </w:p>
    <w:p w14:paraId="5E1BCE46" w14:textId="2B8C80BC" w:rsidR="00863180" w:rsidRPr="004A3983" w:rsidRDefault="00863180" w:rsidP="00846370">
      <w:pPr>
        <w:pStyle w:val="Heading2"/>
        <w:spacing w:after="160"/>
        <w:ind w:right="-2"/>
        <w:rPr>
          <w:rFonts w:ascii="Gotham Book" w:hAnsi="Gotham Book"/>
        </w:rPr>
      </w:pPr>
      <w:bookmarkStart w:id="90" w:name="_Toc22627737"/>
      <w:bookmarkStart w:id="91" w:name="_Toc513734366"/>
      <w:bookmarkStart w:id="92" w:name="_Toc520453456"/>
      <w:bookmarkStart w:id="93" w:name="_Toc520464674"/>
      <w:bookmarkStart w:id="94" w:name="_Toc520464843"/>
      <w:bookmarkStart w:id="95" w:name="_Toc522263712"/>
      <w:bookmarkStart w:id="96" w:name="_Toc522263986"/>
      <w:r w:rsidRPr="004A3983">
        <w:rPr>
          <w:rFonts w:ascii="Gotham Book" w:hAnsi="Gotham Book"/>
        </w:rPr>
        <w:t>Key elements of the Child Protection Register</w:t>
      </w:r>
      <w:bookmarkEnd w:id="90"/>
    </w:p>
    <w:p w14:paraId="20852E6A" w14:textId="4D3BBFD6" w:rsidR="00863180" w:rsidRPr="004A3983" w:rsidRDefault="00A60E80" w:rsidP="00846370">
      <w:pPr>
        <w:pStyle w:val="Heading3"/>
        <w:spacing w:after="160"/>
        <w:ind w:left="709" w:right="-2" w:hanging="709"/>
      </w:pPr>
      <w:bookmarkStart w:id="97" w:name="_Toc8913481"/>
      <w:bookmarkStart w:id="98" w:name="_Toc9428342"/>
      <w:bookmarkStart w:id="99" w:name="_Toc12020294"/>
      <w:bookmarkStart w:id="100" w:name="_Toc14790459"/>
      <w:bookmarkStart w:id="101" w:name="_Toc15478342"/>
      <w:bookmarkStart w:id="102" w:name="_Toc22627738"/>
      <w:r w:rsidRPr="004A3983">
        <w:t>Offenders</w:t>
      </w:r>
      <w:r w:rsidR="00863180" w:rsidRPr="004A3983">
        <w:t xml:space="preserve"> sentenced for ‘registrable offences’ are ‘registrable persons’</w:t>
      </w:r>
      <w:bookmarkEnd w:id="97"/>
      <w:bookmarkEnd w:id="98"/>
      <w:bookmarkEnd w:id="99"/>
      <w:bookmarkEnd w:id="100"/>
      <w:bookmarkEnd w:id="101"/>
      <w:bookmarkEnd w:id="102"/>
    </w:p>
    <w:p w14:paraId="065FCA28" w14:textId="31757B09" w:rsidR="00863180" w:rsidRPr="004A3983" w:rsidRDefault="00863180" w:rsidP="00846370">
      <w:pPr>
        <w:widowControl w:val="0"/>
        <w:tabs>
          <w:tab w:val="left" w:pos="1191"/>
        </w:tabs>
        <w:adjustRightInd w:val="0"/>
        <w:snapToGrid w:val="0"/>
        <w:spacing w:after="160"/>
        <w:ind w:right="-2"/>
        <w:rPr>
          <w:rFonts w:ascii="Gotham Book" w:hAnsi="Gotham Book"/>
        </w:rPr>
      </w:pPr>
      <w:r w:rsidRPr="004A3983">
        <w:rPr>
          <w:rFonts w:ascii="Gotham Book" w:hAnsi="Gotham Book"/>
        </w:rPr>
        <w:t>The CPOR Act requires</w:t>
      </w:r>
      <w:r w:rsidR="0084727E" w:rsidRPr="004A3983">
        <w:rPr>
          <w:rFonts w:ascii="Gotham Book" w:hAnsi="Gotham Book"/>
        </w:rPr>
        <w:t xml:space="preserve"> all ‘registrable</w:t>
      </w:r>
      <w:r w:rsidRPr="004A3983">
        <w:rPr>
          <w:rFonts w:ascii="Gotham Book" w:hAnsi="Gotham Book"/>
        </w:rPr>
        <w:t xml:space="preserve"> persons</w:t>
      </w:r>
      <w:r w:rsidR="0084727E" w:rsidRPr="004A3983">
        <w:rPr>
          <w:rFonts w:ascii="Gotham Book" w:hAnsi="Gotham Book"/>
        </w:rPr>
        <w:t>’</w:t>
      </w:r>
      <w:r w:rsidRPr="004A3983">
        <w:rPr>
          <w:rFonts w:ascii="Gotham Book" w:hAnsi="Gotham Book"/>
        </w:rPr>
        <w:t xml:space="preserve"> </w:t>
      </w:r>
      <w:r w:rsidR="0084727E" w:rsidRPr="004A3983">
        <w:rPr>
          <w:rFonts w:ascii="Gotham Book" w:hAnsi="Gotham Book"/>
        </w:rPr>
        <w:t>to report their personal details to</w:t>
      </w:r>
      <w:r w:rsidRPr="004A3983">
        <w:rPr>
          <w:rFonts w:ascii="Gotham Book" w:hAnsi="Gotham Book"/>
        </w:rPr>
        <w:t xml:space="preserve"> the</w:t>
      </w:r>
      <w:r w:rsidR="0042789D">
        <w:rPr>
          <w:rFonts w:ascii="Gotham Book" w:hAnsi="Gotham Book"/>
        </w:rPr>
        <w:t> </w:t>
      </w:r>
      <w:r w:rsidRPr="004A3983">
        <w:rPr>
          <w:rFonts w:ascii="Gotham Book" w:hAnsi="Gotham Book"/>
        </w:rPr>
        <w:t>NSW Police Force.</w:t>
      </w:r>
      <w:r w:rsidR="00C841B3" w:rsidRPr="004A3983">
        <w:rPr>
          <w:rFonts w:ascii="Gotham Book" w:hAnsi="Gotham Book"/>
        </w:rPr>
        <w:t xml:space="preserve"> </w:t>
      </w:r>
      <w:r w:rsidR="00AC419B" w:rsidRPr="004A3983">
        <w:rPr>
          <w:rFonts w:ascii="Gotham Book" w:hAnsi="Gotham Book"/>
        </w:rPr>
        <w:t>R</w:t>
      </w:r>
      <w:r w:rsidR="003C5B97" w:rsidRPr="004A3983">
        <w:rPr>
          <w:rFonts w:ascii="Gotham Book" w:hAnsi="Gotham Book"/>
        </w:rPr>
        <w:t>egistrable persons</w:t>
      </w:r>
      <w:r w:rsidR="00C841B3" w:rsidRPr="004A3983">
        <w:rPr>
          <w:rFonts w:ascii="Gotham Book" w:hAnsi="Gotham Book"/>
        </w:rPr>
        <w:t xml:space="preserve"> </w:t>
      </w:r>
      <w:r w:rsidR="00AC419B" w:rsidRPr="004A3983">
        <w:rPr>
          <w:rFonts w:ascii="Gotham Book" w:hAnsi="Gotham Book"/>
        </w:rPr>
        <w:t>under the CPOR Act are</w:t>
      </w:r>
      <w:r w:rsidR="00C841B3" w:rsidRPr="004A3983">
        <w:rPr>
          <w:rFonts w:ascii="Gotham Book" w:hAnsi="Gotham Book"/>
        </w:rPr>
        <w:t xml:space="preserve"> those</w:t>
      </w:r>
      <w:r w:rsidR="0084727E" w:rsidRPr="004A3983">
        <w:rPr>
          <w:rFonts w:ascii="Gotham Book" w:hAnsi="Gotham Book"/>
        </w:rPr>
        <w:t xml:space="preserve"> who have </w:t>
      </w:r>
      <w:r w:rsidR="003C5B97" w:rsidRPr="004A3983">
        <w:rPr>
          <w:rFonts w:ascii="Gotham Book" w:hAnsi="Gotham Book"/>
        </w:rPr>
        <w:t>been sentenced for ‘</w:t>
      </w:r>
      <w:r w:rsidR="0084727E" w:rsidRPr="004A3983">
        <w:rPr>
          <w:rFonts w:ascii="Gotham Book" w:hAnsi="Gotham Book"/>
        </w:rPr>
        <w:t>registrable offences</w:t>
      </w:r>
      <w:r w:rsidR="003C5B97" w:rsidRPr="004A3983">
        <w:rPr>
          <w:rFonts w:ascii="Gotham Book" w:hAnsi="Gotham Book"/>
        </w:rPr>
        <w:t>’</w:t>
      </w:r>
      <w:r w:rsidR="0084727E" w:rsidRPr="004A3983">
        <w:rPr>
          <w:rFonts w:ascii="Gotham Book" w:hAnsi="Gotham Book"/>
        </w:rPr>
        <w:t>.</w:t>
      </w:r>
      <w:r w:rsidR="0084727E" w:rsidRPr="004A3983">
        <w:rPr>
          <w:rStyle w:val="FootnoteReference"/>
          <w:rFonts w:ascii="Gotham Book" w:hAnsi="Gotham Book"/>
        </w:rPr>
        <w:footnoteReference w:id="21"/>
      </w:r>
      <w:r w:rsidR="00CE7561" w:rsidRPr="004A3983">
        <w:rPr>
          <w:rFonts w:ascii="Gotham Book" w:hAnsi="Gotham Book"/>
        </w:rPr>
        <w:t xml:space="preserve"> </w:t>
      </w:r>
      <w:r w:rsidR="003C5B97" w:rsidRPr="004A3983">
        <w:rPr>
          <w:rFonts w:ascii="Gotham Book" w:hAnsi="Gotham Book"/>
        </w:rPr>
        <w:t xml:space="preserve">The </w:t>
      </w:r>
      <w:r w:rsidR="00AC419B" w:rsidRPr="004A3983">
        <w:rPr>
          <w:rFonts w:ascii="Gotham Book" w:hAnsi="Gotham Book"/>
        </w:rPr>
        <w:t>r</w:t>
      </w:r>
      <w:r w:rsidRPr="004A3983">
        <w:rPr>
          <w:rFonts w:ascii="Gotham Book" w:hAnsi="Gotham Book"/>
        </w:rPr>
        <w:t xml:space="preserve">egistrable offences </w:t>
      </w:r>
      <w:r w:rsidR="002D5B36" w:rsidRPr="004A3983">
        <w:rPr>
          <w:rFonts w:ascii="Gotham Book" w:hAnsi="Gotham Book"/>
        </w:rPr>
        <w:t>mentioned in the</w:t>
      </w:r>
      <w:r w:rsidR="0042789D">
        <w:rPr>
          <w:rFonts w:ascii="Gotham Book" w:hAnsi="Gotham Book"/>
        </w:rPr>
        <w:t> </w:t>
      </w:r>
      <w:r w:rsidR="002D5B36" w:rsidRPr="004A3983">
        <w:rPr>
          <w:rFonts w:ascii="Gotham Book" w:hAnsi="Gotham Book"/>
        </w:rPr>
        <w:t xml:space="preserve">CPOR Act </w:t>
      </w:r>
      <w:r w:rsidRPr="004A3983">
        <w:rPr>
          <w:rFonts w:ascii="Gotham Book" w:hAnsi="Gotham Book"/>
        </w:rPr>
        <w:t>include sexual offences against or in relation to children, certain violent offences against children, and offences involving child abuse material.</w:t>
      </w:r>
      <w:r w:rsidR="007A1548" w:rsidRPr="004A3983">
        <w:rPr>
          <w:rStyle w:val="FootnoteReference"/>
          <w:rFonts w:ascii="Gotham Book" w:hAnsi="Gotham Book"/>
        </w:rPr>
        <w:footnoteReference w:id="22"/>
      </w:r>
      <w:r w:rsidRPr="004A3983">
        <w:rPr>
          <w:rFonts w:ascii="Gotham Book" w:hAnsi="Gotham Book"/>
        </w:rPr>
        <w:t xml:space="preserve"> The</w:t>
      </w:r>
      <w:r w:rsidR="0042789D">
        <w:rPr>
          <w:rFonts w:ascii="Gotham Book" w:hAnsi="Gotham Book"/>
        </w:rPr>
        <w:t> </w:t>
      </w:r>
      <w:r w:rsidRPr="004A3983">
        <w:rPr>
          <w:rFonts w:ascii="Gotham Book" w:hAnsi="Gotham Book"/>
        </w:rPr>
        <w:t>registrable offe</w:t>
      </w:r>
      <w:r w:rsidR="009D1FA8" w:rsidRPr="004A3983">
        <w:rPr>
          <w:rFonts w:ascii="Gotham Book" w:hAnsi="Gotham Book"/>
        </w:rPr>
        <w:t>nces are categorised into two ‘c</w:t>
      </w:r>
      <w:r w:rsidRPr="004A3983">
        <w:rPr>
          <w:rFonts w:ascii="Gotham Book" w:hAnsi="Gotham Book"/>
        </w:rPr>
        <w:t>lasses’, with ‘Class 1 offences’ generally being crimes that attract higher penalties than those listed as ‘Class 2 offences’.</w:t>
      </w:r>
      <w:r w:rsidRPr="004A3983">
        <w:rPr>
          <w:rStyle w:val="FootnoteReference"/>
          <w:rFonts w:ascii="Gotham Book" w:hAnsi="Gotham Book"/>
        </w:rPr>
        <w:footnoteReference w:id="23"/>
      </w:r>
    </w:p>
    <w:p w14:paraId="23DB0A45" w14:textId="10CC14F3" w:rsidR="00863180" w:rsidRPr="004A3983" w:rsidRDefault="00FF09D5" w:rsidP="00846370">
      <w:pPr>
        <w:widowControl w:val="0"/>
        <w:tabs>
          <w:tab w:val="left" w:pos="1191"/>
        </w:tabs>
        <w:adjustRightInd w:val="0"/>
        <w:snapToGrid w:val="0"/>
        <w:spacing w:after="160"/>
        <w:ind w:right="-2"/>
        <w:rPr>
          <w:rFonts w:ascii="Gotham Book" w:hAnsi="Gotham Book"/>
        </w:rPr>
      </w:pPr>
      <w:r w:rsidRPr="004A3983">
        <w:rPr>
          <w:rFonts w:ascii="Gotham Book" w:hAnsi="Gotham Book"/>
        </w:rPr>
        <w:t>Under the CPOR Act t</w:t>
      </w:r>
      <w:r w:rsidR="00863180" w:rsidRPr="004A3983">
        <w:rPr>
          <w:rFonts w:ascii="Gotham Book" w:hAnsi="Gotham Book"/>
        </w:rPr>
        <w:t>he NSW Commissioner</w:t>
      </w:r>
      <w:r w:rsidR="003514C6" w:rsidRPr="004A3983">
        <w:rPr>
          <w:rFonts w:ascii="Gotham Book" w:hAnsi="Gotham Book"/>
        </w:rPr>
        <w:t xml:space="preserve"> of Police</w:t>
      </w:r>
      <w:r w:rsidR="00863180" w:rsidRPr="004A3983">
        <w:rPr>
          <w:rFonts w:ascii="Gotham Book" w:hAnsi="Gotham Book"/>
        </w:rPr>
        <w:t xml:space="preserve"> is responsible for ensuring that </w:t>
      </w:r>
      <w:r w:rsidR="00A17ED0" w:rsidRPr="004A3983">
        <w:rPr>
          <w:rFonts w:ascii="Gotham Book" w:hAnsi="Gotham Book"/>
        </w:rPr>
        <w:t>a Child Protection</w:t>
      </w:r>
      <w:r w:rsidR="00863180" w:rsidRPr="004A3983">
        <w:rPr>
          <w:rFonts w:ascii="Gotham Book" w:hAnsi="Gotham Book"/>
        </w:rPr>
        <w:t xml:space="preserve"> Register which contains the details of all</w:t>
      </w:r>
      <w:r w:rsidR="003C5B97" w:rsidRPr="004A3983">
        <w:rPr>
          <w:rFonts w:ascii="Gotham Book" w:hAnsi="Gotham Book"/>
        </w:rPr>
        <w:t xml:space="preserve"> registrable persons</w:t>
      </w:r>
      <w:r w:rsidR="00863180" w:rsidRPr="004A3983">
        <w:rPr>
          <w:rFonts w:ascii="Gotham Book" w:hAnsi="Gotham Book"/>
        </w:rPr>
        <w:t xml:space="preserve"> </w:t>
      </w:r>
      <w:r w:rsidR="00862728" w:rsidRPr="004A3983">
        <w:rPr>
          <w:rFonts w:ascii="Gotham Book" w:hAnsi="Gotham Book"/>
        </w:rPr>
        <w:t xml:space="preserve">is </w:t>
      </w:r>
      <w:r w:rsidR="00F34F31" w:rsidRPr="004A3983">
        <w:rPr>
          <w:rFonts w:ascii="Gotham Book" w:hAnsi="Gotham Book"/>
        </w:rPr>
        <w:t xml:space="preserve">established and </w:t>
      </w:r>
      <w:r w:rsidR="00862728" w:rsidRPr="004A3983">
        <w:rPr>
          <w:rFonts w:ascii="Gotham Book" w:hAnsi="Gotham Book"/>
        </w:rPr>
        <w:t>maintained</w:t>
      </w:r>
      <w:r w:rsidR="00863180" w:rsidRPr="004A3983">
        <w:rPr>
          <w:rFonts w:ascii="Gotham Book" w:hAnsi="Gotham Book"/>
        </w:rPr>
        <w:t>.</w:t>
      </w:r>
      <w:r w:rsidR="00863180" w:rsidRPr="004A3983">
        <w:rPr>
          <w:rStyle w:val="FootnoteReference"/>
          <w:rFonts w:ascii="Gotham Book" w:hAnsi="Gotham Book"/>
        </w:rPr>
        <w:footnoteReference w:id="24"/>
      </w:r>
      <w:r w:rsidR="00863180" w:rsidRPr="004A3983">
        <w:rPr>
          <w:rFonts w:ascii="Gotham Book" w:hAnsi="Gotham Book"/>
        </w:rPr>
        <w:t xml:space="preserve"> </w:t>
      </w:r>
      <w:r w:rsidR="00A5296A" w:rsidRPr="004A3983">
        <w:rPr>
          <w:rFonts w:ascii="Gotham Book" w:hAnsi="Gotham Book"/>
        </w:rPr>
        <w:t xml:space="preserve">As at </w:t>
      </w:r>
      <w:r w:rsidR="0014414B" w:rsidRPr="004A3983">
        <w:rPr>
          <w:rFonts w:ascii="Gotham Book" w:hAnsi="Gotham Book"/>
        </w:rPr>
        <w:t>31 August 2019 there were 4,344</w:t>
      </w:r>
      <w:r w:rsidR="00863180" w:rsidRPr="004A3983">
        <w:rPr>
          <w:rFonts w:ascii="Gotham Book" w:hAnsi="Gotham Book"/>
        </w:rPr>
        <w:t xml:space="preserve"> people listed by </w:t>
      </w:r>
      <w:r w:rsidR="00863180" w:rsidRPr="004A3983">
        <w:rPr>
          <w:rFonts w:ascii="Gotham Book" w:hAnsi="Gotham Book"/>
        </w:rPr>
        <w:lastRenderedPageBreak/>
        <w:t xml:space="preserve">the NSW Police Force as ‘currently registered’ </w:t>
      </w:r>
      <w:r w:rsidR="00715C93" w:rsidRPr="004A3983">
        <w:rPr>
          <w:rFonts w:ascii="Gotham Book" w:hAnsi="Gotham Book"/>
        </w:rPr>
        <w:t>under the CPOR Act</w:t>
      </w:r>
      <w:r w:rsidR="00863180" w:rsidRPr="004A3983">
        <w:rPr>
          <w:rFonts w:ascii="Gotham Book" w:hAnsi="Gotham Book"/>
        </w:rPr>
        <w:t>.</w:t>
      </w:r>
      <w:r w:rsidR="00863180" w:rsidRPr="004A3983">
        <w:rPr>
          <w:rStyle w:val="FootnoteReference"/>
          <w:rFonts w:ascii="Gotham Book" w:hAnsi="Gotham Book"/>
        </w:rPr>
        <w:footnoteReference w:id="25"/>
      </w:r>
      <w:r w:rsidR="00A17ED0" w:rsidRPr="004A3983">
        <w:rPr>
          <w:rFonts w:ascii="Gotham Book" w:hAnsi="Gotham Book"/>
        </w:rPr>
        <w:t xml:space="preserve"> </w:t>
      </w:r>
    </w:p>
    <w:p w14:paraId="28FA085D" w14:textId="275375A1" w:rsidR="00863180" w:rsidRPr="004A3983" w:rsidRDefault="00863180" w:rsidP="00846370">
      <w:pPr>
        <w:pStyle w:val="Heading3"/>
        <w:spacing w:after="160"/>
        <w:ind w:left="709" w:right="-2" w:hanging="709"/>
      </w:pPr>
      <w:bookmarkStart w:id="103" w:name="_Toc8913482"/>
      <w:bookmarkStart w:id="104" w:name="_Toc9428343"/>
      <w:bookmarkStart w:id="105" w:name="_Toc12020295"/>
      <w:bookmarkStart w:id="106" w:name="_Toc14790460"/>
      <w:bookmarkStart w:id="107" w:name="_Toc15478343"/>
      <w:bookmarkStart w:id="108" w:name="_Toc22627739"/>
      <w:r w:rsidRPr="004A3983">
        <w:t xml:space="preserve">Registrable persons are required to report </w:t>
      </w:r>
      <w:r w:rsidR="006A5886" w:rsidRPr="004A3983">
        <w:t xml:space="preserve">their </w:t>
      </w:r>
      <w:r w:rsidRPr="004A3983">
        <w:t>personal information to police</w:t>
      </w:r>
      <w:bookmarkEnd w:id="103"/>
      <w:bookmarkEnd w:id="104"/>
      <w:bookmarkEnd w:id="105"/>
      <w:bookmarkEnd w:id="106"/>
      <w:bookmarkEnd w:id="107"/>
      <w:bookmarkEnd w:id="108"/>
    </w:p>
    <w:p w14:paraId="2DFE967F" w14:textId="49D186D1" w:rsidR="006035BE" w:rsidRPr="004A3983" w:rsidRDefault="006A5886" w:rsidP="00846370">
      <w:pPr>
        <w:widowControl w:val="0"/>
        <w:tabs>
          <w:tab w:val="left" w:pos="1191"/>
        </w:tabs>
        <w:adjustRightInd w:val="0"/>
        <w:snapToGrid w:val="0"/>
        <w:spacing w:after="160"/>
        <w:ind w:right="-2"/>
        <w:rPr>
          <w:rFonts w:ascii="Gotham Book" w:hAnsi="Gotham Book"/>
        </w:rPr>
      </w:pPr>
      <w:r w:rsidRPr="004A3983">
        <w:rPr>
          <w:rFonts w:ascii="Gotham Book" w:hAnsi="Gotham Book"/>
        </w:rPr>
        <w:t>Every registrable person is required to attend a police station to make an initial report</w:t>
      </w:r>
      <w:r w:rsidR="006959A6" w:rsidRPr="004A3983">
        <w:rPr>
          <w:rFonts w:ascii="Gotham Book" w:hAnsi="Gotham Book"/>
        </w:rPr>
        <w:t xml:space="preserve"> of their personal details</w:t>
      </w:r>
      <w:r w:rsidRPr="004A3983">
        <w:rPr>
          <w:rFonts w:ascii="Gotham Book" w:hAnsi="Gotham Book"/>
        </w:rPr>
        <w:t>, generally within seven days of being sentenced (or if sentenced to imprisonment, within seven days of being released).</w:t>
      </w:r>
      <w:r w:rsidRPr="004A3983">
        <w:rPr>
          <w:rStyle w:val="FootnoteReference"/>
          <w:rFonts w:ascii="Gotham Book" w:hAnsi="Gotham Book"/>
        </w:rPr>
        <w:footnoteReference w:id="26"/>
      </w:r>
      <w:r w:rsidRPr="004A3983">
        <w:rPr>
          <w:rFonts w:ascii="Gotham Book" w:hAnsi="Gotham Book"/>
        </w:rPr>
        <w:t xml:space="preserve"> They are required to provide the NSW Police Force with a considerable amount of personal information, including:</w:t>
      </w:r>
    </w:p>
    <w:p w14:paraId="1FB27DF2" w14:textId="77777777" w:rsidR="006035BE" w:rsidRPr="004A3983" w:rsidRDefault="006A5886" w:rsidP="006A1E39">
      <w:pPr>
        <w:pStyle w:val="ListBullet"/>
      </w:pPr>
      <w:r w:rsidRPr="004A3983">
        <w:t>places of residence and details of employment, and details of any motor vehicle owned or hired by the person;</w:t>
      </w:r>
    </w:p>
    <w:p w14:paraId="3C3A99A3" w14:textId="4F8B25E7" w:rsidR="006035BE" w:rsidRPr="004A3983" w:rsidRDefault="006A5886" w:rsidP="006A1E39">
      <w:pPr>
        <w:pStyle w:val="ListBullet"/>
      </w:pPr>
      <w:r w:rsidRPr="004A3983">
        <w:t xml:space="preserve">all phone numbers, names of internet service providers, email addresses, and all user names the person uses online, including </w:t>
      </w:r>
      <w:r w:rsidR="00DB6428" w:rsidRPr="004A3983">
        <w:t xml:space="preserve">for </w:t>
      </w:r>
      <w:r w:rsidRPr="004A3983">
        <w:t>instant messaging services or chat rooms;</w:t>
      </w:r>
    </w:p>
    <w:p w14:paraId="3632CD44" w14:textId="77777777" w:rsidR="006035BE" w:rsidRPr="004A3983" w:rsidRDefault="006A5886" w:rsidP="006A1E39">
      <w:pPr>
        <w:pStyle w:val="ListBullet"/>
      </w:pPr>
      <w:r w:rsidRPr="004A3983">
        <w:t>the names and dates of birth of each child who generally resides with the person;</w:t>
      </w:r>
    </w:p>
    <w:p w14:paraId="11AFC79D" w14:textId="77777777" w:rsidR="006035BE" w:rsidRPr="004A3983" w:rsidRDefault="006A5886" w:rsidP="006A1E39">
      <w:pPr>
        <w:pStyle w:val="ListBullet"/>
      </w:pPr>
      <w:r w:rsidRPr="004A3983">
        <w:t>affiliation with any club or organisation which has children as members or participants in activities, and</w:t>
      </w:r>
    </w:p>
    <w:p w14:paraId="17B2B689" w14:textId="1F897CD2" w:rsidR="006A5886" w:rsidRPr="004A3983" w:rsidRDefault="006A5886" w:rsidP="006A1E39">
      <w:pPr>
        <w:pStyle w:val="ListBullet"/>
      </w:pPr>
      <w:r w:rsidRPr="004A3983">
        <w:t>the names, dates of birth and addresses of each child with whom the person has had contact because, for example, the person was supervising or caring for the child, or the child was visiting the person’s household, or the person exchanged contact details with the child.</w:t>
      </w:r>
      <w:r w:rsidRPr="004A3983">
        <w:rPr>
          <w:rStyle w:val="FootnoteReference"/>
        </w:rPr>
        <w:footnoteReference w:id="27"/>
      </w:r>
      <w:r w:rsidRPr="004A3983">
        <w:t xml:space="preserve"> </w:t>
      </w:r>
    </w:p>
    <w:p w14:paraId="3E11550D" w14:textId="54EA1987" w:rsidR="006A5886" w:rsidRPr="004A3983" w:rsidRDefault="00774932" w:rsidP="00846370">
      <w:pPr>
        <w:widowControl w:val="0"/>
        <w:tabs>
          <w:tab w:val="left" w:pos="1191"/>
        </w:tabs>
        <w:adjustRightInd w:val="0"/>
        <w:snapToGrid w:val="0"/>
        <w:spacing w:after="160"/>
        <w:ind w:right="-2"/>
        <w:rPr>
          <w:rFonts w:ascii="Gotham Book" w:hAnsi="Gotham Book"/>
        </w:rPr>
      </w:pPr>
      <w:r w:rsidRPr="004A3983">
        <w:rPr>
          <w:rFonts w:ascii="Gotham Book" w:hAnsi="Gotham Book"/>
        </w:rPr>
        <w:t>This information is entered in</w:t>
      </w:r>
      <w:r w:rsidR="006A5886" w:rsidRPr="004A3983">
        <w:rPr>
          <w:rFonts w:ascii="Gotham Book" w:hAnsi="Gotham Book"/>
        </w:rPr>
        <w:t>to the Register and used by the NSW Police Force to monitor registrable persons, investigate br</w:t>
      </w:r>
      <w:r w:rsidR="00A12486" w:rsidRPr="004A3983">
        <w:rPr>
          <w:rFonts w:ascii="Gotham Book" w:hAnsi="Gotham Book"/>
        </w:rPr>
        <w:t>eaches of reporting obligations</w:t>
      </w:r>
      <w:r w:rsidR="006A5886" w:rsidRPr="004A3983">
        <w:rPr>
          <w:rFonts w:ascii="Gotham Book" w:hAnsi="Gotham Book"/>
        </w:rPr>
        <w:t xml:space="preserve"> and investigate offences committed against children.</w:t>
      </w:r>
      <w:r w:rsidR="006A5886" w:rsidRPr="004A3983">
        <w:rPr>
          <w:rStyle w:val="FootnoteReference"/>
          <w:rFonts w:ascii="Gotham Book" w:hAnsi="Gotham Book"/>
        </w:rPr>
        <w:footnoteReference w:id="28"/>
      </w:r>
      <w:r w:rsidR="006A5886" w:rsidRPr="004A3983">
        <w:rPr>
          <w:rFonts w:ascii="Gotham Book" w:hAnsi="Gotham Book"/>
        </w:rPr>
        <w:t xml:space="preserve"> Police officers have the power to take a registrable person’s fingerprints and photographs when they are making a report, and these may be retained and used for identification, law enforcement or child protection purposes.</w:t>
      </w:r>
      <w:r w:rsidR="006A5886" w:rsidRPr="004A3983">
        <w:rPr>
          <w:rStyle w:val="FootnoteReference"/>
          <w:rFonts w:ascii="Gotham Book" w:hAnsi="Gotham Book"/>
        </w:rPr>
        <w:footnoteReference w:id="29"/>
      </w:r>
      <w:r w:rsidR="006A5886" w:rsidRPr="004A3983">
        <w:rPr>
          <w:rFonts w:ascii="Gotham Book" w:hAnsi="Gotham Book"/>
        </w:rPr>
        <w:t xml:space="preserve"> </w:t>
      </w:r>
    </w:p>
    <w:p w14:paraId="39F89ECD" w14:textId="51FECCA3" w:rsidR="006A5886" w:rsidRPr="004A3983" w:rsidRDefault="006A5886" w:rsidP="00846370">
      <w:pPr>
        <w:widowControl w:val="0"/>
        <w:tabs>
          <w:tab w:val="left" w:pos="1191"/>
        </w:tabs>
        <w:adjustRightInd w:val="0"/>
        <w:snapToGrid w:val="0"/>
        <w:spacing w:after="160"/>
        <w:ind w:right="-2"/>
        <w:rPr>
          <w:rFonts w:ascii="Gotham Book" w:hAnsi="Gotham Book"/>
        </w:rPr>
      </w:pPr>
      <w:r w:rsidRPr="004A3983">
        <w:rPr>
          <w:rFonts w:ascii="Gotham Book" w:hAnsi="Gotham Book"/>
        </w:rPr>
        <w:t xml:space="preserve">The registrable person is required to make annual reports to the NSW Police Force of their personal information, and in between these reports, notify </w:t>
      </w:r>
      <w:r w:rsidR="003C5B97" w:rsidRPr="004A3983">
        <w:rPr>
          <w:rFonts w:ascii="Gotham Book" w:hAnsi="Gotham Book"/>
        </w:rPr>
        <w:t xml:space="preserve">it </w:t>
      </w:r>
      <w:r w:rsidRPr="004A3983">
        <w:rPr>
          <w:rFonts w:ascii="Gotham Book" w:hAnsi="Gotham Book"/>
        </w:rPr>
        <w:t xml:space="preserve">of any changes </w:t>
      </w:r>
      <w:r w:rsidR="00DB6428" w:rsidRPr="004A3983">
        <w:rPr>
          <w:rFonts w:ascii="Gotham Book" w:hAnsi="Gotham Book"/>
        </w:rPr>
        <w:t>to any of the</w:t>
      </w:r>
      <w:r w:rsidRPr="004A3983">
        <w:rPr>
          <w:rFonts w:ascii="Gotham Book" w:hAnsi="Gotham Book"/>
        </w:rPr>
        <w:t xml:space="preserve"> information listed above, generally within days.</w:t>
      </w:r>
      <w:r w:rsidRPr="004A3983">
        <w:rPr>
          <w:rStyle w:val="FootnoteReference"/>
          <w:rFonts w:ascii="Gotham Book" w:hAnsi="Gotham Book"/>
        </w:rPr>
        <w:footnoteReference w:id="30"/>
      </w:r>
      <w:r w:rsidRPr="004A3983">
        <w:rPr>
          <w:rFonts w:ascii="Gotham Book" w:hAnsi="Gotham Book"/>
        </w:rPr>
        <w:t xml:space="preserve"> Registrable persons are also required to report travel plans and intended changes of address.</w:t>
      </w:r>
      <w:r w:rsidRPr="004A3983">
        <w:rPr>
          <w:rStyle w:val="FootnoteReference"/>
          <w:rFonts w:ascii="Gotham Book" w:hAnsi="Gotham Book"/>
        </w:rPr>
        <w:footnoteReference w:id="31"/>
      </w:r>
      <w:r w:rsidRPr="004A3983">
        <w:rPr>
          <w:rFonts w:ascii="Gotham Book" w:hAnsi="Gotham Book"/>
        </w:rPr>
        <w:t xml:space="preserve"> </w:t>
      </w:r>
    </w:p>
    <w:p w14:paraId="03646C6F" w14:textId="6307558E" w:rsidR="006A5886" w:rsidRPr="004A3983" w:rsidRDefault="006A5886" w:rsidP="00846370">
      <w:pPr>
        <w:pStyle w:val="Heading3"/>
        <w:spacing w:after="160"/>
        <w:ind w:left="709" w:right="-2" w:hanging="709"/>
      </w:pPr>
      <w:bookmarkStart w:id="109" w:name="_Toc8913483"/>
      <w:bookmarkStart w:id="110" w:name="_Ref9261607"/>
      <w:bookmarkStart w:id="111" w:name="_Toc9428344"/>
      <w:bookmarkStart w:id="112" w:name="_Toc12020296"/>
      <w:bookmarkStart w:id="113" w:name="_Toc14790461"/>
      <w:bookmarkStart w:id="114" w:name="_Toc15478344"/>
      <w:bookmarkStart w:id="115" w:name="_Toc22627740"/>
      <w:r w:rsidRPr="004A3983">
        <w:lastRenderedPageBreak/>
        <w:t>Calculation of registrable persons’ ‘reporting periods’</w:t>
      </w:r>
      <w:bookmarkEnd w:id="109"/>
      <w:bookmarkEnd w:id="110"/>
      <w:bookmarkEnd w:id="111"/>
      <w:bookmarkEnd w:id="112"/>
      <w:bookmarkEnd w:id="113"/>
      <w:bookmarkEnd w:id="114"/>
      <w:bookmarkEnd w:id="115"/>
      <w:r w:rsidRPr="004A3983">
        <w:t xml:space="preserve"> </w:t>
      </w:r>
    </w:p>
    <w:p w14:paraId="22E0A53D" w14:textId="38CB6CE8" w:rsidR="00834A17" w:rsidRPr="004A3983" w:rsidRDefault="00834A17" w:rsidP="00846370">
      <w:pPr>
        <w:widowControl w:val="0"/>
        <w:tabs>
          <w:tab w:val="left" w:pos="1191"/>
        </w:tabs>
        <w:adjustRightInd w:val="0"/>
        <w:snapToGrid w:val="0"/>
        <w:spacing w:after="160"/>
        <w:ind w:right="-2"/>
        <w:rPr>
          <w:rFonts w:ascii="Gotham Book" w:hAnsi="Gotham Book"/>
        </w:rPr>
      </w:pPr>
      <w:r w:rsidRPr="004A3983">
        <w:rPr>
          <w:rFonts w:ascii="Gotham Book" w:hAnsi="Gotham Book"/>
        </w:rPr>
        <w:t xml:space="preserve">The number of years for which a registrable person is required to make reports </w:t>
      </w:r>
      <w:r w:rsidR="00E11283" w:rsidRPr="004A3983">
        <w:rPr>
          <w:rFonts w:ascii="Gotham Book" w:hAnsi="Gotham Book"/>
        </w:rPr>
        <w:t xml:space="preserve">to police </w:t>
      </w:r>
      <w:r w:rsidRPr="004A3983">
        <w:rPr>
          <w:rFonts w:ascii="Gotham Book" w:hAnsi="Gotham Book"/>
        </w:rPr>
        <w:t>(their ‘reporting period’) is determined by applying formulas in the CPOR Act.</w:t>
      </w:r>
      <w:r w:rsidRPr="004A3983">
        <w:rPr>
          <w:rStyle w:val="FootnoteReference"/>
          <w:rFonts w:ascii="Gotham Book" w:hAnsi="Gotham Book"/>
        </w:rPr>
        <w:footnoteReference w:id="32"/>
      </w:r>
      <w:r w:rsidRPr="004A3983">
        <w:rPr>
          <w:rFonts w:ascii="Gotham Book" w:hAnsi="Gotham Book"/>
        </w:rPr>
        <w:t xml:space="preserve"> The reporting period for an</w:t>
      </w:r>
      <w:r w:rsidR="000733F6" w:rsidRPr="004A3983">
        <w:rPr>
          <w:rFonts w:ascii="Gotham Book" w:hAnsi="Gotham Book"/>
        </w:rPr>
        <w:t xml:space="preserve"> adult offender will either be eight</w:t>
      </w:r>
      <w:r w:rsidRPr="004A3983">
        <w:rPr>
          <w:rFonts w:ascii="Gotham Book" w:hAnsi="Gotham Book"/>
        </w:rPr>
        <w:t xml:space="preserve"> years, 15 years, or</w:t>
      </w:r>
      <w:r w:rsidR="006A1E39">
        <w:rPr>
          <w:rFonts w:ascii="Gotham Book" w:hAnsi="Gotham Book"/>
        </w:rPr>
        <w:t> </w:t>
      </w:r>
      <w:r w:rsidRPr="004A3983">
        <w:rPr>
          <w:rFonts w:ascii="Gotham Book" w:hAnsi="Gotham Book"/>
        </w:rPr>
        <w:t>the rest of his or her life, and for juvenile</w:t>
      </w:r>
      <w:r w:rsidR="000733F6" w:rsidRPr="004A3983">
        <w:rPr>
          <w:rFonts w:ascii="Gotham Book" w:hAnsi="Gotham Book"/>
        </w:rPr>
        <w:t xml:space="preserve"> offenders either four</w:t>
      </w:r>
      <w:r w:rsidRPr="004A3983">
        <w:rPr>
          <w:rFonts w:ascii="Gotham Book" w:hAnsi="Gotham Book"/>
        </w:rPr>
        <w:t xml:space="preserve"> years or 7.5 years.</w:t>
      </w:r>
      <w:r w:rsidRPr="004A3983">
        <w:rPr>
          <w:rStyle w:val="FootnoteReference"/>
          <w:rFonts w:ascii="Gotham Book" w:hAnsi="Gotham Book"/>
        </w:rPr>
        <w:footnoteReference w:id="33"/>
      </w:r>
      <w:r w:rsidRPr="004A3983">
        <w:rPr>
          <w:rFonts w:ascii="Gotham Book" w:hAnsi="Gotham Book"/>
        </w:rPr>
        <w:t xml:space="preserve"> The length of the person’s reporting period </w:t>
      </w:r>
      <w:r w:rsidR="000733F6" w:rsidRPr="004A3983">
        <w:rPr>
          <w:rFonts w:ascii="Gotham Book" w:hAnsi="Gotham Book"/>
        </w:rPr>
        <w:t>will depend on which ‘c</w:t>
      </w:r>
      <w:r w:rsidRPr="004A3983">
        <w:rPr>
          <w:rFonts w:ascii="Gotham Book" w:hAnsi="Gotham Book"/>
        </w:rPr>
        <w:t xml:space="preserve">lass’ of offence the person was sentenced for, how many other Class 1 or Class 2 offences the person had been found guilty of previously, and whether the person was 18 years or older at the time of the offending. </w:t>
      </w:r>
    </w:p>
    <w:p w14:paraId="1F2FCF28" w14:textId="370786A9" w:rsidR="00834A17" w:rsidRPr="004A3983" w:rsidRDefault="00834A17" w:rsidP="00846370">
      <w:pPr>
        <w:widowControl w:val="0"/>
        <w:tabs>
          <w:tab w:val="left" w:pos="1191"/>
        </w:tabs>
        <w:adjustRightInd w:val="0"/>
        <w:snapToGrid w:val="0"/>
        <w:spacing w:after="160"/>
        <w:ind w:right="-2"/>
        <w:rPr>
          <w:rFonts w:ascii="Gotham Book" w:hAnsi="Gotham Book"/>
        </w:rPr>
      </w:pPr>
      <w:r w:rsidRPr="004A3983">
        <w:rPr>
          <w:rFonts w:ascii="Gotham Book" w:hAnsi="Gotham Book"/>
        </w:rPr>
        <w:t>A registrable person’s reporting obligations will be suspended while they are in c</w:t>
      </w:r>
      <w:r w:rsidR="0010527B" w:rsidRPr="004A3983">
        <w:rPr>
          <w:rFonts w:ascii="Gotham Book" w:hAnsi="Gotham Book"/>
        </w:rPr>
        <w:t>ustody or travelling outside New South Wales</w:t>
      </w:r>
      <w:r w:rsidRPr="004A3983">
        <w:rPr>
          <w:rFonts w:ascii="Gotham Book" w:hAnsi="Gotham Book"/>
        </w:rPr>
        <w:t>.</w:t>
      </w:r>
      <w:r w:rsidRPr="004A3983">
        <w:rPr>
          <w:rStyle w:val="FootnoteReference"/>
          <w:rFonts w:ascii="Gotham Book" w:hAnsi="Gotham Book"/>
        </w:rPr>
        <w:footnoteReference w:id="34"/>
      </w:r>
      <w:r w:rsidR="00A5090F" w:rsidRPr="004A3983">
        <w:rPr>
          <w:rFonts w:ascii="Gotham Book" w:hAnsi="Gotham Book"/>
        </w:rPr>
        <w:t xml:space="preserve"> </w:t>
      </w:r>
      <w:r w:rsidRPr="004A3983">
        <w:rPr>
          <w:rFonts w:ascii="Gotham Book" w:hAnsi="Gotham Book"/>
        </w:rPr>
        <w:t xml:space="preserve">The NSW Police Force </w:t>
      </w:r>
      <w:r w:rsidR="00E66812" w:rsidRPr="004A3983">
        <w:rPr>
          <w:rFonts w:ascii="Gotham Book" w:hAnsi="Gotham Book"/>
        </w:rPr>
        <w:t>is then</w:t>
      </w:r>
      <w:r w:rsidRPr="004A3983">
        <w:rPr>
          <w:rFonts w:ascii="Gotham Book" w:hAnsi="Gotham Book"/>
        </w:rPr>
        <w:t xml:space="preserve"> required to extend their reporting period by the length of time they spent in custody, and in certain cases</w:t>
      </w:r>
      <w:r w:rsidR="005E27E8" w:rsidRPr="004A3983">
        <w:rPr>
          <w:rFonts w:ascii="Gotham Book" w:hAnsi="Gotham Book"/>
        </w:rPr>
        <w:t>,</w:t>
      </w:r>
      <w:r w:rsidRPr="004A3983">
        <w:rPr>
          <w:rFonts w:ascii="Gotham Book" w:hAnsi="Gotham Book"/>
        </w:rPr>
        <w:t xml:space="preserve"> for time spent travelling.</w:t>
      </w:r>
      <w:r w:rsidRPr="004A3983">
        <w:rPr>
          <w:rStyle w:val="FootnoteReference"/>
          <w:rFonts w:ascii="Gotham Book" w:hAnsi="Gotham Book"/>
        </w:rPr>
        <w:footnoteReference w:id="35"/>
      </w:r>
      <w:r w:rsidRPr="004A3983">
        <w:rPr>
          <w:rFonts w:ascii="Gotham Book" w:hAnsi="Gotham Book"/>
        </w:rPr>
        <w:t xml:space="preserve"> The NSW Police Force must also extend the person’s reporting period if they are late in making an initial or annual report by more than one month.</w:t>
      </w:r>
      <w:r w:rsidRPr="004A3983">
        <w:rPr>
          <w:rStyle w:val="FootnoteReference"/>
          <w:rFonts w:ascii="Gotham Book" w:hAnsi="Gotham Book"/>
        </w:rPr>
        <w:footnoteReference w:id="36"/>
      </w:r>
    </w:p>
    <w:p w14:paraId="082AFBA4" w14:textId="07218D1D" w:rsidR="00834A17" w:rsidRPr="004A3983" w:rsidRDefault="00834A17" w:rsidP="00846370">
      <w:pPr>
        <w:spacing w:after="160"/>
        <w:ind w:right="-2"/>
        <w:rPr>
          <w:rFonts w:ascii="Gotham Book" w:hAnsi="Gotham Book"/>
        </w:rPr>
      </w:pPr>
      <w:r w:rsidRPr="004A3983">
        <w:rPr>
          <w:rFonts w:ascii="Gotham Book" w:hAnsi="Gotham Book"/>
        </w:rPr>
        <w:t xml:space="preserve">It is an offence </w:t>
      </w:r>
      <w:r w:rsidR="004E358D" w:rsidRPr="004A3983">
        <w:rPr>
          <w:rFonts w:ascii="Gotham Book" w:hAnsi="Gotham Book"/>
        </w:rPr>
        <w:t>for</w:t>
      </w:r>
      <w:r w:rsidR="00906C09" w:rsidRPr="004A3983">
        <w:rPr>
          <w:rFonts w:ascii="Gotham Book" w:hAnsi="Gotham Book"/>
        </w:rPr>
        <w:t xml:space="preserve"> </w:t>
      </w:r>
      <w:r w:rsidRPr="004A3983">
        <w:rPr>
          <w:rFonts w:ascii="Gotham Book" w:hAnsi="Gotham Book"/>
        </w:rPr>
        <w:t xml:space="preserve">a registrable person </w:t>
      </w:r>
      <w:r w:rsidR="004E358D" w:rsidRPr="004A3983">
        <w:rPr>
          <w:rFonts w:ascii="Gotham Book" w:hAnsi="Gotham Book"/>
        </w:rPr>
        <w:t xml:space="preserve">to </w:t>
      </w:r>
      <w:r w:rsidR="00906C09" w:rsidRPr="004A3983">
        <w:rPr>
          <w:rFonts w:ascii="Gotham Book" w:hAnsi="Gotham Book"/>
        </w:rPr>
        <w:t>fa</w:t>
      </w:r>
      <w:r w:rsidR="004E358D" w:rsidRPr="004A3983">
        <w:rPr>
          <w:rFonts w:ascii="Gotham Book" w:hAnsi="Gotham Book"/>
        </w:rPr>
        <w:t>il</w:t>
      </w:r>
      <w:r w:rsidR="00906C09" w:rsidRPr="004A3983">
        <w:rPr>
          <w:rFonts w:ascii="Gotham Book" w:hAnsi="Gotham Book"/>
        </w:rPr>
        <w:t xml:space="preserve"> to </w:t>
      </w:r>
      <w:r w:rsidRPr="004A3983">
        <w:rPr>
          <w:rFonts w:ascii="Gotham Book" w:hAnsi="Gotham Book"/>
        </w:rPr>
        <w:t>comply with any of the reporting obligations under the CPOR Act</w:t>
      </w:r>
      <w:r w:rsidR="00906C09" w:rsidRPr="004A3983">
        <w:rPr>
          <w:rFonts w:ascii="Gotham Book" w:hAnsi="Gotham Book"/>
        </w:rPr>
        <w:t xml:space="preserve"> without reasonable excuse, or </w:t>
      </w:r>
      <w:r w:rsidR="004E358D" w:rsidRPr="004A3983">
        <w:rPr>
          <w:rFonts w:ascii="Gotham Book" w:hAnsi="Gotham Book"/>
        </w:rPr>
        <w:t xml:space="preserve">to </w:t>
      </w:r>
      <w:r w:rsidRPr="004A3983">
        <w:rPr>
          <w:rFonts w:ascii="Gotham Book" w:hAnsi="Gotham Book"/>
        </w:rPr>
        <w:t>knowingly provide false or misleading information in a report.</w:t>
      </w:r>
      <w:r w:rsidRPr="004A3983">
        <w:rPr>
          <w:rStyle w:val="FootnoteReference"/>
          <w:rFonts w:ascii="Gotham Book" w:hAnsi="Gotham Book"/>
        </w:rPr>
        <w:footnoteReference w:id="37"/>
      </w:r>
      <w:r w:rsidRPr="004A3983">
        <w:rPr>
          <w:rFonts w:ascii="Gotham Book" w:hAnsi="Gotham Book"/>
        </w:rPr>
        <w:t xml:space="preserve"> These offences are</w:t>
      </w:r>
      <w:r w:rsidR="0010527B" w:rsidRPr="004A3983">
        <w:rPr>
          <w:rFonts w:ascii="Gotham Book" w:hAnsi="Gotham Book"/>
        </w:rPr>
        <w:t xml:space="preserve"> punishable by up to five years</w:t>
      </w:r>
      <w:r w:rsidR="003E77F9" w:rsidRPr="004A3983">
        <w:rPr>
          <w:rFonts w:ascii="Gotham Book" w:hAnsi="Gotham Book"/>
        </w:rPr>
        <w:t>’</w:t>
      </w:r>
      <w:r w:rsidRPr="004A3983">
        <w:rPr>
          <w:rFonts w:ascii="Gotham Book" w:hAnsi="Gotham Book"/>
        </w:rPr>
        <w:t xml:space="preserve"> imprisonment.</w:t>
      </w:r>
    </w:p>
    <w:p w14:paraId="74046857" w14:textId="14BF7DC7" w:rsidR="00834A17" w:rsidRPr="004A3983" w:rsidRDefault="00834A17" w:rsidP="00846370">
      <w:pPr>
        <w:spacing w:after="160"/>
        <w:ind w:right="-2"/>
        <w:rPr>
          <w:rFonts w:ascii="Gotham Book" w:hAnsi="Gotham Book"/>
        </w:rPr>
      </w:pPr>
      <w:r w:rsidRPr="004A3983">
        <w:rPr>
          <w:rFonts w:ascii="Gotham Book" w:hAnsi="Gotham Book"/>
        </w:rPr>
        <w:t>There is generally no ability under the CPOR Act for a person who is given a reporting period of less than life to apply to have the reporting period revised.</w:t>
      </w:r>
      <w:r w:rsidRPr="004A3983">
        <w:rPr>
          <w:rStyle w:val="FootnoteReference"/>
          <w:rFonts w:ascii="Gotham Book" w:hAnsi="Gotham Book"/>
        </w:rPr>
        <w:footnoteReference w:id="38"/>
      </w:r>
      <w:r w:rsidRPr="004A3983">
        <w:rPr>
          <w:rFonts w:ascii="Gotham Book" w:hAnsi="Gotham Book"/>
        </w:rPr>
        <w:t xml:space="preserve"> For</w:t>
      </w:r>
      <w:r w:rsidR="006A1E39">
        <w:rPr>
          <w:rFonts w:ascii="Gotham Book" w:hAnsi="Gotham Book"/>
        </w:rPr>
        <w:t> </w:t>
      </w:r>
      <w:r w:rsidRPr="004A3983">
        <w:rPr>
          <w:rFonts w:ascii="Gotham Book" w:hAnsi="Gotham Book"/>
        </w:rPr>
        <w:t>those who have been given a life-time reporting period, they may, if certain conditions are met, apply to the NSW Civil and Administrative Tribunal for suspension of their reporting obligations, but only after 15 years (</w:t>
      </w:r>
      <w:r w:rsidR="00976648" w:rsidRPr="004A3983">
        <w:rPr>
          <w:rFonts w:ascii="Gotham Book" w:hAnsi="Gotham Book"/>
        </w:rPr>
        <w:t>as long as</w:t>
      </w:r>
      <w:r w:rsidRPr="004A3983">
        <w:rPr>
          <w:rFonts w:ascii="Gotham Book" w:hAnsi="Gotham Book"/>
        </w:rPr>
        <w:t xml:space="preserve"> they have not been sentenced for further registrable offences).</w:t>
      </w:r>
      <w:r w:rsidRPr="004A3983">
        <w:rPr>
          <w:rStyle w:val="FootnoteReference"/>
          <w:rFonts w:ascii="Gotham Book" w:hAnsi="Gotham Book"/>
        </w:rPr>
        <w:footnoteReference w:id="39"/>
      </w:r>
    </w:p>
    <w:p w14:paraId="76D02E48" w14:textId="750671AF" w:rsidR="00863180" w:rsidRPr="004A3983" w:rsidRDefault="00834A17" w:rsidP="00846370">
      <w:pPr>
        <w:pStyle w:val="Heading3"/>
        <w:spacing w:after="160"/>
        <w:ind w:left="709" w:right="-2" w:hanging="709"/>
      </w:pPr>
      <w:bookmarkStart w:id="116" w:name="_Toc8913484"/>
      <w:bookmarkStart w:id="117" w:name="_Ref9348372"/>
      <w:bookmarkStart w:id="118" w:name="_Toc9428345"/>
      <w:bookmarkStart w:id="119" w:name="_Toc12020297"/>
      <w:bookmarkStart w:id="120" w:name="_Toc14790462"/>
      <w:bookmarkStart w:id="121" w:name="_Toc15478345"/>
      <w:bookmarkStart w:id="122" w:name="_Toc22627741"/>
      <w:r w:rsidRPr="004A3983">
        <w:lastRenderedPageBreak/>
        <w:t>Other restrictions and obligations applicable to registrable persons</w:t>
      </w:r>
      <w:bookmarkEnd w:id="116"/>
      <w:bookmarkEnd w:id="117"/>
      <w:bookmarkEnd w:id="118"/>
      <w:bookmarkEnd w:id="119"/>
      <w:bookmarkEnd w:id="120"/>
      <w:bookmarkEnd w:id="121"/>
      <w:bookmarkEnd w:id="122"/>
    </w:p>
    <w:p w14:paraId="0A64543A" w14:textId="77777777" w:rsidR="0024092A" w:rsidRPr="004A3983" w:rsidRDefault="0024092A" w:rsidP="00846370">
      <w:pPr>
        <w:spacing w:after="160"/>
        <w:ind w:right="-2"/>
        <w:rPr>
          <w:rFonts w:ascii="Gotham Book" w:hAnsi="Gotham Book"/>
        </w:rPr>
      </w:pPr>
      <w:r w:rsidRPr="004A3983">
        <w:rPr>
          <w:rFonts w:ascii="Gotham Book" w:hAnsi="Gotham Book"/>
        </w:rPr>
        <w:t xml:space="preserve">There are significant legal consequences for a person who is placed on the Register, in addition to the reporting obligations. </w:t>
      </w:r>
    </w:p>
    <w:p w14:paraId="45FFF309" w14:textId="68092023" w:rsidR="0024092A" w:rsidRPr="004A3983" w:rsidRDefault="0024092A" w:rsidP="00846370">
      <w:pPr>
        <w:spacing w:after="160"/>
        <w:ind w:right="-2"/>
        <w:rPr>
          <w:rFonts w:ascii="Gotham Book" w:hAnsi="Gotham Book"/>
        </w:rPr>
      </w:pPr>
      <w:r w:rsidRPr="004A3983">
        <w:rPr>
          <w:rFonts w:ascii="Gotham Book" w:hAnsi="Gotham Book"/>
        </w:rPr>
        <w:t>Following recent amendments to Commonwealth legislation, it is now an offence for</w:t>
      </w:r>
      <w:r w:rsidR="006A1E39">
        <w:rPr>
          <w:rFonts w:ascii="Gotham Book" w:hAnsi="Gotham Book"/>
        </w:rPr>
        <w:t> </w:t>
      </w:r>
      <w:r w:rsidRPr="004A3983">
        <w:rPr>
          <w:rFonts w:ascii="Gotham Book" w:hAnsi="Gotham Book"/>
        </w:rPr>
        <w:t xml:space="preserve">a registrable </w:t>
      </w:r>
      <w:r w:rsidR="008546DF" w:rsidRPr="004A3983">
        <w:rPr>
          <w:rFonts w:ascii="Gotham Book" w:hAnsi="Gotham Book"/>
        </w:rPr>
        <w:t>person who ha</w:t>
      </w:r>
      <w:r w:rsidRPr="004A3983">
        <w:rPr>
          <w:rFonts w:ascii="Gotham Book" w:hAnsi="Gotham Book"/>
        </w:rPr>
        <w:t>s reporting obligations to travel overseas without permission from</w:t>
      </w:r>
      <w:r w:rsidR="00A70730" w:rsidRPr="004A3983">
        <w:rPr>
          <w:rFonts w:ascii="Gotham Book" w:hAnsi="Gotham Book"/>
        </w:rPr>
        <w:t xml:space="preserve"> a ‘competent authority’ (in New South Wales</w:t>
      </w:r>
      <w:r w:rsidRPr="004A3983">
        <w:rPr>
          <w:rFonts w:ascii="Gotham Book" w:hAnsi="Gotham Book"/>
        </w:rPr>
        <w:t xml:space="preserve"> this is the NSW Police Force).</w:t>
      </w:r>
      <w:r w:rsidRPr="004A3983">
        <w:rPr>
          <w:rStyle w:val="FootnoteReference"/>
          <w:rFonts w:ascii="Gotham Book" w:hAnsi="Gotham Book"/>
        </w:rPr>
        <w:footnoteReference w:id="40"/>
      </w:r>
      <w:r w:rsidRPr="004A3983">
        <w:rPr>
          <w:rFonts w:ascii="Gotham Book" w:hAnsi="Gotham Book"/>
        </w:rPr>
        <w:t xml:space="preserve"> A registrable person may also have their passport denied or cancelled at the request of a competent authority.</w:t>
      </w:r>
      <w:r w:rsidRPr="004A3983">
        <w:rPr>
          <w:rStyle w:val="FootnoteReference"/>
          <w:rFonts w:ascii="Gotham Book" w:hAnsi="Gotham Book"/>
        </w:rPr>
        <w:footnoteReference w:id="41"/>
      </w:r>
    </w:p>
    <w:p w14:paraId="071B826E" w14:textId="7730C5F4" w:rsidR="0024092A" w:rsidRPr="004A3983" w:rsidRDefault="0024092A" w:rsidP="00846370">
      <w:pPr>
        <w:spacing w:after="160"/>
        <w:ind w:right="-2"/>
      </w:pPr>
      <w:r w:rsidRPr="004A3983">
        <w:rPr>
          <w:rFonts w:ascii="Gotham Book" w:hAnsi="Gotham Book"/>
        </w:rPr>
        <w:t>Registrable persons are also subject to restrictions on applying for changes to their names</w:t>
      </w:r>
      <w:r w:rsidRPr="004A3983">
        <w:rPr>
          <w:rStyle w:val="FootnoteReference"/>
          <w:rFonts w:ascii="Gotham Book" w:hAnsi="Gotham Book"/>
        </w:rPr>
        <w:footnoteReference w:id="42"/>
      </w:r>
      <w:r w:rsidRPr="004A3983">
        <w:rPr>
          <w:rFonts w:ascii="Gotham Book" w:hAnsi="Gotham Book"/>
        </w:rPr>
        <w:t xml:space="preserve"> and engaging in child-related work.</w:t>
      </w:r>
      <w:r w:rsidRPr="004A3983">
        <w:rPr>
          <w:rStyle w:val="FootnoteReference"/>
          <w:rFonts w:ascii="Gotham Book" w:hAnsi="Gotham Book"/>
        </w:rPr>
        <w:footnoteReference w:id="43"/>
      </w:r>
      <w:r w:rsidRPr="004A3983">
        <w:rPr>
          <w:rFonts w:ascii="Gotham Book" w:hAnsi="Gotham Book"/>
        </w:rPr>
        <w:t xml:space="preserve"> They can be subjected to unannoun</w:t>
      </w:r>
      <w:r w:rsidR="0037376C" w:rsidRPr="004A3983">
        <w:rPr>
          <w:rFonts w:ascii="Gotham Book" w:hAnsi="Gotham Book"/>
        </w:rPr>
        <w:t>ced home inspections</w:t>
      </w:r>
      <w:r w:rsidRPr="004A3983">
        <w:rPr>
          <w:rFonts w:ascii="Gotham Book" w:hAnsi="Gotham Book"/>
        </w:rPr>
        <w:t xml:space="preserve"> by the NSW Police Force under s 16C of the CPOR Act, for the purpose of verifying that they are complying with their reporting obligations.</w:t>
      </w:r>
      <w:r w:rsidRPr="004A3983">
        <w:rPr>
          <w:rStyle w:val="FootnoteReference"/>
          <w:rFonts w:ascii="Gotham Book" w:hAnsi="Gotham Book"/>
        </w:rPr>
        <w:footnoteReference w:id="44"/>
      </w:r>
      <w:r w:rsidR="00C52ABF" w:rsidRPr="004A3983">
        <w:rPr>
          <w:rFonts w:ascii="Gotham Book" w:hAnsi="Gotham Book"/>
        </w:rPr>
        <w:t xml:space="preserve"> </w:t>
      </w:r>
      <w:r w:rsidRPr="004A3983">
        <w:rPr>
          <w:rFonts w:ascii="Gotham Book" w:hAnsi="Gotham Book"/>
        </w:rPr>
        <w:t>They can be ordered to provide their DNA to police.</w:t>
      </w:r>
      <w:r w:rsidRPr="004A3983">
        <w:rPr>
          <w:rStyle w:val="FootnoteReference"/>
          <w:rFonts w:ascii="Gotham Book" w:hAnsi="Gotham Book"/>
        </w:rPr>
        <w:footnoteReference w:id="45"/>
      </w:r>
      <w:r w:rsidRPr="004A3983">
        <w:rPr>
          <w:rFonts w:ascii="Gotham Book" w:hAnsi="Gotham Book"/>
        </w:rPr>
        <w:t xml:space="preserve"> They also m</w:t>
      </w:r>
      <w:r w:rsidR="00346C14" w:rsidRPr="004A3983">
        <w:rPr>
          <w:rFonts w:ascii="Gotham Book" w:hAnsi="Gotham Book"/>
        </w:rPr>
        <w:t>ay be made the subjects of child p</w:t>
      </w:r>
      <w:r w:rsidRPr="004A3983">
        <w:rPr>
          <w:rFonts w:ascii="Gotham Book" w:hAnsi="Gotham Book"/>
        </w:rPr>
        <w:t xml:space="preserve">rotection </w:t>
      </w:r>
      <w:r w:rsidR="00346C14" w:rsidRPr="004A3983">
        <w:rPr>
          <w:rFonts w:ascii="Gotham Book" w:hAnsi="Gotham Book"/>
        </w:rPr>
        <w:t>prohibition o</w:t>
      </w:r>
      <w:r w:rsidRPr="004A3983">
        <w:rPr>
          <w:rFonts w:ascii="Gotham Book" w:hAnsi="Gotham Book"/>
        </w:rPr>
        <w:t>rders which impose further restrictions on their activities.</w:t>
      </w:r>
      <w:r w:rsidRPr="004A3983">
        <w:rPr>
          <w:rStyle w:val="FootnoteReference"/>
          <w:rFonts w:ascii="Gotham Book" w:hAnsi="Gotham Book"/>
        </w:rPr>
        <w:footnoteReference w:id="46"/>
      </w:r>
      <w:r w:rsidRPr="004A3983">
        <w:rPr>
          <w:rFonts w:ascii="Gotham Book" w:hAnsi="Gotham Book"/>
        </w:rPr>
        <w:t xml:space="preserve"> Section 19BA of the CPOR Act allows certain scheduled agencies to collect and share the personal information of registrable persons, including the NSW Police Force, Corrective Services NSW, the Department of Education and Communities, the Department of Family and Co</w:t>
      </w:r>
      <w:r w:rsidR="009C20CA" w:rsidRPr="004A3983">
        <w:rPr>
          <w:rFonts w:ascii="Gotham Book" w:hAnsi="Gotham Book"/>
        </w:rPr>
        <w:t>mmunity Services</w:t>
      </w:r>
      <w:r w:rsidRPr="004A3983">
        <w:rPr>
          <w:rFonts w:ascii="Gotham Book" w:hAnsi="Gotham Book"/>
        </w:rPr>
        <w:t xml:space="preserve"> and the Ministry of Health.</w:t>
      </w:r>
      <w:r w:rsidRPr="004A3983">
        <w:rPr>
          <w:rStyle w:val="FootnoteReference"/>
          <w:rFonts w:ascii="Gotham Book" w:hAnsi="Gotham Book"/>
        </w:rPr>
        <w:footnoteReference w:id="47"/>
      </w:r>
      <w:r w:rsidRPr="004A3983">
        <w:t xml:space="preserve"> </w:t>
      </w:r>
    </w:p>
    <w:p w14:paraId="4CB91FD1" w14:textId="33FE04E6" w:rsidR="0024092A" w:rsidRPr="004A3983" w:rsidRDefault="0024092A" w:rsidP="00846370">
      <w:pPr>
        <w:spacing w:after="160"/>
        <w:ind w:right="-2"/>
      </w:pPr>
      <w:r w:rsidRPr="004A3983">
        <w:rPr>
          <w:rFonts w:ascii="Gotham Book" w:hAnsi="Gotham Book"/>
        </w:rPr>
        <w:t>It should be noted that a person does not cease to be a ‘registrable person’ under the CPOR Act once their reporting period ends. This means that some of the restrictions mentioned above (such as restrictions on name changes, applying for child-related work</w:t>
      </w:r>
      <w:r w:rsidR="00047904" w:rsidRPr="004A3983">
        <w:rPr>
          <w:rFonts w:ascii="Gotham Book" w:hAnsi="Gotham Book"/>
        </w:rPr>
        <w:t xml:space="preserve"> and being made the subject of child protection prohibition o</w:t>
      </w:r>
      <w:r w:rsidRPr="004A3983">
        <w:rPr>
          <w:rFonts w:ascii="Gotham Book" w:hAnsi="Gotham Book"/>
        </w:rPr>
        <w:t>rders) will generally apply to all registrable persons for life.</w:t>
      </w:r>
      <w:r w:rsidRPr="004A3983">
        <w:rPr>
          <w:rStyle w:val="FootnoteReference"/>
          <w:rFonts w:ascii="Gotham Book" w:hAnsi="Gotham Book"/>
        </w:rPr>
        <w:footnoteReference w:id="48"/>
      </w:r>
    </w:p>
    <w:p w14:paraId="2CAB2507" w14:textId="361924CD" w:rsidR="00863180" w:rsidRPr="004A3983" w:rsidRDefault="00E03C4C" w:rsidP="00846370">
      <w:pPr>
        <w:pStyle w:val="Heading2"/>
        <w:spacing w:after="160"/>
        <w:ind w:right="-2"/>
        <w:rPr>
          <w:rFonts w:ascii="Gotham Book" w:hAnsi="Gotham Book"/>
        </w:rPr>
      </w:pPr>
      <w:bookmarkStart w:id="123" w:name="_Toc8913485"/>
      <w:bookmarkStart w:id="124" w:name="_Toc22627742"/>
      <w:r w:rsidRPr="004A3983">
        <w:rPr>
          <w:rFonts w:ascii="Gotham Book" w:hAnsi="Gotham Book"/>
        </w:rPr>
        <w:lastRenderedPageBreak/>
        <w:t>Purpose</w:t>
      </w:r>
      <w:r w:rsidR="00586D5F" w:rsidRPr="004A3983">
        <w:rPr>
          <w:rFonts w:ascii="Gotham Book" w:hAnsi="Gotham Book"/>
        </w:rPr>
        <w:t>s</w:t>
      </w:r>
      <w:r w:rsidRPr="004A3983">
        <w:rPr>
          <w:rFonts w:ascii="Gotham Book" w:hAnsi="Gotham Book"/>
        </w:rPr>
        <w:t xml:space="preserve"> of the Child Protection Register</w:t>
      </w:r>
      <w:bookmarkEnd w:id="123"/>
      <w:bookmarkEnd w:id="124"/>
    </w:p>
    <w:p w14:paraId="0FABF92C" w14:textId="7002C3BC" w:rsidR="006035BE" w:rsidRPr="004A3983" w:rsidRDefault="00E03C4C" w:rsidP="009273A5">
      <w:pPr>
        <w:spacing w:after="160"/>
        <w:rPr>
          <w:rFonts w:ascii="Gotham Book" w:hAnsi="Gotham Book"/>
        </w:rPr>
      </w:pPr>
      <w:r w:rsidRPr="004A3983">
        <w:rPr>
          <w:rFonts w:ascii="Gotham Book" w:hAnsi="Gotham Book"/>
        </w:rPr>
        <w:t>When the CPOR Act was introduced into Parliament, the Minister for Police stated it</w:t>
      </w:r>
      <w:r w:rsidR="006A1E39">
        <w:rPr>
          <w:rFonts w:ascii="Gotham Book" w:hAnsi="Gotham Book"/>
        </w:rPr>
        <w:t> </w:t>
      </w:r>
      <w:r w:rsidRPr="004A3983">
        <w:rPr>
          <w:rFonts w:ascii="Gotham Book" w:hAnsi="Gotham Book"/>
        </w:rPr>
        <w:t>would:</w:t>
      </w:r>
    </w:p>
    <w:p w14:paraId="0C933884" w14:textId="5382CBEC" w:rsidR="00E03C4C" w:rsidRPr="004A3983" w:rsidRDefault="00E03C4C" w:rsidP="006A1E39">
      <w:pPr>
        <w:pStyle w:val="ListBullet"/>
      </w:pPr>
      <w:r w:rsidRPr="004A3983">
        <w:t>increase and improve the accuracy of intelligence held by police about child sex offenders;</w:t>
      </w:r>
    </w:p>
    <w:p w14:paraId="06EBD0BC" w14:textId="0A020DD3" w:rsidR="00E03C4C" w:rsidRPr="004A3983" w:rsidRDefault="00E03C4C" w:rsidP="006A1E39">
      <w:pPr>
        <w:pStyle w:val="ListBullet"/>
      </w:pPr>
      <w:r w:rsidRPr="004A3983">
        <w:t>assist in the investigation and prosecution of child sex offences committed by</w:t>
      </w:r>
      <w:r w:rsidR="006A1E39">
        <w:t> </w:t>
      </w:r>
      <w:r w:rsidRPr="004A3983">
        <w:t>recidivist offenders;</w:t>
      </w:r>
    </w:p>
    <w:p w14:paraId="1FB3794A" w14:textId="77777777" w:rsidR="00E03C4C" w:rsidRPr="004A3983" w:rsidRDefault="00E03C4C" w:rsidP="006A1E39">
      <w:pPr>
        <w:pStyle w:val="ListBullet"/>
      </w:pPr>
      <w:r w:rsidRPr="004A3983">
        <w:t>provide a deterrent to re-offending;</w:t>
      </w:r>
    </w:p>
    <w:p w14:paraId="4340E02D" w14:textId="77777777" w:rsidR="00E03C4C" w:rsidRPr="004A3983" w:rsidRDefault="00E03C4C" w:rsidP="006A1E39">
      <w:pPr>
        <w:pStyle w:val="ListBullet"/>
      </w:pPr>
      <w:r w:rsidRPr="004A3983">
        <w:t>assist the monitoring and management of child sex offenders in the community, and</w:t>
      </w:r>
    </w:p>
    <w:p w14:paraId="2F0EE438" w14:textId="360EAE85" w:rsidR="00E03C4C" w:rsidRPr="004A3983" w:rsidRDefault="00E03C4C" w:rsidP="006A1E39">
      <w:pPr>
        <w:pStyle w:val="ListBullet"/>
      </w:pPr>
      <w:r w:rsidRPr="004A3983">
        <w:t>provide child abuse victims and their families with an increased sense of security.</w:t>
      </w:r>
      <w:r w:rsidRPr="004A3983">
        <w:rPr>
          <w:rStyle w:val="FootnoteReference"/>
        </w:rPr>
        <w:footnoteReference w:id="49"/>
      </w:r>
    </w:p>
    <w:p w14:paraId="3FF74BA3" w14:textId="16D58B34" w:rsidR="00E03C4C" w:rsidRPr="004A3983" w:rsidRDefault="00E03C4C" w:rsidP="00233D69">
      <w:pPr>
        <w:pStyle w:val="ListNumber"/>
        <w:numPr>
          <w:ilvl w:val="0"/>
          <w:numId w:val="0"/>
        </w:numPr>
      </w:pPr>
      <w:r w:rsidRPr="004A3983">
        <w:t>The NSW Ombudsman was required to review and report on the first two years of operation of the CPOR Act following its commencement in 2001.</w:t>
      </w:r>
      <w:r w:rsidRPr="004A3983">
        <w:rPr>
          <w:rStyle w:val="FootnoteReference"/>
        </w:rPr>
        <w:footnoteReference w:id="50"/>
      </w:r>
      <w:r w:rsidRPr="004A3983">
        <w:t xml:space="preserve"> The NSW Police Force advised the NSW Ombudsman that the Register had proven to be ‘an invaluable investigative tool’ even within its first two years.</w:t>
      </w:r>
      <w:r w:rsidRPr="004A3983">
        <w:rPr>
          <w:rStyle w:val="FootnoteReference"/>
        </w:rPr>
        <w:footnoteReference w:id="51"/>
      </w:r>
      <w:r w:rsidRPr="004A3983">
        <w:t xml:space="preserve"> In his report, the NSW Ombudsman noted that intelligence made available to the NSW Police Force through the Register had assisted in the investigation of child sexual assault cases, and the NSW Police Force had reported that the monitoring of registered offenders had ‘realised benefits in terms of prevention and intervention’ regarding risks to children.</w:t>
      </w:r>
      <w:r w:rsidRPr="004A3983">
        <w:rPr>
          <w:rStyle w:val="FootnoteReference"/>
        </w:rPr>
        <w:footnoteReference w:id="52"/>
      </w:r>
      <w:r w:rsidRPr="004A3983">
        <w:t xml:space="preserve"> </w:t>
      </w:r>
      <w:r w:rsidRPr="004A3983">
        <w:rPr>
          <w:rStyle w:val="CommentReference"/>
        </w:rPr>
        <w:t xml:space="preserve"> </w:t>
      </w:r>
    </w:p>
    <w:p w14:paraId="30F07B7A" w14:textId="0169DF5B" w:rsidR="004814CF" w:rsidRPr="004A3983" w:rsidRDefault="007F5A2F" w:rsidP="00846370">
      <w:pPr>
        <w:pStyle w:val="Heading2"/>
        <w:spacing w:after="160"/>
        <w:ind w:right="-2"/>
        <w:rPr>
          <w:rFonts w:ascii="Gotham Book" w:hAnsi="Gotham Book"/>
        </w:rPr>
      </w:pPr>
      <w:bookmarkStart w:id="125" w:name="_Toc22627743"/>
      <w:bookmarkEnd w:id="91"/>
      <w:bookmarkEnd w:id="92"/>
      <w:bookmarkEnd w:id="93"/>
      <w:bookmarkEnd w:id="94"/>
      <w:bookmarkEnd w:id="95"/>
      <w:bookmarkEnd w:id="96"/>
      <w:r w:rsidRPr="004A3983">
        <w:t xml:space="preserve">Statutory </w:t>
      </w:r>
      <w:r w:rsidR="00D21FB3" w:rsidRPr="004A3983">
        <w:rPr>
          <w:rFonts w:ascii="Gotham Book" w:hAnsi="Gotham Book"/>
        </w:rPr>
        <w:t>r</w:t>
      </w:r>
      <w:r w:rsidR="009554F7" w:rsidRPr="004A3983">
        <w:rPr>
          <w:rFonts w:ascii="Gotham Book" w:hAnsi="Gotham Book"/>
        </w:rPr>
        <w:t>esponsibility for implementing</w:t>
      </w:r>
      <w:r w:rsidRPr="004A3983">
        <w:rPr>
          <w:rFonts w:ascii="Gotham Book" w:hAnsi="Gotham Book"/>
        </w:rPr>
        <w:t xml:space="preserve"> the</w:t>
      </w:r>
      <w:r w:rsidR="006A1E39">
        <w:rPr>
          <w:rFonts w:ascii="Gotham Book" w:hAnsi="Gotham Book"/>
        </w:rPr>
        <w:t> </w:t>
      </w:r>
      <w:r w:rsidRPr="004A3983">
        <w:rPr>
          <w:rFonts w:ascii="Gotham Book" w:hAnsi="Gotham Book"/>
        </w:rPr>
        <w:t>Register</w:t>
      </w:r>
      <w:bookmarkEnd w:id="125"/>
    </w:p>
    <w:p w14:paraId="502E3046" w14:textId="5AD74243" w:rsidR="007F5A2F" w:rsidRPr="004A3983" w:rsidRDefault="007F5A2F" w:rsidP="00846370">
      <w:pPr>
        <w:spacing w:after="160"/>
        <w:ind w:right="-2"/>
        <w:rPr>
          <w:rFonts w:ascii="Gotham Book" w:hAnsi="Gotham Book"/>
        </w:rPr>
      </w:pPr>
      <w:r w:rsidRPr="004A3983">
        <w:rPr>
          <w:rFonts w:ascii="Gotham Book" w:hAnsi="Gotham Book"/>
        </w:rPr>
        <w:t>The CPOR Act places obligations on courts and other government agencies to assist the NSW Police Force to implement the registration scheme. Courts that sentence registrable persons for registrable offences (referred to as ‘sentencing courts’), and other authorities such as Corrective Services NSW and the Ministry of Health (referred to as ‘supervising authorities’) have obligations to inform registrable persons</w:t>
      </w:r>
      <w:r w:rsidR="001A0328" w:rsidRPr="004A3983">
        <w:rPr>
          <w:rFonts w:ascii="Gotham Book" w:hAnsi="Gotham Book"/>
        </w:rPr>
        <w:t xml:space="preserve"> of their reporting obligations</w:t>
      </w:r>
      <w:r w:rsidRPr="004A3983">
        <w:rPr>
          <w:rFonts w:ascii="Gotham Book" w:hAnsi="Gotham Book"/>
        </w:rPr>
        <w:t xml:space="preserve"> and the consequences of non-compliance.</w:t>
      </w:r>
      <w:r w:rsidRPr="004A3983">
        <w:rPr>
          <w:vertAlign w:val="superscript"/>
        </w:rPr>
        <w:footnoteReference w:id="53"/>
      </w:r>
    </w:p>
    <w:p w14:paraId="16FED50F" w14:textId="1DF48FB6" w:rsidR="007F5A2F" w:rsidRPr="004A3983" w:rsidRDefault="007F5A2F" w:rsidP="00846370">
      <w:pPr>
        <w:spacing w:after="160"/>
        <w:ind w:right="-2"/>
        <w:rPr>
          <w:rFonts w:ascii="Gotham Book" w:hAnsi="Gotham Book"/>
        </w:rPr>
      </w:pPr>
      <w:r w:rsidRPr="004A3983">
        <w:rPr>
          <w:rFonts w:ascii="Gotham Book" w:hAnsi="Gotham Book"/>
        </w:rPr>
        <w:t xml:space="preserve">Sentencing courts have the responsibility under the CPOR Act to notify the </w:t>
      </w:r>
      <w:r w:rsidR="00427628" w:rsidRPr="004A3983">
        <w:rPr>
          <w:rFonts w:ascii="Gotham Book" w:hAnsi="Gotham Book"/>
        </w:rPr>
        <w:t xml:space="preserve">NSW </w:t>
      </w:r>
      <w:r w:rsidRPr="004A3983">
        <w:rPr>
          <w:rFonts w:ascii="Gotham Book" w:hAnsi="Gotham Book"/>
        </w:rPr>
        <w:t>Commissioner of Police, and the relevant supervising authority, that a registrable person has been sentenced.</w:t>
      </w:r>
      <w:r w:rsidRPr="004A3983">
        <w:rPr>
          <w:rFonts w:ascii="Gotham Book" w:hAnsi="Gotham Book"/>
          <w:vertAlign w:val="superscript"/>
        </w:rPr>
        <w:footnoteReference w:id="54"/>
      </w:r>
      <w:r w:rsidRPr="004A3983">
        <w:rPr>
          <w:rFonts w:ascii="Gotham Book" w:hAnsi="Gotham Book"/>
        </w:rPr>
        <w:t xml:space="preserve"> However, as will be discussed in </w:t>
      </w:r>
      <w:r w:rsidR="003A153D" w:rsidRPr="004A3983">
        <w:rPr>
          <w:rFonts w:ascii="Gotham Book" w:hAnsi="Gotham Book"/>
        </w:rPr>
        <w:t xml:space="preserve">Chapter </w:t>
      </w:r>
      <w:r w:rsidR="005617A1" w:rsidRPr="004A3983">
        <w:rPr>
          <w:rFonts w:ascii="Gotham Book" w:hAnsi="Gotham Book"/>
        </w:rPr>
        <w:fldChar w:fldCharType="begin"/>
      </w:r>
      <w:r w:rsidR="005617A1" w:rsidRPr="004A3983">
        <w:rPr>
          <w:rFonts w:ascii="Gotham Book" w:hAnsi="Gotham Book"/>
        </w:rPr>
        <w:instrText xml:space="preserve"> REF _Ref9250443 \r \h </w:instrText>
      </w:r>
      <w:r w:rsidR="00CB34C9" w:rsidRPr="004A3983">
        <w:rPr>
          <w:rFonts w:ascii="Gotham Book" w:hAnsi="Gotham Book"/>
        </w:rPr>
        <w:instrText xml:space="preserve"> \* MERGEFORMAT </w:instrText>
      </w:r>
      <w:r w:rsidR="005617A1" w:rsidRPr="004A3983">
        <w:rPr>
          <w:rFonts w:ascii="Gotham Book" w:hAnsi="Gotham Book"/>
        </w:rPr>
      </w:r>
      <w:r w:rsidR="005617A1" w:rsidRPr="004A3983">
        <w:rPr>
          <w:rFonts w:ascii="Gotham Book" w:hAnsi="Gotham Book"/>
        </w:rPr>
        <w:fldChar w:fldCharType="separate"/>
      </w:r>
      <w:r w:rsidR="00022664">
        <w:rPr>
          <w:rFonts w:ascii="Gotham Book" w:hAnsi="Gotham Book" w:hint="cs"/>
          <w:cs/>
        </w:rPr>
        <w:t>‎</w:t>
      </w:r>
      <w:r w:rsidR="00022664">
        <w:rPr>
          <w:rFonts w:ascii="Gotham Book" w:hAnsi="Gotham Book"/>
        </w:rPr>
        <w:t>7</w:t>
      </w:r>
      <w:r w:rsidR="005617A1" w:rsidRPr="004A3983">
        <w:rPr>
          <w:rFonts w:ascii="Gotham Book" w:hAnsi="Gotham Book"/>
        </w:rPr>
        <w:fldChar w:fldCharType="end"/>
      </w:r>
      <w:r w:rsidRPr="004A3983">
        <w:rPr>
          <w:rFonts w:ascii="Gotham Book" w:hAnsi="Gotham Book"/>
        </w:rPr>
        <w:t xml:space="preserve">, since the </w:t>
      </w:r>
      <w:r w:rsidRPr="004A3983">
        <w:rPr>
          <w:rFonts w:ascii="Gotham Book" w:hAnsi="Gotham Book"/>
        </w:rPr>
        <w:lastRenderedPageBreak/>
        <w:t>early years of the Register, court staff</w:t>
      </w:r>
      <w:r w:rsidR="0095389B" w:rsidRPr="004A3983">
        <w:rPr>
          <w:rFonts w:ascii="Gotham Book" w:hAnsi="Gotham Book"/>
        </w:rPr>
        <w:t xml:space="preserve"> </w:t>
      </w:r>
      <w:r w:rsidRPr="004A3983">
        <w:rPr>
          <w:rFonts w:ascii="Gotham Book" w:hAnsi="Gotham Book"/>
        </w:rPr>
        <w:t>foun</w:t>
      </w:r>
      <w:r w:rsidR="00C21C4D" w:rsidRPr="004A3983">
        <w:rPr>
          <w:rFonts w:ascii="Gotham Book" w:hAnsi="Gotham Book"/>
        </w:rPr>
        <w:t>d it difficult to determine</w:t>
      </w:r>
      <w:r w:rsidR="00956CB1" w:rsidRPr="004A3983">
        <w:rPr>
          <w:rFonts w:ascii="Gotham Book" w:hAnsi="Gotham Book"/>
        </w:rPr>
        <w:t xml:space="preserve"> who wa</w:t>
      </w:r>
      <w:r w:rsidRPr="004A3983">
        <w:rPr>
          <w:rFonts w:ascii="Gotham Book" w:hAnsi="Gotham Book"/>
        </w:rPr>
        <w:t>s a registrable person.</w:t>
      </w:r>
      <w:r w:rsidRPr="004A3983">
        <w:rPr>
          <w:rFonts w:ascii="Gotham Book" w:hAnsi="Gotham Book"/>
          <w:vertAlign w:val="superscript"/>
        </w:rPr>
        <w:footnoteReference w:id="55"/>
      </w:r>
      <w:r w:rsidRPr="004A3983">
        <w:rPr>
          <w:rFonts w:ascii="Gotham Book" w:hAnsi="Gotham Book"/>
        </w:rPr>
        <w:t xml:space="preserve"> As a result, the NSW Police Force has in practice assumed responsibility for interpreting and applying the CPOR Act </w:t>
      </w:r>
      <w:r w:rsidR="00B7621D" w:rsidRPr="004A3983">
        <w:rPr>
          <w:rFonts w:ascii="Gotham Book" w:hAnsi="Gotham Book"/>
        </w:rPr>
        <w:t>to identify registrable persons</w:t>
      </w:r>
      <w:r w:rsidRPr="004A3983">
        <w:rPr>
          <w:rFonts w:ascii="Gotham Book" w:hAnsi="Gotham Book"/>
        </w:rPr>
        <w:t xml:space="preserve"> and determine the length of their reporting periods.</w:t>
      </w:r>
    </w:p>
    <w:p w14:paraId="74BE5931" w14:textId="1F4DA621" w:rsidR="00382386" w:rsidRPr="004A3983" w:rsidRDefault="00382386" w:rsidP="00846370">
      <w:pPr>
        <w:pStyle w:val="Heading2"/>
        <w:spacing w:after="160"/>
        <w:ind w:right="-2"/>
        <w:rPr>
          <w:rFonts w:ascii="Gotham Book" w:hAnsi="Gotham Book"/>
        </w:rPr>
      </w:pPr>
      <w:bookmarkStart w:id="126" w:name="_Ref9866644"/>
      <w:bookmarkStart w:id="127" w:name="_Toc22627744"/>
      <w:r w:rsidRPr="004A3983">
        <w:rPr>
          <w:rFonts w:ascii="Gotham Book" w:hAnsi="Gotham Book"/>
        </w:rPr>
        <w:t>The NSW Police Force Child Protection Registry</w:t>
      </w:r>
      <w:bookmarkEnd w:id="126"/>
      <w:bookmarkEnd w:id="127"/>
    </w:p>
    <w:p w14:paraId="6DFA422A" w14:textId="605103EC" w:rsidR="00685513" w:rsidRPr="004A3983" w:rsidRDefault="00685513" w:rsidP="00846370">
      <w:pPr>
        <w:widowControl w:val="0"/>
        <w:tabs>
          <w:tab w:val="left" w:pos="1191"/>
        </w:tabs>
        <w:adjustRightInd w:val="0"/>
        <w:snapToGrid w:val="0"/>
        <w:spacing w:before="240" w:after="160"/>
        <w:ind w:right="-2"/>
        <w:rPr>
          <w:rFonts w:ascii="Gotham Book" w:hAnsi="Gotham Book"/>
        </w:rPr>
      </w:pPr>
      <w:r w:rsidRPr="004A3983">
        <w:rPr>
          <w:rFonts w:ascii="Gotham Book" w:hAnsi="Gotham Book"/>
        </w:rPr>
        <w:t>The Child Protect</w:t>
      </w:r>
      <w:r w:rsidR="006C1596" w:rsidRPr="004A3983">
        <w:rPr>
          <w:rFonts w:ascii="Gotham Book" w:hAnsi="Gotham Book"/>
        </w:rPr>
        <w:t xml:space="preserve">ion Registry (the Registry) is </w:t>
      </w:r>
      <w:r w:rsidR="0025102F" w:rsidRPr="004A3983">
        <w:rPr>
          <w:rFonts w:ascii="Gotham Book" w:hAnsi="Gotham Book"/>
        </w:rPr>
        <w:t>a</w:t>
      </w:r>
      <w:r w:rsidRPr="004A3983">
        <w:rPr>
          <w:rFonts w:ascii="Gotham Book" w:hAnsi="Gotham Book"/>
        </w:rPr>
        <w:t xml:space="preserve"> specialist unit within the Child Abuse</w:t>
      </w:r>
      <w:r w:rsidR="0042789D">
        <w:rPr>
          <w:rFonts w:ascii="Gotham Book" w:hAnsi="Gotham Book"/>
        </w:rPr>
        <w:t> </w:t>
      </w:r>
      <w:r w:rsidRPr="004A3983">
        <w:rPr>
          <w:rFonts w:ascii="Gotham Book" w:hAnsi="Gotham Book"/>
        </w:rPr>
        <w:t>and Sex Crime Squad of the State Crime Command of the NSW Police F</w:t>
      </w:r>
      <w:r w:rsidR="006C1596" w:rsidRPr="004A3983">
        <w:rPr>
          <w:rFonts w:ascii="Gotham Book" w:hAnsi="Gotham Book"/>
        </w:rPr>
        <w:t>orce</w:t>
      </w:r>
      <w:r w:rsidR="00F30665" w:rsidRPr="004A3983">
        <w:rPr>
          <w:rFonts w:ascii="Gotham Book" w:hAnsi="Gotham Book"/>
        </w:rPr>
        <w:t>,</w:t>
      </w:r>
      <w:r w:rsidR="006C1596" w:rsidRPr="004A3983">
        <w:rPr>
          <w:rFonts w:ascii="Gotham Book" w:hAnsi="Gotham Book"/>
        </w:rPr>
        <w:t xml:space="preserve"> </w:t>
      </w:r>
      <w:r w:rsidRPr="004A3983">
        <w:rPr>
          <w:rFonts w:ascii="Gotham Book" w:hAnsi="Gotham Book"/>
        </w:rPr>
        <w:t>established to monitor and maintain the Register on behalf of the Commissioner of Police.</w:t>
      </w:r>
      <w:r w:rsidRPr="004A3983">
        <w:rPr>
          <w:rStyle w:val="FootnoteReference"/>
          <w:rFonts w:ascii="Gotham Book" w:hAnsi="Gotham Book"/>
        </w:rPr>
        <w:footnoteReference w:id="56"/>
      </w:r>
    </w:p>
    <w:p w14:paraId="34C934C1" w14:textId="2691A457" w:rsidR="00685513" w:rsidRPr="004A3983" w:rsidRDefault="00685513" w:rsidP="00846370">
      <w:pPr>
        <w:widowControl w:val="0"/>
        <w:tabs>
          <w:tab w:val="left" w:pos="1191"/>
        </w:tabs>
        <w:adjustRightInd w:val="0"/>
        <w:snapToGrid w:val="0"/>
        <w:spacing w:before="240" w:after="160"/>
        <w:ind w:right="-2"/>
        <w:rPr>
          <w:rFonts w:ascii="Gotham Book" w:hAnsi="Gotham Book"/>
        </w:rPr>
      </w:pPr>
      <w:r w:rsidRPr="004A3983">
        <w:rPr>
          <w:rFonts w:ascii="Gotham Book" w:hAnsi="Gotham Book"/>
        </w:rPr>
        <w:t>Officers in the Registry identify and determine which offenders are ‘registrable persons’ under the CPOR Act.</w:t>
      </w:r>
      <w:r w:rsidRPr="004A3983">
        <w:rPr>
          <w:rStyle w:val="FootnoteReference"/>
          <w:rFonts w:ascii="Gotham Book" w:hAnsi="Gotham Book"/>
        </w:rPr>
        <w:footnoteReference w:id="57"/>
      </w:r>
      <w:r w:rsidRPr="004A3983">
        <w:rPr>
          <w:rFonts w:ascii="Gotham Book" w:hAnsi="Gotham Book"/>
        </w:rPr>
        <w:t xml:space="preserve"> Registry staff rely on an automated flagging </w:t>
      </w:r>
      <w:r w:rsidR="00770D58" w:rsidRPr="004A3983">
        <w:rPr>
          <w:rFonts w:ascii="Gotham Book" w:hAnsi="Gotham Book"/>
        </w:rPr>
        <w:t>function</w:t>
      </w:r>
      <w:r w:rsidR="00D12428" w:rsidRPr="004A3983">
        <w:rPr>
          <w:rFonts w:ascii="Gotham Book" w:hAnsi="Gotham Book"/>
        </w:rPr>
        <w:t xml:space="preserve"> in the NSW Police Force</w:t>
      </w:r>
      <w:r w:rsidRPr="004A3983">
        <w:rPr>
          <w:rFonts w:ascii="Gotham Book" w:hAnsi="Gotham Book"/>
        </w:rPr>
        <w:t xml:space="preserve"> Computerised Operational Policing System (COPS) which identifies persons who have been charged with potentially registrable offences.</w:t>
      </w:r>
      <w:r w:rsidRPr="004A3983">
        <w:rPr>
          <w:rStyle w:val="FootnoteReference"/>
          <w:rFonts w:ascii="Gotham Book" w:hAnsi="Gotham Book"/>
        </w:rPr>
        <w:footnoteReference w:id="58"/>
      </w:r>
      <w:r w:rsidRPr="004A3983">
        <w:rPr>
          <w:rFonts w:ascii="Gotham Book" w:hAnsi="Gotham Book"/>
        </w:rPr>
        <w:t xml:space="preserve"> If</w:t>
      </w:r>
      <w:r w:rsidR="0042789D">
        <w:rPr>
          <w:rFonts w:ascii="Gotham Book" w:hAnsi="Gotham Book"/>
        </w:rPr>
        <w:t> </w:t>
      </w:r>
      <w:r w:rsidRPr="004A3983">
        <w:rPr>
          <w:rFonts w:ascii="Gotham Book" w:hAnsi="Gotham Book"/>
        </w:rPr>
        <w:t>a</w:t>
      </w:r>
      <w:r w:rsidR="0042789D">
        <w:rPr>
          <w:rFonts w:ascii="Gotham Book" w:hAnsi="Gotham Book"/>
        </w:rPr>
        <w:t> </w:t>
      </w:r>
      <w:r w:rsidRPr="004A3983">
        <w:rPr>
          <w:rFonts w:ascii="Gotham Book" w:hAnsi="Gotham Book"/>
        </w:rPr>
        <w:t>flagged charge is proven at court, a Registry officer will determine if the person meets the statutory threshold for registration. If so, the Registry officer will create a</w:t>
      </w:r>
      <w:r w:rsidR="0042789D">
        <w:rPr>
          <w:rFonts w:ascii="Gotham Book" w:hAnsi="Gotham Book"/>
        </w:rPr>
        <w:t> </w:t>
      </w:r>
      <w:r w:rsidR="002F00BD" w:rsidRPr="004A3983">
        <w:rPr>
          <w:rFonts w:ascii="Gotham Book" w:hAnsi="Gotham Book"/>
        </w:rPr>
        <w:t xml:space="preserve">COPS </w:t>
      </w:r>
      <w:r w:rsidRPr="004A3983">
        <w:rPr>
          <w:rFonts w:ascii="Gotham Book" w:hAnsi="Gotham Book"/>
        </w:rPr>
        <w:t>‘CPR case’ for the person</w:t>
      </w:r>
      <w:r w:rsidR="00981612" w:rsidRPr="004A3983">
        <w:rPr>
          <w:rFonts w:ascii="Gotham Book" w:hAnsi="Gotham Book"/>
        </w:rPr>
        <w:t>.</w:t>
      </w:r>
      <w:r w:rsidR="00981612" w:rsidRPr="004A3983">
        <w:rPr>
          <w:rStyle w:val="FootnoteReference"/>
          <w:rFonts w:ascii="Gotham Book" w:hAnsi="Gotham Book"/>
        </w:rPr>
        <w:footnoteReference w:id="59"/>
      </w:r>
      <w:r w:rsidR="00981612" w:rsidRPr="004A3983">
        <w:rPr>
          <w:rFonts w:ascii="Gotham Book" w:hAnsi="Gotham Book"/>
        </w:rPr>
        <w:t xml:space="preserve"> A</w:t>
      </w:r>
      <w:r w:rsidRPr="004A3983">
        <w:rPr>
          <w:rFonts w:ascii="Gotham Book" w:hAnsi="Gotham Book"/>
        </w:rPr>
        <w:t>t this point it can be said the person has be</w:t>
      </w:r>
      <w:r w:rsidR="00981612" w:rsidRPr="004A3983">
        <w:rPr>
          <w:rFonts w:ascii="Gotham Book" w:hAnsi="Gotham Book"/>
        </w:rPr>
        <w:t>en ‘placed on the Register’</w:t>
      </w:r>
      <w:r w:rsidRPr="004A3983">
        <w:rPr>
          <w:rFonts w:ascii="Gotham Book" w:hAnsi="Gotham Book"/>
        </w:rPr>
        <w:t xml:space="preserve">. The Registry officer will also calculate the person’s reporting period by identifying which formula </w:t>
      </w:r>
      <w:r w:rsidR="00AC788A" w:rsidRPr="004A3983">
        <w:rPr>
          <w:rFonts w:ascii="Gotham Book" w:hAnsi="Gotham Book"/>
        </w:rPr>
        <w:t xml:space="preserve">in the CPOR Act </w:t>
      </w:r>
      <w:r w:rsidRPr="004A3983">
        <w:rPr>
          <w:rFonts w:ascii="Gotham Book" w:hAnsi="Gotham Book"/>
        </w:rPr>
        <w:t>applies, and reco</w:t>
      </w:r>
      <w:r w:rsidR="002D5E80" w:rsidRPr="004A3983">
        <w:rPr>
          <w:rFonts w:ascii="Gotham Book" w:hAnsi="Gotham Book"/>
        </w:rPr>
        <w:t>rd the person’s reporting period in their</w:t>
      </w:r>
      <w:r w:rsidR="001E29A5" w:rsidRPr="004A3983">
        <w:rPr>
          <w:rFonts w:ascii="Gotham Book" w:hAnsi="Gotham Book"/>
        </w:rPr>
        <w:t xml:space="preserve"> COPS CPR case</w:t>
      </w:r>
      <w:r w:rsidRPr="004A3983">
        <w:rPr>
          <w:rFonts w:ascii="Gotham Book" w:hAnsi="Gotham Book"/>
        </w:rPr>
        <w:t>.</w:t>
      </w:r>
      <w:r w:rsidRPr="004A3983">
        <w:rPr>
          <w:rStyle w:val="FootnoteReference"/>
          <w:rFonts w:ascii="Gotham Book" w:hAnsi="Gotham Book"/>
        </w:rPr>
        <w:footnoteReference w:id="60"/>
      </w:r>
      <w:r w:rsidRPr="004A3983">
        <w:rPr>
          <w:rFonts w:ascii="Gotham Book" w:hAnsi="Gotham Book"/>
        </w:rPr>
        <w:t xml:space="preserve"> </w:t>
      </w:r>
    </w:p>
    <w:p w14:paraId="3D367A3E" w14:textId="10F0FC6A" w:rsidR="007F5A2F" w:rsidRPr="004A3983" w:rsidRDefault="00685513" w:rsidP="00846370">
      <w:pPr>
        <w:pStyle w:val="Heading2"/>
        <w:spacing w:after="160"/>
        <w:ind w:right="-2"/>
        <w:rPr>
          <w:rFonts w:ascii="Gotham Book" w:hAnsi="Gotham Book"/>
        </w:rPr>
      </w:pPr>
      <w:bookmarkStart w:id="128" w:name="_Ref9866645"/>
      <w:bookmarkStart w:id="129" w:name="_Toc22627745"/>
      <w:r w:rsidRPr="004A3983">
        <w:rPr>
          <w:rFonts w:ascii="Gotham Book" w:hAnsi="Gotham Book"/>
        </w:rPr>
        <w:t>Roles and responsibilities of officers in NSW Police Force local commands</w:t>
      </w:r>
      <w:bookmarkEnd w:id="128"/>
      <w:bookmarkEnd w:id="129"/>
    </w:p>
    <w:p w14:paraId="3B0C9235" w14:textId="79BEAFC0" w:rsidR="00685513" w:rsidRPr="004A3983" w:rsidRDefault="00685513" w:rsidP="00846370">
      <w:pPr>
        <w:spacing w:before="240" w:after="160"/>
        <w:ind w:right="-2"/>
        <w:rPr>
          <w:rFonts w:ascii="Gotham Book" w:hAnsi="Gotham Book"/>
        </w:rPr>
      </w:pPr>
      <w:r w:rsidRPr="004A3983">
        <w:rPr>
          <w:rFonts w:ascii="Gotham Book" w:hAnsi="Gotham Book"/>
        </w:rPr>
        <w:t xml:space="preserve">Once the Registry has placed a person on the Register, the monitoring and management of the registrable person </w:t>
      </w:r>
      <w:r w:rsidR="001120B0" w:rsidRPr="004A3983">
        <w:rPr>
          <w:rFonts w:ascii="Gotham Book" w:hAnsi="Gotham Book"/>
        </w:rPr>
        <w:t>generally</w:t>
      </w:r>
      <w:r w:rsidRPr="004A3983">
        <w:rPr>
          <w:rFonts w:ascii="Gotham Book" w:hAnsi="Gotham Book"/>
        </w:rPr>
        <w:t xml:space="preserve"> becomes the responsibility of officers in the Police Area Command or Police District (both referred to in this report </w:t>
      </w:r>
      <w:r w:rsidRPr="004A3983">
        <w:rPr>
          <w:rFonts w:ascii="Gotham Book" w:hAnsi="Gotham Book"/>
        </w:rPr>
        <w:lastRenderedPageBreak/>
        <w:t>as ‘local commands’) in which the registrable person makes their initial report.</w:t>
      </w:r>
      <w:r w:rsidRPr="004A3983">
        <w:rPr>
          <w:rStyle w:val="FootnoteReference"/>
          <w:rFonts w:ascii="Gotham Book" w:hAnsi="Gotham Book"/>
        </w:rPr>
        <w:footnoteReference w:id="61"/>
      </w:r>
      <w:r w:rsidRPr="004A3983">
        <w:rPr>
          <w:rFonts w:ascii="Gotham Book" w:hAnsi="Gotham Book"/>
        </w:rPr>
        <w:t xml:space="preserve"> </w:t>
      </w:r>
      <w:r w:rsidR="00581D10" w:rsidRPr="004A3983">
        <w:rPr>
          <w:rFonts w:ascii="Gotham Book" w:hAnsi="Gotham Book"/>
        </w:rPr>
        <w:t>Until</w:t>
      </w:r>
      <w:r w:rsidR="0042789D">
        <w:rPr>
          <w:rFonts w:ascii="Gotham Book" w:hAnsi="Gotham Book"/>
        </w:rPr>
        <w:t> </w:t>
      </w:r>
      <w:r w:rsidR="00581D10" w:rsidRPr="004A3983">
        <w:rPr>
          <w:rFonts w:ascii="Gotham Book" w:hAnsi="Gotham Book"/>
        </w:rPr>
        <w:t>recently there were no authorised</w:t>
      </w:r>
      <w:r w:rsidRPr="004A3983">
        <w:rPr>
          <w:rFonts w:ascii="Gotham Book" w:hAnsi="Gotham Book"/>
        </w:rPr>
        <w:t xml:space="preserve"> positions in local commands dedicated to the management of registrable persons in accordance with the CPOR Act. However</w:t>
      </w:r>
      <w:r w:rsidR="007B5B46" w:rsidRPr="004A3983">
        <w:rPr>
          <w:rFonts w:ascii="Gotham Book" w:hAnsi="Gotham Book"/>
        </w:rPr>
        <w:t xml:space="preserve"> in 2019</w:t>
      </w:r>
      <w:r w:rsidRPr="004A3983">
        <w:rPr>
          <w:rFonts w:ascii="Gotham Book" w:hAnsi="Gotham Book"/>
        </w:rPr>
        <w:t xml:space="preserve"> </w:t>
      </w:r>
      <w:r w:rsidR="00581D10" w:rsidRPr="004A3983">
        <w:rPr>
          <w:rFonts w:ascii="Gotham Book" w:hAnsi="Gotham Book"/>
        </w:rPr>
        <w:t xml:space="preserve">15 officers have been deployed to local commands for the specific purpose of managing registrable persons, and </w:t>
      </w:r>
      <w:r w:rsidR="00921342" w:rsidRPr="004A3983">
        <w:rPr>
          <w:rFonts w:ascii="Gotham Book" w:hAnsi="Gotham Book"/>
        </w:rPr>
        <w:t xml:space="preserve">the NSW Commissioner of Police has stated that </w:t>
      </w:r>
      <w:r w:rsidR="00581D10" w:rsidRPr="004A3983">
        <w:rPr>
          <w:rFonts w:ascii="Gotham Book" w:hAnsi="Gotham Book"/>
        </w:rPr>
        <w:t>more will be allocated over the next few years.</w:t>
      </w:r>
      <w:r w:rsidR="00921342" w:rsidRPr="004A3983">
        <w:rPr>
          <w:rStyle w:val="FootnoteReference"/>
          <w:rFonts w:ascii="Gotham Book" w:hAnsi="Gotham Book"/>
        </w:rPr>
        <w:footnoteReference w:id="62"/>
      </w:r>
      <w:r w:rsidR="00581D10" w:rsidRPr="004A3983">
        <w:rPr>
          <w:rFonts w:ascii="Gotham Book" w:hAnsi="Gotham Book"/>
        </w:rPr>
        <w:t xml:space="preserve"> </w:t>
      </w:r>
      <w:r w:rsidRPr="004A3983">
        <w:rPr>
          <w:rFonts w:ascii="Gotham Book" w:hAnsi="Gotham Book"/>
        </w:rPr>
        <w:t xml:space="preserve">This is discussed further </w:t>
      </w:r>
      <w:r w:rsidR="008E6AA9" w:rsidRPr="004A3983">
        <w:rPr>
          <w:rFonts w:ascii="Gotham Book" w:hAnsi="Gotham Book"/>
        </w:rPr>
        <w:t xml:space="preserve">in </w:t>
      </w:r>
      <w:r w:rsidR="003D152F" w:rsidRPr="004A3983">
        <w:rPr>
          <w:rFonts w:ascii="Gotham Book" w:hAnsi="Gotham Book"/>
        </w:rPr>
        <w:t xml:space="preserve">Chapter 5, </w:t>
      </w:r>
      <w:r w:rsidR="008E6AA9" w:rsidRPr="004A3983">
        <w:rPr>
          <w:rFonts w:ascii="Gotham Book" w:hAnsi="Gotham Book"/>
        </w:rPr>
        <w:t xml:space="preserve">section </w:t>
      </w:r>
      <w:r w:rsidR="008E6AA9" w:rsidRPr="004A3983">
        <w:rPr>
          <w:rFonts w:ascii="Gotham Book" w:hAnsi="Gotham Book"/>
        </w:rPr>
        <w:fldChar w:fldCharType="begin"/>
      </w:r>
      <w:r w:rsidR="008E6AA9" w:rsidRPr="004A3983">
        <w:rPr>
          <w:rFonts w:ascii="Gotham Book" w:hAnsi="Gotham Book"/>
        </w:rPr>
        <w:instrText xml:space="preserve"> REF _Ref9250595 \r \h </w:instrText>
      </w:r>
      <w:r w:rsidR="00776868" w:rsidRPr="004A3983">
        <w:rPr>
          <w:rFonts w:ascii="Gotham Book" w:hAnsi="Gotham Book"/>
        </w:rPr>
        <w:instrText xml:space="preserve"> \* MERGEFORMAT </w:instrText>
      </w:r>
      <w:r w:rsidR="008E6AA9" w:rsidRPr="004A3983">
        <w:rPr>
          <w:rFonts w:ascii="Gotham Book" w:hAnsi="Gotham Book"/>
        </w:rPr>
      </w:r>
      <w:r w:rsidR="008E6AA9" w:rsidRPr="004A3983">
        <w:rPr>
          <w:rFonts w:ascii="Gotham Book" w:hAnsi="Gotham Book"/>
        </w:rPr>
        <w:fldChar w:fldCharType="separate"/>
      </w:r>
      <w:r w:rsidR="00022664">
        <w:rPr>
          <w:rFonts w:ascii="Gotham Book" w:hAnsi="Gotham Book" w:hint="cs"/>
          <w:cs/>
        </w:rPr>
        <w:t>‎</w:t>
      </w:r>
      <w:r w:rsidR="00022664">
        <w:rPr>
          <w:rFonts w:ascii="Gotham Book" w:hAnsi="Gotham Book"/>
        </w:rPr>
        <w:t>5.6</w:t>
      </w:r>
      <w:r w:rsidR="008E6AA9" w:rsidRPr="004A3983">
        <w:rPr>
          <w:rFonts w:ascii="Gotham Book" w:hAnsi="Gotham Book"/>
        </w:rPr>
        <w:fldChar w:fldCharType="end"/>
      </w:r>
      <w:r w:rsidRPr="004A3983">
        <w:rPr>
          <w:rFonts w:ascii="Gotham Book" w:hAnsi="Gotham Book"/>
        </w:rPr>
        <w:t>.</w:t>
      </w:r>
    </w:p>
    <w:p w14:paraId="6C51D3D1" w14:textId="02D14150" w:rsidR="00685513" w:rsidRPr="004A3983" w:rsidRDefault="00685513" w:rsidP="00846370">
      <w:pPr>
        <w:spacing w:before="240" w:after="160"/>
        <w:ind w:right="-2"/>
        <w:rPr>
          <w:rFonts w:ascii="Gotham Book" w:hAnsi="Gotham Book"/>
        </w:rPr>
      </w:pPr>
      <w:r w:rsidRPr="004A3983">
        <w:rPr>
          <w:rFonts w:ascii="Gotham Book" w:hAnsi="Gotham Book"/>
        </w:rPr>
        <w:t>Officers in local commands are also involved in implementing the CPOR Act through conducting inspections of registrable persons’ residences under s 16C of the CPOR Act, and investigating and commencing prosecutions for breaches of reporting obligations. In conducting these tasks, the officers necessarily rely on the accuracy of</w:t>
      </w:r>
      <w:r w:rsidR="0042789D">
        <w:rPr>
          <w:rFonts w:ascii="Gotham Book" w:hAnsi="Gotham Book"/>
        </w:rPr>
        <w:t> </w:t>
      </w:r>
      <w:r w:rsidRPr="004A3983">
        <w:rPr>
          <w:rFonts w:ascii="Gotham Book" w:hAnsi="Gotham Book"/>
        </w:rPr>
        <w:t xml:space="preserve">the </w:t>
      </w:r>
      <w:r w:rsidR="00AD6CF8" w:rsidRPr="004A3983">
        <w:rPr>
          <w:rFonts w:ascii="Gotham Book" w:hAnsi="Gotham Book"/>
        </w:rPr>
        <w:t>information i</w:t>
      </w:r>
      <w:r w:rsidRPr="004A3983">
        <w:rPr>
          <w:rFonts w:ascii="Gotham Book" w:hAnsi="Gotham Book"/>
        </w:rPr>
        <w:t>n the Register.</w:t>
      </w:r>
    </w:p>
    <w:p w14:paraId="1A37ED97" w14:textId="4D633140" w:rsidR="00685513" w:rsidRPr="004A3983" w:rsidRDefault="00685513" w:rsidP="00846370">
      <w:pPr>
        <w:spacing w:before="240" w:after="160"/>
        <w:ind w:right="-2"/>
        <w:rPr>
          <w:rFonts w:ascii="Gotham Book" w:hAnsi="Gotham Book"/>
        </w:rPr>
      </w:pPr>
      <w:r w:rsidRPr="004A3983">
        <w:rPr>
          <w:rFonts w:ascii="Gotham Book" w:hAnsi="Gotham Book"/>
        </w:rPr>
        <w:t>The Registry take</w:t>
      </w:r>
      <w:r w:rsidR="00D31248" w:rsidRPr="004A3983">
        <w:rPr>
          <w:rFonts w:ascii="Gotham Book" w:hAnsi="Gotham Book"/>
        </w:rPr>
        <w:t>s</w:t>
      </w:r>
      <w:r w:rsidRPr="004A3983">
        <w:rPr>
          <w:rFonts w:ascii="Gotham Book" w:hAnsi="Gotham Book"/>
        </w:rPr>
        <w:t xml:space="preserve"> over responsibility for managing a registrable person if their reporting obligations need to be suspended, or if the person moves interstate and their file needs to be transferred to a different jurisdiction.</w:t>
      </w:r>
      <w:r w:rsidRPr="004A3983">
        <w:rPr>
          <w:rStyle w:val="FootnoteReference"/>
          <w:rFonts w:ascii="Gotham Book" w:hAnsi="Gotham Book"/>
        </w:rPr>
        <w:footnoteReference w:id="63"/>
      </w:r>
      <w:r w:rsidRPr="004A3983">
        <w:rPr>
          <w:rFonts w:ascii="Gotham Book" w:hAnsi="Gotham Book"/>
        </w:rPr>
        <w:t xml:space="preserve"> The Registry is also responsible for finalising all Register cases once a registrable person reaches the end</w:t>
      </w:r>
      <w:r w:rsidR="0042789D">
        <w:rPr>
          <w:rFonts w:ascii="Gotham Book" w:hAnsi="Gotham Book"/>
        </w:rPr>
        <w:t> </w:t>
      </w:r>
      <w:r w:rsidRPr="004A3983">
        <w:rPr>
          <w:rFonts w:ascii="Gotham Book" w:hAnsi="Gotham Book"/>
        </w:rPr>
        <w:t>of their reporting period.</w:t>
      </w:r>
      <w:r w:rsidRPr="004A3983">
        <w:rPr>
          <w:rStyle w:val="FootnoteReference"/>
          <w:rFonts w:ascii="Gotham Book" w:hAnsi="Gotham Book"/>
        </w:rPr>
        <w:footnoteReference w:id="64"/>
      </w:r>
      <w:r w:rsidRPr="004A3983">
        <w:rPr>
          <w:rFonts w:ascii="Gotham Book" w:hAnsi="Gotham Book"/>
        </w:rPr>
        <w:t xml:space="preserve"> </w:t>
      </w:r>
    </w:p>
    <w:p w14:paraId="6EA28CA6" w14:textId="439B28CD" w:rsidR="00685513" w:rsidRPr="004A3983" w:rsidRDefault="00685513" w:rsidP="00846370">
      <w:pPr>
        <w:spacing w:before="240" w:after="160"/>
        <w:ind w:right="-2"/>
        <w:rPr>
          <w:rFonts w:ascii="Gotham Book" w:hAnsi="Gotham Book"/>
        </w:rPr>
      </w:pPr>
      <w:r w:rsidRPr="004A3983">
        <w:rPr>
          <w:rFonts w:ascii="Gotham Book" w:hAnsi="Gotham Book"/>
        </w:rPr>
        <w:t xml:space="preserve">The Registry is also responsible for a growing list of additional tasks connected to the Register, as discussed in </w:t>
      </w:r>
      <w:r w:rsidR="00D16BD1" w:rsidRPr="004A3983">
        <w:rPr>
          <w:rFonts w:ascii="Gotham Book" w:hAnsi="Gotham Book"/>
        </w:rPr>
        <w:t xml:space="preserve">Chapter 5, </w:t>
      </w:r>
      <w:r w:rsidR="00CB44B8" w:rsidRPr="004A3983">
        <w:rPr>
          <w:rFonts w:ascii="Gotham Book" w:hAnsi="Gotham Book"/>
        </w:rPr>
        <w:t xml:space="preserve">section </w:t>
      </w:r>
      <w:r w:rsidR="00CB44B8" w:rsidRPr="004A3983">
        <w:rPr>
          <w:rFonts w:ascii="Gotham Book" w:hAnsi="Gotham Book"/>
        </w:rPr>
        <w:fldChar w:fldCharType="begin"/>
      </w:r>
      <w:r w:rsidR="00CB44B8" w:rsidRPr="004A3983">
        <w:rPr>
          <w:rFonts w:ascii="Gotham Book" w:hAnsi="Gotham Book"/>
        </w:rPr>
        <w:instrText xml:space="preserve"> REF _Ref9256167 \r \h </w:instrText>
      </w:r>
      <w:r w:rsidR="00A41362" w:rsidRPr="004A3983">
        <w:rPr>
          <w:rFonts w:ascii="Gotham Book" w:hAnsi="Gotham Book"/>
        </w:rPr>
        <w:instrText xml:space="preserve"> \* MERGEFORMAT </w:instrText>
      </w:r>
      <w:r w:rsidR="00CB44B8" w:rsidRPr="004A3983">
        <w:rPr>
          <w:rFonts w:ascii="Gotham Book" w:hAnsi="Gotham Book"/>
        </w:rPr>
      </w:r>
      <w:r w:rsidR="00CB44B8" w:rsidRPr="004A3983">
        <w:rPr>
          <w:rFonts w:ascii="Gotham Book" w:hAnsi="Gotham Book"/>
        </w:rPr>
        <w:fldChar w:fldCharType="separate"/>
      </w:r>
      <w:r w:rsidR="00022664">
        <w:rPr>
          <w:rFonts w:ascii="Gotham Book" w:hAnsi="Gotham Book" w:hint="cs"/>
          <w:cs/>
        </w:rPr>
        <w:t>‎</w:t>
      </w:r>
      <w:r w:rsidR="00022664">
        <w:rPr>
          <w:rFonts w:ascii="Gotham Book" w:hAnsi="Gotham Book"/>
        </w:rPr>
        <w:t>5.3</w:t>
      </w:r>
      <w:r w:rsidR="00CB44B8" w:rsidRPr="004A3983">
        <w:rPr>
          <w:rFonts w:ascii="Gotham Book" w:hAnsi="Gotham Book"/>
        </w:rPr>
        <w:fldChar w:fldCharType="end"/>
      </w:r>
      <w:r w:rsidRPr="004A3983">
        <w:rPr>
          <w:rFonts w:ascii="Gotham Book" w:hAnsi="Gotham Book"/>
        </w:rPr>
        <w:t>.</w:t>
      </w:r>
    </w:p>
    <w:p w14:paraId="3CC5F266" w14:textId="5F519C57" w:rsidR="00685513" w:rsidRPr="004A3983" w:rsidRDefault="00AF721D" w:rsidP="00846370">
      <w:pPr>
        <w:pStyle w:val="Heading2"/>
        <w:spacing w:after="160"/>
        <w:ind w:right="-2"/>
      </w:pPr>
      <w:bookmarkStart w:id="130" w:name="_Toc22627746"/>
      <w:r w:rsidRPr="004A3983">
        <w:t>Part of a national approach to registration of child sex offenders</w:t>
      </w:r>
      <w:bookmarkEnd w:id="130"/>
    </w:p>
    <w:p w14:paraId="52027B8F" w14:textId="78C5A9DF" w:rsidR="00F2681C" w:rsidRPr="004A3983" w:rsidRDefault="00F2681C" w:rsidP="00846370">
      <w:pPr>
        <w:spacing w:after="160"/>
        <w:ind w:right="-2"/>
        <w:rPr>
          <w:rFonts w:ascii="Gotham Book" w:hAnsi="Gotham Book"/>
        </w:rPr>
      </w:pPr>
      <w:r w:rsidRPr="004A3983">
        <w:rPr>
          <w:rFonts w:ascii="Gotham Book" w:hAnsi="Gotham Book"/>
        </w:rPr>
        <w:t>The CPOR Act is part of a national approach to the registration of offenders who commit sexual and other serious offences against children. Following N</w:t>
      </w:r>
      <w:r w:rsidR="00DF493C" w:rsidRPr="004A3983">
        <w:rPr>
          <w:rFonts w:ascii="Gotham Book" w:hAnsi="Gotham Book"/>
        </w:rPr>
        <w:t>ew South Wales’</w:t>
      </w:r>
      <w:r w:rsidRPr="004A3983">
        <w:rPr>
          <w:rFonts w:ascii="Gotham Book" w:hAnsi="Gotham Book"/>
        </w:rPr>
        <w:t xml:space="preserve"> lead, there are now similar, but not uniform, offender registration laws in all Australian states and territories.</w:t>
      </w:r>
      <w:r w:rsidRPr="004A3983">
        <w:rPr>
          <w:rStyle w:val="FootnoteReference"/>
          <w:rFonts w:ascii="Gotham Book" w:hAnsi="Gotham Book"/>
        </w:rPr>
        <w:footnoteReference w:id="65"/>
      </w:r>
      <w:r w:rsidRPr="004A3983">
        <w:rPr>
          <w:rFonts w:ascii="Gotham Book" w:hAnsi="Gotham Book"/>
        </w:rPr>
        <w:t xml:space="preserve"> </w:t>
      </w:r>
    </w:p>
    <w:p w14:paraId="444B0D6B" w14:textId="13144BC1" w:rsidR="00F2681C" w:rsidRPr="004A3983" w:rsidRDefault="00F2681C" w:rsidP="00846370">
      <w:pPr>
        <w:spacing w:after="160"/>
        <w:ind w:right="-2"/>
        <w:rPr>
          <w:rFonts w:ascii="Gotham Book" w:hAnsi="Gotham Book"/>
        </w:rPr>
      </w:pPr>
      <w:r w:rsidRPr="004A3983">
        <w:rPr>
          <w:rFonts w:ascii="Gotham Book" w:hAnsi="Gotham Book"/>
        </w:rPr>
        <w:t xml:space="preserve">These offender registration laws provide for mutual recognition of reporting obligations across jurisdictions. When an offender registered in one jurisdiction moves to a new jurisdiction while still </w:t>
      </w:r>
      <w:r w:rsidR="00340F3B" w:rsidRPr="004A3983">
        <w:rPr>
          <w:rFonts w:ascii="Gotham Book" w:hAnsi="Gotham Book"/>
        </w:rPr>
        <w:t>being required to report in the first jurisdiction</w:t>
      </w:r>
      <w:r w:rsidRPr="004A3983">
        <w:rPr>
          <w:rFonts w:ascii="Gotham Book" w:hAnsi="Gotham Book"/>
        </w:rPr>
        <w:t xml:space="preserve">, the registration law in the new jurisdiction will generally ‘pick up’ those obligations </w:t>
      </w:r>
      <w:r w:rsidRPr="004A3983">
        <w:rPr>
          <w:rFonts w:ascii="Gotham Book" w:hAnsi="Gotham Book"/>
        </w:rPr>
        <w:lastRenderedPageBreak/>
        <w:t>and require the person to comply with them in the new jurisdiction (in the CPOR Act these persons are referred to as ‘corresponding registrable persons’).</w:t>
      </w:r>
      <w:r w:rsidRPr="004A3983">
        <w:rPr>
          <w:rStyle w:val="FootnoteReference"/>
          <w:rFonts w:ascii="Gotham Book" w:hAnsi="Gotham Book"/>
        </w:rPr>
        <w:footnoteReference w:id="66"/>
      </w:r>
      <w:r w:rsidRPr="004A3983">
        <w:rPr>
          <w:rFonts w:ascii="Gotham Book" w:hAnsi="Gotham Book"/>
        </w:rPr>
        <w:t xml:space="preserve"> </w:t>
      </w:r>
    </w:p>
    <w:p w14:paraId="0E4E8E00" w14:textId="70735F9B" w:rsidR="00F2681C" w:rsidRPr="004A3983" w:rsidRDefault="00F2681C" w:rsidP="00846370">
      <w:pPr>
        <w:spacing w:after="160"/>
        <w:ind w:right="-2"/>
        <w:rPr>
          <w:rFonts w:ascii="Gotham Book" w:hAnsi="Gotham Book"/>
        </w:rPr>
      </w:pPr>
      <w:r w:rsidRPr="004A3983">
        <w:rPr>
          <w:rFonts w:ascii="Gotham Book" w:hAnsi="Gotham Book"/>
        </w:rPr>
        <w:t>There is also a national database of all offenders who are registered in Australia, called the Australian National Child Offender Register (</w:t>
      </w:r>
      <w:r w:rsidR="00DF40E5" w:rsidRPr="004A3983">
        <w:rPr>
          <w:rFonts w:ascii="Gotham Book" w:hAnsi="Gotham Book"/>
        </w:rPr>
        <w:t xml:space="preserve">the </w:t>
      </w:r>
      <w:r w:rsidRPr="004A3983">
        <w:rPr>
          <w:rFonts w:ascii="Gotham Book" w:hAnsi="Gotham Book"/>
        </w:rPr>
        <w:t>ANCOR).</w:t>
      </w:r>
      <w:r w:rsidRPr="004A3983">
        <w:rPr>
          <w:rStyle w:val="FootnoteReference"/>
          <w:rFonts w:ascii="Gotham Book" w:hAnsi="Gotham Book"/>
        </w:rPr>
        <w:footnoteReference w:id="67"/>
      </w:r>
      <w:r w:rsidRPr="004A3983">
        <w:rPr>
          <w:rFonts w:ascii="Gotham Book" w:hAnsi="Gotham Book"/>
        </w:rPr>
        <w:t xml:space="preserve"> Police in each jurisdiction have agreed to maintain the ANCOR by uploading and keeping up to date information about all the registrable persons in each of their jurisdictions, in accordance with minimum standards set out in national protocols.</w:t>
      </w:r>
      <w:r w:rsidRPr="004A3983">
        <w:rPr>
          <w:rStyle w:val="FootnoteReference"/>
          <w:rFonts w:ascii="Gotham Book" w:hAnsi="Gotham Book"/>
        </w:rPr>
        <w:footnoteReference w:id="68"/>
      </w:r>
      <w:r w:rsidRPr="004A3983">
        <w:rPr>
          <w:rFonts w:ascii="Gotham Book" w:hAnsi="Gotham Book"/>
        </w:rPr>
        <w:t xml:space="preserve"> The Registry is responsible for ensuring that the correct information fo</w:t>
      </w:r>
      <w:r w:rsidR="000914C9" w:rsidRPr="004A3983">
        <w:rPr>
          <w:rFonts w:ascii="Gotham Book" w:hAnsi="Gotham Book"/>
        </w:rPr>
        <w:t>r each registrable person in New South Wales</w:t>
      </w:r>
      <w:r w:rsidRPr="004A3983">
        <w:rPr>
          <w:rFonts w:ascii="Gotham Book" w:hAnsi="Gotham Book"/>
        </w:rPr>
        <w:t xml:space="preserve"> is entered into </w:t>
      </w:r>
      <w:r w:rsidR="00DF40E5" w:rsidRPr="004A3983">
        <w:rPr>
          <w:rFonts w:ascii="Gotham Book" w:hAnsi="Gotham Book"/>
        </w:rPr>
        <w:t xml:space="preserve">the </w:t>
      </w:r>
      <w:r w:rsidRPr="004A3983">
        <w:rPr>
          <w:rFonts w:ascii="Gotham Book" w:hAnsi="Gotham Book"/>
        </w:rPr>
        <w:t>ANCOR.</w:t>
      </w:r>
      <w:r w:rsidRPr="004A3983">
        <w:rPr>
          <w:rStyle w:val="FootnoteReference"/>
          <w:rFonts w:ascii="Gotham Book" w:hAnsi="Gotham Book"/>
        </w:rPr>
        <w:footnoteReference w:id="69"/>
      </w:r>
    </w:p>
    <w:p w14:paraId="76AA5E74" w14:textId="4337AA28" w:rsidR="00F2681C" w:rsidRPr="004A3983" w:rsidRDefault="00F2681C" w:rsidP="00846370">
      <w:pPr>
        <w:spacing w:after="160"/>
        <w:ind w:right="-2"/>
        <w:rPr>
          <w:rFonts w:ascii="Gotham Book" w:hAnsi="Gotham Book"/>
        </w:rPr>
      </w:pPr>
      <w:r w:rsidRPr="004A3983">
        <w:rPr>
          <w:rFonts w:ascii="Gotham Book" w:hAnsi="Gotham Book"/>
        </w:rPr>
        <w:t>The ANCOR enables authorised police officers to register, case manage and share information about registered offenders across jurisdictions.</w:t>
      </w:r>
      <w:r w:rsidRPr="004A3983">
        <w:rPr>
          <w:rStyle w:val="FootnoteReference"/>
          <w:rFonts w:ascii="Gotham Book" w:hAnsi="Gotham Book"/>
        </w:rPr>
        <w:footnoteReference w:id="70"/>
      </w:r>
      <w:r w:rsidRPr="004A3983">
        <w:rPr>
          <w:rFonts w:ascii="Gotham Book" w:hAnsi="Gotham Book"/>
        </w:rPr>
        <w:t xml:space="preserve"> </w:t>
      </w:r>
      <w:r w:rsidR="00377475" w:rsidRPr="004A3983">
        <w:rPr>
          <w:rFonts w:ascii="Gotham Book" w:hAnsi="Gotham Book"/>
        </w:rPr>
        <w:t>Members of t</w:t>
      </w:r>
      <w:r w:rsidRPr="004A3983">
        <w:rPr>
          <w:rFonts w:ascii="Gotham Book" w:hAnsi="Gotham Book"/>
        </w:rPr>
        <w:t>he public cannot access the ANCOR.</w:t>
      </w:r>
    </w:p>
    <w:p w14:paraId="76956E75" w14:textId="02577B9E" w:rsidR="008F5239" w:rsidRPr="004A3983" w:rsidRDefault="00F2681C" w:rsidP="005074D4">
      <w:pPr>
        <w:spacing w:after="160"/>
        <w:ind w:right="-2"/>
        <w:rPr>
          <w:rFonts w:ascii="Gotham Book" w:hAnsi="Gotham Book"/>
        </w:rPr>
      </w:pPr>
      <w:r w:rsidRPr="004A3983">
        <w:rPr>
          <w:rFonts w:ascii="Gotham Book" w:hAnsi="Gotham Book"/>
        </w:rPr>
        <w:t xml:space="preserve">While the NSW Police Force uses the ‘CPR’ section of </w:t>
      </w:r>
      <w:r w:rsidR="0047370D" w:rsidRPr="004A3983">
        <w:rPr>
          <w:rFonts w:ascii="Gotham Book" w:hAnsi="Gotham Book"/>
        </w:rPr>
        <w:t xml:space="preserve">its </w:t>
      </w:r>
      <w:r w:rsidRPr="004A3983">
        <w:rPr>
          <w:rFonts w:ascii="Gotham Book" w:hAnsi="Gotham Book"/>
        </w:rPr>
        <w:t xml:space="preserve">COPS as its primary recording system for the Register, police in other Australian jurisdictions use </w:t>
      </w:r>
      <w:r w:rsidR="00DF40E5" w:rsidRPr="004A3983">
        <w:rPr>
          <w:rFonts w:ascii="Gotham Book" w:hAnsi="Gotham Book"/>
        </w:rPr>
        <w:t xml:space="preserve">the </w:t>
      </w:r>
      <w:r w:rsidRPr="004A3983">
        <w:rPr>
          <w:rFonts w:ascii="Gotham Book" w:hAnsi="Gotham Book"/>
        </w:rPr>
        <w:t>ANCOR as their primary register, and do not have their own separate database. These jurisdictions therefore ‘rely heavily’ on the accuracy and consistency of the data inputted by the NSW Police Force</w:t>
      </w:r>
      <w:r w:rsidR="00023596" w:rsidRPr="004A3983">
        <w:rPr>
          <w:rFonts w:ascii="Gotham Book" w:hAnsi="Gotham Book"/>
        </w:rPr>
        <w:t xml:space="preserve"> into ANCOR</w:t>
      </w:r>
      <w:r w:rsidRPr="004A3983">
        <w:rPr>
          <w:rFonts w:ascii="Gotham Book" w:hAnsi="Gotham Book"/>
        </w:rPr>
        <w:t xml:space="preserve"> to identify and manage registrable persons who enter their jurisdictions</w:t>
      </w:r>
      <w:r w:rsidR="000914C9" w:rsidRPr="004A3983">
        <w:rPr>
          <w:rFonts w:ascii="Gotham Book" w:hAnsi="Gotham Book"/>
        </w:rPr>
        <w:t xml:space="preserve"> from New South Wales</w:t>
      </w:r>
      <w:r w:rsidRPr="004A3983">
        <w:rPr>
          <w:rFonts w:ascii="Gotham Book" w:hAnsi="Gotham Book"/>
        </w:rPr>
        <w:t>.</w:t>
      </w:r>
      <w:r w:rsidRPr="004A3983">
        <w:rPr>
          <w:rStyle w:val="FootnoteReference"/>
          <w:rFonts w:ascii="Gotham Book" w:hAnsi="Gotham Book"/>
        </w:rPr>
        <w:footnoteReference w:id="71"/>
      </w:r>
    </w:p>
    <w:p w14:paraId="2B34362E" w14:textId="77777777" w:rsidR="00986299" w:rsidRPr="004A3983" w:rsidRDefault="00986299" w:rsidP="005074D4">
      <w:pPr>
        <w:spacing w:after="160"/>
        <w:ind w:right="-2"/>
        <w:rPr>
          <w:rFonts w:ascii="Gotham Book" w:hAnsi="Gotham Book"/>
        </w:rPr>
        <w:sectPr w:rsidR="00986299" w:rsidRPr="004A3983" w:rsidSect="00C36AFD">
          <w:headerReference w:type="even" r:id="rId37"/>
          <w:headerReference w:type="default" r:id="rId38"/>
          <w:headerReference w:type="first" r:id="rId39"/>
          <w:footerReference w:type="first" r:id="rId40"/>
          <w:pgSz w:w="11906" w:h="16838" w:code="9"/>
          <w:pgMar w:top="720" w:right="1276" w:bottom="1418" w:left="1276" w:header="709" w:footer="567" w:gutter="0"/>
          <w:cols w:space="708"/>
          <w:titlePg/>
          <w:docGrid w:linePitch="360"/>
        </w:sectPr>
      </w:pPr>
    </w:p>
    <w:p w14:paraId="39C6688D" w14:textId="77777777" w:rsidR="00F018AC" w:rsidRPr="004A3983" w:rsidRDefault="00D929A2" w:rsidP="001C3982">
      <w:pPr>
        <w:pStyle w:val="Heading1"/>
        <w:framePr w:wrap="around"/>
      </w:pPr>
      <w:r w:rsidRPr="004A3983">
        <w:lastRenderedPageBreak/>
        <w:br w:type="page"/>
      </w:r>
      <w:r w:rsidR="00916D1F" w:rsidRPr="004A3983">
        <w:br/>
      </w:r>
      <w:bookmarkStart w:id="131" w:name="_Ref9430195"/>
      <w:bookmarkStart w:id="132" w:name="_Ref9615752"/>
      <w:bookmarkStart w:id="133" w:name="_Ref9935093"/>
      <w:bookmarkStart w:id="134" w:name="_Ref10040293"/>
      <w:bookmarkStart w:id="135" w:name="_Toc22627747"/>
      <w:r w:rsidR="002A18E6" w:rsidRPr="004A3983">
        <w:t>Nature</w:t>
      </w:r>
      <w:r w:rsidR="00717516" w:rsidRPr="004A3983">
        <w:t>, extent</w:t>
      </w:r>
      <w:r w:rsidR="002A18E6" w:rsidRPr="004A3983">
        <w:t xml:space="preserve"> and impact of Errors in the Registe</w:t>
      </w:r>
      <w:bookmarkEnd w:id="131"/>
      <w:bookmarkEnd w:id="132"/>
      <w:bookmarkEnd w:id="133"/>
      <w:bookmarkEnd w:id="134"/>
      <w:r w:rsidR="00E01350" w:rsidRPr="004A3983">
        <w:t>R</w:t>
      </w:r>
      <w:bookmarkEnd w:id="135"/>
    </w:p>
    <w:p w14:paraId="754B5D3F" w14:textId="55FDD382" w:rsidR="00083C8E" w:rsidRDefault="00083C8E" w:rsidP="000B620D">
      <w:pPr>
        <w:pStyle w:val="PersonsNames"/>
        <w:spacing w:after="160" w:line="259" w:lineRule="auto"/>
        <w:ind w:right="-2"/>
        <w:rPr>
          <w:b w:val="0"/>
          <w:sz w:val="24"/>
          <w:szCs w:val="24"/>
        </w:rPr>
      </w:pPr>
      <w:bookmarkStart w:id="136" w:name="_Toc520453459"/>
      <w:bookmarkStart w:id="137" w:name="_Toc520464846"/>
      <w:bookmarkStart w:id="138" w:name="_Toc522263715"/>
      <w:bookmarkStart w:id="139" w:name="_Toc522263989"/>
      <w:r>
        <w:rPr>
          <w:b w:val="0"/>
          <w:sz w:val="24"/>
          <w:szCs w:val="24"/>
        </w:rPr>
        <w:br w:type="page"/>
      </w:r>
    </w:p>
    <w:p w14:paraId="05A7F8B3" w14:textId="77777777" w:rsidR="007C5C42" w:rsidRPr="004A3983" w:rsidRDefault="007C5C42" w:rsidP="000B620D">
      <w:pPr>
        <w:pStyle w:val="PersonsNames"/>
        <w:spacing w:after="160" w:line="259" w:lineRule="auto"/>
        <w:ind w:right="-2"/>
        <w:rPr>
          <w:b w:val="0"/>
          <w:sz w:val="24"/>
          <w:szCs w:val="24"/>
        </w:rPr>
      </w:pPr>
    </w:p>
    <w:p w14:paraId="3189128A" w14:textId="6C30E767" w:rsidR="00B37A2F" w:rsidRPr="004A3983" w:rsidRDefault="008D262B" w:rsidP="006A1E39">
      <w:pPr>
        <w:pStyle w:val="Quotelarge"/>
      </w:pPr>
      <w:r w:rsidRPr="004A3983">
        <w:t>‘The [errors in the Register] are not attributable to a single officer, or single error that has been repeated constantly. There have been a number of combined human and systems errors that have occurred since the inception of</w:t>
      </w:r>
      <w:r w:rsidR="006A1E39">
        <w:t> </w:t>
      </w:r>
      <w:r w:rsidRPr="004A3983">
        <w:t>the [Register]. Whilst many such issues have been remedied along the way, some have continued throughout. Unfortunately these errors are widespread and impact heavily on the integrity and accuracy of [Register] records and management of child sex offenders who reside in the community.’</w:t>
      </w:r>
    </w:p>
    <w:p w14:paraId="4D013074" w14:textId="43B8AB96" w:rsidR="008D262B" w:rsidRPr="004A3983" w:rsidRDefault="000C7F99" w:rsidP="003A0C5F">
      <w:pPr>
        <w:pStyle w:val="QuotelargeAuthor"/>
      </w:pPr>
      <w:r w:rsidRPr="004A3983">
        <w:t>- Officer</w:t>
      </w:r>
      <w:r w:rsidR="008D262B" w:rsidRPr="004A3983">
        <w:t>, Child Protection Registry, NSW Police Force, May 2016</w:t>
      </w:r>
      <w:r w:rsidR="008D262B" w:rsidRPr="004A3983">
        <w:rPr>
          <w:vertAlign w:val="superscript"/>
        </w:rPr>
        <w:footnoteReference w:id="72"/>
      </w:r>
    </w:p>
    <w:p w14:paraId="2C5A63A6" w14:textId="339A998B" w:rsidR="002A18E6" w:rsidRPr="004A3983" w:rsidRDefault="008D262B" w:rsidP="000B620D">
      <w:pPr>
        <w:pStyle w:val="Heading2"/>
        <w:spacing w:after="160"/>
        <w:ind w:right="-2"/>
      </w:pPr>
      <w:bookmarkStart w:id="140" w:name="_Toc22627748"/>
      <w:r w:rsidRPr="004A3983">
        <w:t>Introduction</w:t>
      </w:r>
      <w:bookmarkEnd w:id="140"/>
    </w:p>
    <w:p w14:paraId="16D8DF2C" w14:textId="07A46B7B" w:rsidR="008D262B" w:rsidRPr="004A3983" w:rsidRDefault="008D262B" w:rsidP="000B620D">
      <w:pPr>
        <w:spacing w:after="160"/>
        <w:ind w:right="-2"/>
        <w:rPr>
          <w:rFonts w:ascii="Gotham Book" w:hAnsi="Gotham Book"/>
        </w:rPr>
      </w:pPr>
      <w:r w:rsidRPr="004A3983">
        <w:rPr>
          <w:rFonts w:ascii="Gotham Book" w:hAnsi="Gotham Book"/>
        </w:rPr>
        <w:t xml:space="preserve">The Commission’s investigation </w:t>
      </w:r>
      <w:r w:rsidR="00CE3DFC" w:rsidRPr="004A3983">
        <w:rPr>
          <w:rFonts w:ascii="Gotham Book" w:hAnsi="Gotham Book"/>
        </w:rPr>
        <w:t xml:space="preserve">has </w:t>
      </w:r>
      <w:r w:rsidRPr="004A3983">
        <w:rPr>
          <w:rFonts w:ascii="Gotham Book" w:hAnsi="Gotham Book"/>
        </w:rPr>
        <w:t>established that there have been problems with the NSW Child Protection Reg</w:t>
      </w:r>
      <w:r w:rsidR="005C2DA8" w:rsidRPr="004A3983">
        <w:rPr>
          <w:rFonts w:ascii="Gotham Book" w:hAnsi="Gotham Book"/>
        </w:rPr>
        <w:t>ister (the Register) for over 17</w:t>
      </w:r>
      <w:r w:rsidRPr="004A3983">
        <w:rPr>
          <w:rFonts w:ascii="Gotham Book" w:hAnsi="Gotham Book"/>
        </w:rPr>
        <w:t xml:space="preserve"> years. Substantive errors started occurring in the Register as early as 2002. </w:t>
      </w:r>
    </w:p>
    <w:p w14:paraId="3F06F5B1" w14:textId="71EA670E" w:rsidR="008D262B" w:rsidRPr="004A3983" w:rsidRDefault="008D262B" w:rsidP="000B620D">
      <w:pPr>
        <w:spacing w:after="160"/>
        <w:ind w:right="-2"/>
        <w:rPr>
          <w:rFonts w:ascii="Gotham Book" w:hAnsi="Gotham Book"/>
        </w:rPr>
      </w:pPr>
      <w:r w:rsidRPr="004A3983">
        <w:rPr>
          <w:rFonts w:ascii="Gotham Book" w:hAnsi="Gotham Book"/>
        </w:rPr>
        <w:t>The NSW Police Force has been aware for a number of years that there were significant errors in the Register. The Child Protection Registry (the Regi</w:t>
      </w:r>
      <w:r w:rsidR="00A004DF" w:rsidRPr="004A3983">
        <w:rPr>
          <w:rFonts w:ascii="Gotham Book" w:hAnsi="Gotham Book"/>
        </w:rPr>
        <w:t>stry)</w:t>
      </w:r>
      <w:r w:rsidRPr="004A3983">
        <w:rPr>
          <w:rFonts w:ascii="Gotham Book" w:hAnsi="Gotham Book"/>
        </w:rPr>
        <w:t xml:space="preserve"> has been internally reporting issues with the information in the Register, and emphasising the need for the NSW Police Force to address systemic issues, since at least 2014.</w:t>
      </w:r>
    </w:p>
    <w:p w14:paraId="7AABA27B" w14:textId="7FECE81E" w:rsidR="008D262B" w:rsidRPr="004A3983" w:rsidRDefault="008D262B" w:rsidP="000B620D">
      <w:pPr>
        <w:spacing w:after="160"/>
        <w:ind w:right="-2"/>
        <w:rPr>
          <w:rFonts w:ascii="Gotham Book" w:hAnsi="Gotham Book"/>
        </w:rPr>
      </w:pPr>
      <w:r w:rsidRPr="004A3983">
        <w:rPr>
          <w:rFonts w:ascii="Gotham Book" w:hAnsi="Gotham Book"/>
        </w:rPr>
        <w:t xml:space="preserve">After several reports from Registry staff, in 2016 the NSW Police Force initiated an internal review of </w:t>
      </w:r>
      <w:r w:rsidR="00C355E0" w:rsidRPr="004A3983">
        <w:rPr>
          <w:rFonts w:ascii="Gotham Book" w:hAnsi="Gotham Book"/>
        </w:rPr>
        <w:t>5,749</w:t>
      </w:r>
      <w:r w:rsidRPr="004A3983">
        <w:rPr>
          <w:rFonts w:ascii="Gotham Book" w:hAnsi="Gotham Book"/>
        </w:rPr>
        <w:t xml:space="preserve"> Register case files, referred to as the CPR case review. The CPR case review was finalised in October 2018, a year into our investigation. It found that 44 per cent of the Register case files had been affected by errors. The most significant errors involved incorrect decisions by the NSW Police Force </w:t>
      </w:r>
      <w:r w:rsidR="00412DCD" w:rsidRPr="004A3983">
        <w:rPr>
          <w:rFonts w:ascii="Gotham Book" w:hAnsi="Gotham Book"/>
        </w:rPr>
        <w:t>that certain</w:t>
      </w:r>
      <w:r w:rsidRPr="004A3983">
        <w:rPr>
          <w:rFonts w:ascii="Gotham Book" w:hAnsi="Gotham Book"/>
        </w:rPr>
        <w:t xml:space="preserve"> persons should be included on the Register, and in other cases incorrect decisions about how long persons were legally required to make reports of their personal information to police under the </w:t>
      </w:r>
      <w:r w:rsidRPr="004A3983">
        <w:rPr>
          <w:rFonts w:ascii="Gotham Book" w:hAnsi="Gotham Book"/>
          <w:i/>
        </w:rPr>
        <w:t>Child Protection (Offenders Registration) Act 2000</w:t>
      </w:r>
      <w:r w:rsidRPr="004A3983">
        <w:rPr>
          <w:rFonts w:ascii="Gotham Book" w:hAnsi="Gotham Book"/>
        </w:rPr>
        <w:t xml:space="preserve"> (NSW) (CPOR Act). </w:t>
      </w:r>
    </w:p>
    <w:p w14:paraId="785AB180" w14:textId="7D5F7A5B" w:rsidR="00E83434" w:rsidRPr="004A3983" w:rsidRDefault="007F5E84" w:rsidP="000B620D">
      <w:pPr>
        <w:spacing w:after="160"/>
        <w:ind w:right="-2"/>
        <w:rPr>
          <w:rFonts w:ascii="Gotham Book" w:hAnsi="Gotham Book"/>
        </w:rPr>
      </w:pPr>
      <w:r w:rsidRPr="004A3983">
        <w:rPr>
          <w:rFonts w:ascii="Gotham Book" w:hAnsi="Gotham Book"/>
        </w:rPr>
        <w:t>As a result of our investigation, t</w:t>
      </w:r>
      <w:r w:rsidR="00E83434" w:rsidRPr="004A3983">
        <w:rPr>
          <w:rFonts w:ascii="Gotham Book" w:hAnsi="Gotham Book"/>
        </w:rPr>
        <w:t xml:space="preserve">he NSW Police Force has also identified </w:t>
      </w:r>
      <w:r w:rsidRPr="004A3983">
        <w:rPr>
          <w:rFonts w:ascii="Gotham Book" w:hAnsi="Gotham Book"/>
        </w:rPr>
        <w:t xml:space="preserve">95 offenders </w:t>
      </w:r>
      <w:r w:rsidR="00352497" w:rsidRPr="004A3983">
        <w:rPr>
          <w:rFonts w:ascii="Gotham Book" w:hAnsi="Gotham Book"/>
        </w:rPr>
        <w:t>who it had incorrectly decided</w:t>
      </w:r>
      <w:r w:rsidR="00E83434" w:rsidRPr="004A3983">
        <w:rPr>
          <w:rFonts w:ascii="Gotham Book" w:hAnsi="Gotham Book"/>
        </w:rPr>
        <w:t xml:space="preserve"> </w:t>
      </w:r>
      <w:r w:rsidR="00352497" w:rsidRPr="004A3983">
        <w:rPr>
          <w:rFonts w:ascii="Gotham Book" w:hAnsi="Gotham Book"/>
        </w:rPr>
        <w:t xml:space="preserve">not </w:t>
      </w:r>
      <w:r w:rsidR="00A73334" w:rsidRPr="004A3983">
        <w:rPr>
          <w:rFonts w:ascii="Gotham Book" w:hAnsi="Gotham Book"/>
        </w:rPr>
        <w:t>to place</w:t>
      </w:r>
      <w:r w:rsidR="00352497" w:rsidRPr="004A3983">
        <w:rPr>
          <w:rFonts w:ascii="Gotham Book" w:hAnsi="Gotham Book"/>
        </w:rPr>
        <w:t xml:space="preserve"> on</w:t>
      </w:r>
      <w:r w:rsidR="00E83434" w:rsidRPr="004A3983">
        <w:rPr>
          <w:rFonts w:ascii="Gotham Book" w:hAnsi="Gotham Book"/>
        </w:rPr>
        <w:t xml:space="preserve"> the Register.</w:t>
      </w:r>
      <w:r w:rsidR="0094643E" w:rsidRPr="004A3983">
        <w:rPr>
          <w:rFonts w:ascii="Gotham Book" w:hAnsi="Gotham Book"/>
        </w:rPr>
        <w:t xml:space="preserve"> </w:t>
      </w:r>
      <w:r w:rsidRPr="004A3983">
        <w:rPr>
          <w:rFonts w:ascii="Gotham Book" w:hAnsi="Gotham Book"/>
        </w:rPr>
        <w:t>In addition to one other offender that the NSW Police Force had identified in 2016,</w:t>
      </w:r>
      <w:r w:rsidR="00412DCD" w:rsidRPr="004A3983">
        <w:rPr>
          <w:rFonts w:ascii="Gotham Book" w:hAnsi="Gotham Book"/>
        </w:rPr>
        <w:t xml:space="preserve"> this meant that </w:t>
      </w:r>
      <w:r w:rsidR="00352497" w:rsidRPr="004A3983">
        <w:rPr>
          <w:rFonts w:ascii="Gotham Book" w:hAnsi="Gotham Book"/>
        </w:rPr>
        <w:t xml:space="preserve">since 2001 </w:t>
      </w:r>
      <w:r w:rsidR="00412DCD" w:rsidRPr="004A3983">
        <w:rPr>
          <w:rFonts w:ascii="Gotham Book" w:hAnsi="Gotham Book"/>
        </w:rPr>
        <w:t>there have been a total of 96 offenders who</w:t>
      </w:r>
      <w:r w:rsidR="00352497" w:rsidRPr="004A3983">
        <w:rPr>
          <w:rFonts w:ascii="Gotham Book" w:hAnsi="Gotham Book"/>
        </w:rPr>
        <w:t xml:space="preserve"> the NSW P</w:t>
      </w:r>
      <w:r w:rsidR="006F26CD" w:rsidRPr="004A3983">
        <w:rPr>
          <w:rFonts w:ascii="Gotham Book" w:hAnsi="Gotham Book"/>
        </w:rPr>
        <w:t xml:space="preserve">olice Force </w:t>
      </w:r>
      <w:r w:rsidR="00352497" w:rsidRPr="004A3983">
        <w:rPr>
          <w:rFonts w:ascii="Gotham Book" w:hAnsi="Gotham Book"/>
        </w:rPr>
        <w:t>incorrectly left off the Register.</w:t>
      </w:r>
    </w:p>
    <w:p w14:paraId="1CE5FEF1" w14:textId="7FDA45D4" w:rsidR="008D262B" w:rsidRPr="004A3983" w:rsidRDefault="008D262B" w:rsidP="000B620D">
      <w:pPr>
        <w:spacing w:after="160"/>
        <w:ind w:right="-2"/>
        <w:rPr>
          <w:rFonts w:ascii="Gotham Book" w:hAnsi="Gotham Book"/>
        </w:rPr>
      </w:pPr>
      <w:r w:rsidRPr="004A3983">
        <w:rPr>
          <w:rFonts w:ascii="Gotham Book" w:hAnsi="Gotham Book"/>
        </w:rPr>
        <w:t>This chapter outlines the extent and nature of the errors that have occurred in</w:t>
      </w:r>
      <w:r w:rsidR="00A73334" w:rsidRPr="004A3983">
        <w:rPr>
          <w:rFonts w:ascii="Gotham Book" w:hAnsi="Gotham Book"/>
        </w:rPr>
        <w:t xml:space="preserve"> the Register over time. It</w:t>
      </w:r>
      <w:r w:rsidRPr="004A3983">
        <w:rPr>
          <w:rFonts w:ascii="Gotham Book" w:hAnsi="Gotham Book"/>
        </w:rPr>
        <w:t xml:space="preserve"> explores the serious consequences of these errors in certain cases. Some of these errors have resulted in child sex offenders being in the community without being monitored by the NSW Police Force under the CPOR Act.</w:t>
      </w:r>
      <w:r w:rsidR="00316EC8" w:rsidRPr="004A3983">
        <w:rPr>
          <w:rFonts w:ascii="Gotham Book" w:hAnsi="Gotham Book"/>
        </w:rPr>
        <w:t xml:space="preserve"> </w:t>
      </w:r>
      <w:r w:rsidRPr="004A3983">
        <w:rPr>
          <w:rFonts w:ascii="Gotham Book" w:hAnsi="Gotham Book"/>
        </w:rPr>
        <w:t>Errors in other cases have resulted in the NSW Police Force unlawfully requiring persons to report their person</w:t>
      </w:r>
      <w:r w:rsidR="0024624B" w:rsidRPr="004A3983">
        <w:rPr>
          <w:rFonts w:ascii="Gotham Book" w:hAnsi="Gotham Book"/>
        </w:rPr>
        <w:t xml:space="preserve">al information to police </w:t>
      </w:r>
      <w:r w:rsidRPr="004A3983">
        <w:rPr>
          <w:rFonts w:ascii="Gotham Book" w:hAnsi="Gotham Book"/>
        </w:rPr>
        <w:t>for a number of years. The case studies</w:t>
      </w:r>
      <w:r w:rsidR="002D1231" w:rsidRPr="004A3983">
        <w:rPr>
          <w:rFonts w:ascii="Gotham Book" w:hAnsi="Gotham Book"/>
        </w:rPr>
        <w:t xml:space="preserve"> incl</w:t>
      </w:r>
      <w:r w:rsidR="00316EC8" w:rsidRPr="004A3983">
        <w:rPr>
          <w:rFonts w:ascii="Gotham Book" w:hAnsi="Gotham Book"/>
        </w:rPr>
        <w:t>uded in this chapter illustrate</w:t>
      </w:r>
      <w:r w:rsidRPr="004A3983">
        <w:rPr>
          <w:rFonts w:ascii="Gotham Book" w:hAnsi="Gotham Book"/>
        </w:rPr>
        <w:t xml:space="preserve"> examples </w:t>
      </w:r>
      <w:r w:rsidR="00316EC8" w:rsidRPr="004A3983">
        <w:rPr>
          <w:rFonts w:ascii="Gotham Book" w:hAnsi="Gotham Book"/>
        </w:rPr>
        <w:t>of</w:t>
      </w:r>
      <w:r w:rsidRPr="004A3983">
        <w:rPr>
          <w:rFonts w:ascii="Gotham Book" w:hAnsi="Gotham Book"/>
        </w:rPr>
        <w:t xml:space="preserve"> individuals </w:t>
      </w:r>
      <w:r w:rsidR="00316EC8" w:rsidRPr="004A3983">
        <w:rPr>
          <w:rFonts w:ascii="Gotham Book" w:hAnsi="Gotham Book"/>
        </w:rPr>
        <w:t>being</w:t>
      </w:r>
      <w:r w:rsidRPr="004A3983">
        <w:rPr>
          <w:rFonts w:ascii="Gotham Book" w:hAnsi="Gotham Book"/>
        </w:rPr>
        <w:t xml:space="preserve"> wrongly charged, convicted and sentenced to imprisonment for breaching CPOR Act </w:t>
      </w:r>
      <w:r w:rsidRPr="004A3983">
        <w:rPr>
          <w:rFonts w:ascii="Gotham Book" w:hAnsi="Gotham Book"/>
        </w:rPr>
        <w:lastRenderedPageBreak/>
        <w:t>reporting obligations, when in fac</w:t>
      </w:r>
      <w:r w:rsidR="008546DF" w:rsidRPr="004A3983">
        <w:rPr>
          <w:rFonts w:ascii="Gotham Book" w:hAnsi="Gotham Book"/>
        </w:rPr>
        <w:t>t they did not have</w:t>
      </w:r>
      <w:r w:rsidRPr="004A3983">
        <w:rPr>
          <w:rFonts w:ascii="Gotham Book" w:hAnsi="Gotham Book"/>
        </w:rPr>
        <w:t xml:space="preserve"> any such obligations</w:t>
      </w:r>
      <w:r w:rsidR="008546DF" w:rsidRPr="004A3983">
        <w:rPr>
          <w:rFonts w:ascii="Gotham Book" w:hAnsi="Gotham Book"/>
        </w:rPr>
        <w:t xml:space="preserve"> under that Act</w:t>
      </w:r>
      <w:r w:rsidR="007A4D99" w:rsidRPr="004A3983">
        <w:rPr>
          <w:rFonts w:ascii="Gotham Book" w:hAnsi="Gotham Book"/>
        </w:rPr>
        <w:t xml:space="preserve"> at the relevant time</w:t>
      </w:r>
      <w:r w:rsidRPr="004A3983">
        <w:rPr>
          <w:rFonts w:ascii="Gotham Book" w:hAnsi="Gotham Book"/>
        </w:rPr>
        <w:t xml:space="preserve">. </w:t>
      </w:r>
    </w:p>
    <w:p w14:paraId="3DF50AA8" w14:textId="0B90D3B6" w:rsidR="008D262B" w:rsidRPr="004A3983" w:rsidRDefault="003C1DBF" w:rsidP="000B620D">
      <w:pPr>
        <w:spacing w:after="160"/>
        <w:ind w:right="-2"/>
        <w:rPr>
          <w:rFonts w:ascii="Gotham Book" w:hAnsi="Gotham Book"/>
        </w:rPr>
      </w:pPr>
      <w:r w:rsidRPr="004A3983">
        <w:rPr>
          <w:rFonts w:ascii="Gotham Book" w:hAnsi="Gotham Book"/>
        </w:rPr>
        <w:t>The</w:t>
      </w:r>
      <w:r w:rsidR="008D262B" w:rsidRPr="004A3983">
        <w:rPr>
          <w:rFonts w:ascii="Gotham Book" w:hAnsi="Gotham Book"/>
        </w:rPr>
        <w:t xml:space="preserve"> CPR case review team corrected the errors in the Register files </w:t>
      </w:r>
      <w:r w:rsidR="00316EC8" w:rsidRPr="004A3983">
        <w:rPr>
          <w:rFonts w:ascii="Gotham Book" w:hAnsi="Gotham Book"/>
        </w:rPr>
        <w:t>as they were identified.</w:t>
      </w:r>
      <w:r w:rsidR="008D262B" w:rsidRPr="004A3983">
        <w:rPr>
          <w:rFonts w:ascii="Gotham Book" w:hAnsi="Gotham Book"/>
        </w:rPr>
        <w:t xml:space="preserve"> </w:t>
      </w:r>
      <w:r w:rsidR="00A63A99" w:rsidRPr="004A3983">
        <w:rPr>
          <w:rFonts w:ascii="Gotham Book" w:hAnsi="Gotham Book"/>
        </w:rPr>
        <w:t xml:space="preserve">Chapter </w:t>
      </w:r>
      <w:r w:rsidR="00A63A99" w:rsidRPr="004A3983">
        <w:rPr>
          <w:rFonts w:ascii="Gotham Book" w:hAnsi="Gotham Book"/>
        </w:rPr>
        <w:fldChar w:fldCharType="begin"/>
      </w:r>
      <w:r w:rsidR="00A63A99" w:rsidRPr="004A3983">
        <w:rPr>
          <w:rFonts w:ascii="Gotham Book" w:hAnsi="Gotham Book"/>
        </w:rPr>
        <w:instrText xml:space="preserve"> REF _Ref9257971 \r \h </w:instrText>
      </w:r>
      <w:r w:rsidR="00390CD2" w:rsidRPr="004A3983">
        <w:rPr>
          <w:rFonts w:ascii="Gotham Book" w:hAnsi="Gotham Book"/>
        </w:rPr>
        <w:instrText xml:space="preserve"> \* MERGEFORMAT </w:instrText>
      </w:r>
      <w:r w:rsidR="00A63A99" w:rsidRPr="004A3983">
        <w:rPr>
          <w:rFonts w:ascii="Gotham Book" w:hAnsi="Gotham Book"/>
        </w:rPr>
      </w:r>
      <w:r w:rsidR="00A63A99" w:rsidRPr="004A3983">
        <w:rPr>
          <w:rFonts w:ascii="Gotham Book" w:hAnsi="Gotham Book"/>
        </w:rPr>
        <w:fldChar w:fldCharType="separate"/>
      </w:r>
      <w:r w:rsidR="00022664">
        <w:rPr>
          <w:rFonts w:ascii="Gotham Book" w:hAnsi="Gotham Book" w:hint="cs"/>
          <w:cs/>
        </w:rPr>
        <w:t>‎</w:t>
      </w:r>
      <w:r w:rsidR="00022664">
        <w:rPr>
          <w:rFonts w:ascii="Gotham Book" w:hAnsi="Gotham Book"/>
        </w:rPr>
        <w:t>4</w:t>
      </w:r>
      <w:r w:rsidR="00A63A99" w:rsidRPr="004A3983">
        <w:rPr>
          <w:rFonts w:ascii="Gotham Book" w:hAnsi="Gotham Book"/>
        </w:rPr>
        <w:fldChar w:fldCharType="end"/>
      </w:r>
      <w:r w:rsidR="008D262B" w:rsidRPr="004A3983">
        <w:rPr>
          <w:rFonts w:ascii="Gotham Book" w:hAnsi="Gotham Book"/>
        </w:rPr>
        <w:t xml:space="preserve"> </w:t>
      </w:r>
      <w:r w:rsidRPr="004A3983">
        <w:rPr>
          <w:rFonts w:ascii="Gotham Book" w:hAnsi="Gotham Book"/>
        </w:rPr>
        <w:t xml:space="preserve">considers </w:t>
      </w:r>
      <w:r w:rsidR="008D262B" w:rsidRPr="004A3983">
        <w:rPr>
          <w:rFonts w:ascii="Gotham Book" w:hAnsi="Gotham Book"/>
        </w:rPr>
        <w:t>what remedial action the NSW Police Force took in cases in which it had subjected persons to unlawful actions under the CPOR Act</w:t>
      </w:r>
      <w:r w:rsidR="00324558" w:rsidRPr="004A3983">
        <w:rPr>
          <w:rFonts w:ascii="Gotham Book" w:hAnsi="Gotham Book"/>
        </w:rPr>
        <w:t xml:space="preserve"> because of these errors</w:t>
      </w:r>
      <w:r w:rsidR="008D262B" w:rsidRPr="004A3983">
        <w:rPr>
          <w:rFonts w:ascii="Gotham Book" w:hAnsi="Gotham Book"/>
        </w:rPr>
        <w:t>.</w:t>
      </w:r>
    </w:p>
    <w:p w14:paraId="614BC940" w14:textId="43264E7B" w:rsidR="008D262B" w:rsidRPr="004A3983" w:rsidRDefault="008D262B" w:rsidP="000B620D">
      <w:pPr>
        <w:spacing w:after="160"/>
        <w:ind w:right="-2"/>
        <w:rPr>
          <w:rFonts w:ascii="Gotham Book" w:hAnsi="Gotham Book"/>
          <w:b/>
        </w:rPr>
      </w:pPr>
      <w:r w:rsidRPr="004A3983">
        <w:rPr>
          <w:rFonts w:ascii="Gotham Book" w:hAnsi="Gotham Book"/>
        </w:rPr>
        <w:t>This chapter contains the Commission’s findings in relation to the errors in the Register</w:t>
      </w:r>
      <w:r w:rsidR="009F2ADF" w:rsidRPr="004A3983">
        <w:rPr>
          <w:rFonts w:ascii="Gotham Book" w:hAnsi="Gotham Book"/>
        </w:rPr>
        <w:t>. In summary, the</w:t>
      </w:r>
      <w:r w:rsidR="009F2ADF" w:rsidRPr="004A3983">
        <w:rPr>
          <w:rFonts w:ascii="Gotham Book" w:hAnsi="Gotham Book"/>
          <w:b/>
        </w:rPr>
        <w:t xml:space="preserve"> </w:t>
      </w:r>
      <w:r w:rsidR="009F2ADF" w:rsidRPr="004A3983">
        <w:rPr>
          <w:rFonts w:ascii="Gotham Book" w:hAnsi="Gotham Book"/>
        </w:rPr>
        <w:t>Commission found that:</w:t>
      </w:r>
    </w:p>
    <w:p w14:paraId="177E2F89" w14:textId="005FBB4D" w:rsidR="008D262B" w:rsidRPr="004A3983" w:rsidRDefault="006E075A" w:rsidP="00FA61EC">
      <w:pPr>
        <w:pStyle w:val="ListBullet"/>
      </w:pPr>
      <w:r w:rsidRPr="004A3983">
        <w:t xml:space="preserve">The NSW Police Force has </w:t>
      </w:r>
      <w:r w:rsidR="009A089A" w:rsidRPr="004A3983">
        <w:t xml:space="preserve">since 2002 </w:t>
      </w:r>
      <w:r w:rsidR="00B52470" w:rsidRPr="004A3983">
        <w:t>made</w:t>
      </w:r>
      <w:r w:rsidR="008D262B" w:rsidRPr="004A3983">
        <w:t xml:space="preserve"> </w:t>
      </w:r>
      <w:r w:rsidR="00C03843" w:rsidRPr="004A3983">
        <w:t xml:space="preserve">over 700 </w:t>
      </w:r>
      <w:r w:rsidR="008D262B" w:rsidRPr="004A3983">
        <w:t xml:space="preserve">incorrect </w:t>
      </w:r>
      <w:r w:rsidR="007348F7" w:rsidRPr="004A3983">
        <w:t>decisions</w:t>
      </w:r>
      <w:r w:rsidR="001A57D4" w:rsidRPr="004A3983">
        <w:t>,</w:t>
      </w:r>
      <w:r w:rsidR="00870EC7" w:rsidRPr="004A3983">
        <w:t xml:space="preserve"> </w:t>
      </w:r>
      <w:r w:rsidR="001A57D4" w:rsidRPr="004A3983">
        <w:t xml:space="preserve">arising wholly or in part from mistakes of law or fact, </w:t>
      </w:r>
      <w:r w:rsidR="00870EC7" w:rsidRPr="004A3983">
        <w:t>as to whether certain individual</w:t>
      </w:r>
      <w:r w:rsidR="008D262B" w:rsidRPr="004A3983">
        <w:t>s were registrable persons under the CPOR Act</w:t>
      </w:r>
      <w:r w:rsidR="000F1905" w:rsidRPr="004A3983">
        <w:t>, or</w:t>
      </w:r>
      <w:r w:rsidR="00BF221D" w:rsidRPr="004A3983">
        <w:t xml:space="preserve"> about the length of </w:t>
      </w:r>
      <w:r w:rsidR="008D262B" w:rsidRPr="004A3983">
        <w:t>registra</w:t>
      </w:r>
      <w:r w:rsidRPr="004A3983">
        <w:t>ble persons’ reporting periods.</w:t>
      </w:r>
      <w:r w:rsidR="006F1F8B" w:rsidRPr="004A3983">
        <w:rPr>
          <w:rStyle w:val="FootnoteReference"/>
        </w:rPr>
        <w:footnoteReference w:id="73"/>
      </w:r>
      <w:r w:rsidR="008D262B" w:rsidRPr="004A3983">
        <w:t xml:space="preserve"> </w:t>
      </w:r>
    </w:p>
    <w:p w14:paraId="5EF2664C" w14:textId="34DCA88B" w:rsidR="008D262B" w:rsidRPr="004A3983" w:rsidRDefault="00283489" w:rsidP="00FA61EC">
      <w:pPr>
        <w:pStyle w:val="ListBullet"/>
      </w:pPr>
      <w:r w:rsidRPr="004A3983">
        <w:t xml:space="preserve">As </w:t>
      </w:r>
      <w:r w:rsidR="00C03843" w:rsidRPr="004A3983">
        <w:t>a result of these incorrect decisions, t</w:t>
      </w:r>
      <w:r w:rsidR="009C1934" w:rsidRPr="004A3983">
        <w:t>he NSW Police Force</w:t>
      </w:r>
      <w:r w:rsidR="002236F6" w:rsidRPr="004A3983">
        <w:t>:</w:t>
      </w:r>
    </w:p>
    <w:p w14:paraId="144B4F0C" w14:textId="66CD6B4F" w:rsidR="008D262B" w:rsidRPr="00FA61EC" w:rsidRDefault="008D262B" w:rsidP="00677139">
      <w:pPr>
        <w:pStyle w:val="ListBullet"/>
        <w:numPr>
          <w:ilvl w:val="1"/>
          <w:numId w:val="15"/>
        </w:numPr>
      </w:pPr>
      <w:r w:rsidRPr="004A3983">
        <w:t>unlawful</w:t>
      </w:r>
      <w:r w:rsidR="00C03843" w:rsidRPr="004A3983">
        <w:t>ly required</w:t>
      </w:r>
      <w:r w:rsidR="00DE5C71" w:rsidRPr="004A3983">
        <w:t xml:space="preserve"> </w:t>
      </w:r>
      <w:r w:rsidRPr="004A3983">
        <w:t>persons to report</w:t>
      </w:r>
      <w:r w:rsidR="009706A9" w:rsidRPr="004A3983">
        <w:t xml:space="preserve"> their personal information</w:t>
      </w:r>
      <w:r w:rsidR="00C03843" w:rsidRPr="004A3983">
        <w:t xml:space="preserve"> </w:t>
      </w:r>
      <w:r w:rsidR="00DE5C71" w:rsidRPr="004A3983">
        <w:t>to police</w:t>
      </w:r>
      <w:r w:rsidR="009C1934" w:rsidRPr="004A3983">
        <w:t xml:space="preserve"> for </w:t>
      </w:r>
      <w:r w:rsidR="009C1934" w:rsidRPr="00FA61EC">
        <w:t>a number of years</w:t>
      </w:r>
      <w:r w:rsidR="009706A9" w:rsidRPr="00FA61EC">
        <w:t>;</w:t>
      </w:r>
      <w:r w:rsidRPr="00FA61EC">
        <w:t xml:space="preserve"> </w:t>
      </w:r>
    </w:p>
    <w:p w14:paraId="5C3EE382" w14:textId="48F649C1" w:rsidR="002236F6" w:rsidRPr="00FA61EC" w:rsidRDefault="00B52470" w:rsidP="00677139">
      <w:pPr>
        <w:pStyle w:val="ListBullet"/>
        <w:numPr>
          <w:ilvl w:val="1"/>
          <w:numId w:val="15"/>
        </w:numPr>
      </w:pPr>
      <w:r w:rsidRPr="00FA61EC">
        <w:t>conducted</w:t>
      </w:r>
      <w:r w:rsidR="00C03843" w:rsidRPr="00FA61EC">
        <w:t xml:space="preserve"> unlawful inspections of persons</w:t>
      </w:r>
      <w:r w:rsidR="008D262B" w:rsidRPr="00FA61EC">
        <w:t xml:space="preserve"> homes</w:t>
      </w:r>
      <w:r w:rsidR="002236F6" w:rsidRPr="00FA61EC">
        <w:t>,</w:t>
      </w:r>
      <w:r w:rsidR="006F1F8B" w:rsidRPr="004239C8">
        <w:rPr>
          <w:rStyle w:val="FootnoteReference"/>
        </w:rPr>
        <w:footnoteReference w:id="74"/>
      </w:r>
      <w:r w:rsidR="002236F6" w:rsidRPr="00FA61EC">
        <w:t xml:space="preserve"> and</w:t>
      </w:r>
    </w:p>
    <w:p w14:paraId="68BE5DE3" w14:textId="22F3DA51" w:rsidR="003A76DC" w:rsidRPr="004A3983" w:rsidRDefault="00B52470" w:rsidP="00677139">
      <w:pPr>
        <w:pStyle w:val="ListBullet"/>
        <w:numPr>
          <w:ilvl w:val="1"/>
          <w:numId w:val="15"/>
        </w:numPr>
      </w:pPr>
      <w:r w:rsidRPr="00FA61EC">
        <w:t>charged</w:t>
      </w:r>
      <w:r w:rsidR="008D262B" w:rsidRPr="00FA61EC">
        <w:t xml:space="preserve"> </w:t>
      </w:r>
      <w:r w:rsidRPr="00FA61EC">
        <w:t>and</w:t>
      </w:r>
      <w:r w:rsidRPr="004A3983">
        <w:t xml:space="preserve"> arrested</w:t>
      </w:r>
      <w:r w:rsidR="00E51AD2" w:rsidRPr="004A3983">
        <w:t xml:space="preserve"> persons for failure to comply with reporting obligations</w:t>
      </w:r>
      <w:r w:rsidR="00BB1B87" w:rsidRPr="004A3983">
        <w:t>,</w:t>
      </w:r>
      <w:r w:rsidR="00E51AD2" w:rsidRPr="004A3983">
        <w:t xml:space="preserve"> or providing false or misleading information under the CPOR Act </w:t>
      </w:r>
      <w:r w:rsidR="008546DF" w:rsidRPr="004A3983">
        <w:t>when they were not under any</w:t>
      </w:r>
      <w:r w:rsidR="008D262B" w:rsidRPr="004A3983">
        <w:t xml:space="preserve"> obligation to report under that Act</w:t>
      </w:r>
      <w:r w:rsidR="00C03843" w:rsidRPr="004A3983">
        <w:t xml:space="preserve"> at the relevant time</w:t>
      </w:r>
      <w:r w:rsidR="008D262B" w:rsidRPr="004A3983">
        <w:t>.</w:t>
      </w:r>
      <w:r w:rsidR="006F1F8B" w:rsidRPr="004A3983">
        <w:rPr>
          <w:rStyle w:val="FootnoteReference"/>
        </w:rPr>
        <w:footnoteReference w:id="75"/>
      </w:r>
    </w:p>
    <w:p w14:paraId="3645EFAA" w14:textId="3267EA18" w:rsidR="007927C2" w:rsidRPr="004A3983" w:rsidRDefault="00BE616F" w:rsidP="007927C2">
      <w:pPr>
        <w:spacing w:after="160"/>
        <w:ind w:right="-2"/>
        <w:rPr>
          <w:rFonts w:ascii="Gotham Book" w:hAnsi="Gotham Book"/>
        </w:rPr>
      </w:pPr>
      <w:r w:rsidRPr="004A3983">
        <w:t>In the final section of this chapter we note the significant changes that the NSW Police Force has made since 2016 to improve its administration of the Register.</w:t>
      </w:r>
      <w:r w:rsidRPr="004A3983">
        <w:rPr>
          <w:rFonts w:ascii="Gotham Book" w:hAnsi="Gotham Book"/>
        </w:rPr>
        <w:t xml:space="preserve"> These </w:t>
      </w:r>
      <w:r w:rsidR="00746069" w:rsidRPr="004A3983">
        <w:rPr>
          <w:rFonts w:ascii="Gotham Book" w:hAnsi="Gotham Book"/>
        </w:rPr>
        <w:t>improvements</w:t>
      </w:r>
      <w:r w:rsidRPr="004A3983">
        <w:rPr>
          <w:rFonts w:ascii="Gotham Book" w:hAnsi="Gotham Book"/>
        </w:rPr>
        <w:t xml:space="preserve"> have substantially reduced </w:t>
      </w:r>
      <w:r w:rsidR="00274441" w:rsidRPr="004A3983">
        <w:rPr>
          <w:rFonts w:ascii="Gotham Book" w:hAnsi="Gotham Book"/>
        </w:rPr>
        <w:t>the number of errors</w:t>
      </w:r>
      <w:r w:rsidRPr="004A3983">
        <w:rPr>
          <w:rFonts w:ascii="Gotham Book" w:hAnsi="Gotham Book"/>
        </w:rPr>
        <w:t xml:space="preserve"> </w:t>
      </w:r>
      <w:r w:rsidR="00D8012B" w:rsidRPr="004A3983">
        <w:rPr>
          <w:rFonts w:ascii="Gotham Book" w:hAnsi="Gotham Book"/>
        </w:rPr>
        <w:t>in the Register, and made such errors less likely in future</w:t>
      </w:r>
      <w:r w:rsidRPr="004A3983">
        <w:rPr>
          <w:rFonts w:ascii="Gotham Book" w:hAnsi="Gotham Book"/>
        </w:rPr>
        <w:t>.</w:t>
      </w:r>
    </w:p>
    <w:p w14:paraId="747F8BC4" w14:textId="0402582D" w:rsidR="003308F7" w:rsidRPr="004A3983" w:rsidRDefault="003308F7" w:rsidP="000B620D">
      <w:pPr>
        <w:pStyle w:val="Heading2"/>
        <w:spacing w:after="160"/>
        <w:ind w:right="-2"/>
      </w:pPr>
      <w:bookmarkStart w:id="141" w:name="_Toc22627749"/>
      <w:r w:rsidRPr="004A3983">
        <w:t>Internal reports by Registry officers</w:t>
      </w:r>
      <w:bookmarkEnd w:id="141"/>
      <w:r w:rsidRPr="004A3983">
        <w:t xml:space="preserve"> </w:t>
      </w:r>
    </w:p>
    <w:p w14:paraId="2852CABF" w14:textId="17FFC089" w:rsidR="00465C98" w:rsidRPr="004A3983" w:rsidRDefault="00465C98" w:rsidP="000B620D">
      <w:pPr>
        <w:spacing w:after="160"/>
        <w:ind w:right="-2"/>
        <w:rPr>
          <w:rFonts w:ascii="Gotham Book" w:hAnsi="Gotham Book"/>
        </w:rPr>
      </w:pPr>
      <w:r w:rsidRPr="004A3983">
        <w:rPr>
          <w:rFonts w:ascii="Gotham Book" w:hAnsi="Gotham Book"/>
        </w:rPr>
        <w:t>From 2014, Registry officers started to formally raise concerns through the NSW Police Force chain of command about systemic issues affecting the accuracy of the Register. Between November 2014 and July 2016 officers in the Registry made at least 10 internal reports and submissions which warned of errors in the Register, and noted the risks to the community and the reputation of the NSW Police Force if the causes of the errors were not addressed.</w:t>
      </w:r>
      <w:r w:rsidRPr="004A3983">
        <w:rPr>
          <w:rStyle w:val="FootnoteReference"/>
          <w:rFonts w:ascii="Gotham Book" w:hAnsi="Gotham Book"/>
        </w:rPr>
        <w:footnoteReference w:id="76"/>
      </w:r>
      <w:r w:rsidR="00F77323" w:rsidRPr="004A3983">
        <w:rPr>
          <w:rFonts w:ascii="Gotham Book" w:hAnsi="Gotham Book"/>
        </w:rPr>
        <w:t xml:space="preserve"> </w:t>
      </w:r>
    </w:p>
    <w:p w14:paraId="1A3FEB4B" w14:textId="6A19DD55" w:rsidR="00465C98" w:rsidRPr="004A3983" w:rsidRDefault="00465C98" w:rsidP="000B620D">
      <w:pPr>
        <w:spacing w:after="160"/>
        <w:ind w:right="-2"/>
      </w:pPr>
      <w:r w:rsidRPr="004A3983">
        <w:rPr>
          <w:rFonts w:ascii="Gotham Book" w:hAnsi="Gotham Book"/>
        </w:rPr>
        <w:t xml:space="preserve">Many of these internal reports emphasised the need for more resources for the Registry. These reports noted the steady increase in the number of persons on the Register, and the increasingly unmanageable workload of the Registry </w:t>
      </w:r>
      <w:r w:rsidR="00F77493" w:rsidRPr="004A3983">
        <w:rPr>
          <w:rFonts w:ascii="Gotham Book" w:hAnsi="Gotham Book"/>
        </w:rPr>
        <w:t>(</w:t>
      </w:r>
      <w:r w:rsidRPr="004A3983">
        <w:rPr>
          <w:rFonts w:ascii="Gotham Book" w:hAnsi="Gotham Book"/>
        </w:rPr>
        <w:t xml:space="preserve">discussed in </w:t>
      </w:r>
      <w:r w:rsidR="009B7350" w:rsidRPr="004A3983">
        <w:rPr>
          <w:rFonts w:ascii="Gotham Book" w:hAnsi="Gotham Book"/>
        </w:rPr>
        <w:t xml:space="preserve">Chapter 5, </w:t>
      </w:r>
      <w:r w:rsidR="00AA5B8D" w:rsidRPr="004A3983">
        <w:rPr>
          <w:rFonts w:ascii="Gotham Book" w:hAnsi="Gotham Book"/>
        </w:rPr>
        <w:t xml:space="preserve">section </w:t>
      </w:r>
      <w:r w:rsidR="00AA5B8D" w:rsidRPr="004A3983">
        <w:rPr>
          <w:rFonts w:ascii="Gotham Book" w:hAnsi="Gotham Book"/>
        </w:rPr>
        <w:fldChar w:fldCharType="begin"/>
      </w:r>
      <w:r w:rsidR="00AA5B8D" w:rsidRPr="004A3983">
        <w:rPr>
          <w:rFonts w:ascii="Gotham Book" w:hAnsi="Gotham Book"/>
        </w:rPr>
        <w:instrText xml:space="preserve"> REF _Ref9258629 \r \h </w:instrText>
      </w:r>
      <w:r w:rsidR="008D1A2A" w:rsidRPr="004A3983">
        <w:rPr>
          <w:rFonts w:ascii="Gotham Book" w:hAnsi="Gotham Book"/>
        </w:rPr>
        <w:instrText xml:space="preserve"> \* MERGEFORMAT </w:instrText>
      </w:r>
      <w:r w:rsidR="00AA5B8D" w:rsidRPr="004A3983">
        <w:rPr>
          <w:rFonts w:ascii="Gotham Book" w:hAnsi="Gotham Book"/>
        </w:rPr>
      </w:r>
      <w:r w:rsidR="00AA5B8D" w:rsidRPr="004A3983">
        <w:rPr>
          <w:rFonts w:ascii="Gotham Book" w:hAnsi="Gotham Book"/>
        </w:rPr>
        <w:fldChar w:fldCharType="separate"/>
      </w:r>
      <w:r w:rsidR="00022664">
        <w:rPr>
          <w:rFonts w:ascii="Gotham Book" w:hAnsi="Gotham Book" w:hint="cs"/>
          <w:cs/>
        </w:rPr>
        <w:t>‎</w:t>
      </w:r>
      <w:r w:rsidR="00022664">
        <w:rPr>
          <w:rFonts w:ascii="Gotham Book" w:hAnsi="Gotham Book"/>
        </w:rPr>
        <w:t>5.2</w:t>
      </w:r>
      <w:r w:rsidR="00AA5B8D" w:rsidRPr="004A3983">
        <w:rPr>
          <w:rFonts w:ascii="Gotham Book" w:hAnsi="Gotham Book"/>
        </w:rPr>
        <w:fldChar w:fldCharType="end"/>
      </w:r>
      <w:r w:rsidR="00F77493" w:rsidRPr="004A3983">
        <w:rPr>
          <w:rFonts w:ascii="Gotham Book" w:hAnsi="Gotham Book"/>
        </w:rPr>
        <w:t>)</w:t>
      </w:r>
      <w:r w:rsidRPr="004A3983">
        <w:rPr>
          <w:rFonts w:ascii="Gotham Book" w:hAnsi="Gotham Book"/>
        </w:rPr>
        <w:t>.</w:t>
      </w:r>
      <w:r w:rsidRPr="004A3983">
        <w:t xml:space="preserve"> </w:t>
      </w:r>
    </w:p>
    <w:p w14:paraId="21326E12" w14:textId="77777777" w:rsidR="00465C98" w:rsidRPr="004A3983" w:rsidRDefault="00465C98" w:rsidP="000B620D">
      <w:pPr>
        <w:spacing w:after="160"/>
        <w:ind w:right="-2"/>
        <w:rPr>
          <w:rFonts w:ascii="Gotham Book" w:hAnsi="Gotham Book"/>
        </w:rPr>
      </w:pPr>
      <w:r w:rsidRPr="004A3983">
        <w:rPr>
          <w:rFonts w:ascii="Gotham Book" w:hAnsi="Gotham Book"/>
        </w:rPr>
        <w:lastRenderedPageBreak/>
        <w:t>Some of the key internal reports from the Registry which led to the CPR case review are summarised below.</w:t>
      </w:r>
    </w:p>
    <w:p w14:paraId="6720AD7E" w14:textId="54D57E50" w:rsidR="0041212C" w:rsidRPr="004A3983" w:rsidRDefault="0041212C" w:rsidP="000B620D">
      <w:pPr>
        <w:pStyle w:val="Heading3"/>
        <w:spacing w:after="160"/>
        <w:ind w:left="709" w:right="-2" w:hanging="709"/>
      </w:pPr>
      <w:bookmarkStart w:id="142" w:name="_Toc8913493"/>
      <w:bookmarkStart w:id="143" w:name="_Toc9428354"/>
      <w:bookmarkStart w:id="144" w:name="_Toc12020306"/>
      <w:bookmarkStart w:id="145" w:name="_Toc14790471"/>
      <w:bookmarkStart w:id="146" w:name="_Toc15478354"/>
      <w:bookmarkStart w:id="147" w:name="_Toc22627750"/>
      <w:r w:rsidRPr="004A3983">
        <w:t>Report of problems with electronic systems identifying when a registrable person was released from prison</w:t>
      </w:r>
      <w:bookmarkEnd w:id="142"/>
      <w:bookmarkEnd w:id="143"/>
      <w:bookmarkEnd w:id="144"/>
      <w:bookmarkEnd w:id="145"/>
      <w:bookmarkEnd w:id="146"/>
      <w:bookmarkEnd w:id="147"/>
    </w:p>
    <w:p w14:paraId="570A79FD" w14:textId="20F0F415" w:rsidR="0041212C" w:rsidRPr="004A3983" w:rsidRDefault="0041212C" w:rsidP="000B620D">
      <w:pPr>
        <w:spacing w:after="160"/>
        <w:ind w:right="-2"/>
        <w:rPr>
          <w:rFonts w:ascii="Gotham Book" w:hAnsi="Gotham Book"/>
        </w:rPr>
      </w:pPr>
      <w:r w:rsidRPr="004A3983">
        <w:rPr>
          <w:rFonts w:ascii="Gotham Book" w:hAnsi="Gotham Book"/>
        </w:rPr>
        <w:t>In September 2015, the Registry Manager requested ‘urgent assistance’ to address a</w:t>
      </w:r>
      <w:r w:rsidR="003A0C5F">
        <w:rPr>
          <w:rFonts w:ascii="Gotham Book" w:hAnsi="Gotham Book"/>
        </w:rPr>
        <w:t> </w:t>
      </w:r>
      <w:r w:rsidRPr="004A3983">
        <w:rPr>
          <w:rFonts w:ascii="Gotham Book" w:hAnsi="Gotham Book"/>
        </w:rPr>
        <w:t>problem in the electronic systems relied upon by the NSW Police Force to track when registered persons went in and out of custody.</w:t>
      </w:r>
      <w:r w:rsidRPr="004A3983">
        <w:rPr>
          <w:rFonts w:ascii="Gotham Book" w:hAnsi="Gotham Book"/>
          <w:vertAlign w:val="superscript"/>
        </w:rPr>
        <w:footnoteReference w:id="77"/>
      </w:r>
      <w:r w:rsidRPr="004A3983">
        <w:rPr>
          <w:rFonts w:ascii="Gotham Book" w:hAnsi="Gotham Book"/>
          <w:vertAlign w:val="superscript"/>
        </w:rPr>
        <w:t xml:space="preserve"> </w:t>
      </w:r>
      <w:r w:rsidRPr="004A3983">
        <w:rPr>
          <w:rFonts w:ascii="Gotham Book" w:hAnsi="Gotham Book"/>
        </w:rPr>
        <w:t>The Registry Manager reported that at least two registered sex offenders had been released into the community without police knowledge</w:t>
      </w:r>
      <w:r w:rsidR="00D12428" w:rsidRPr="004A3983">
        <w:rPr>
          <w:rFonts w:ascii="Gotham Book" w:hAnsi="Gotham Book"/>
        </w:rPr>
        <w:t>, because the NSW Police Force</w:t>
      </w:r>
      <w:r w:rsidRPr="004A3983">
        <w:rPr>
          <w:rFonts w:ascii="Gotham Book" w:hAnsi="Gotham Book"/>
        </w:rPr>
        <w:t xml:space="preserve"> Computerised Operational Policing System (COPS) had shown them as still being in prison with their reporting obligations suspended.</w:t>
      </w:r>
      <w:r w:rsidRPr="004A3983">
        <w:rPr>
          <w:rStyle w:val="FootnoteReference"/>
          <w:rFonts w:ascii="Gotham Book" w:hAnsi="Gotham Book"/>
        </w:rPr>
        <w:t xml:space="preserve"> </w:t>
      </w:r>
      <w:r w:rsidRPr="004A3983">
        <w:rPr>
          <w:rStyle w:val="FootnoteReference"/>
          <w:rFonts w:ascii="Gotham Book" w:hAnsi="Gotham Book"/>
        </w:rPr>
        <w:footnoteReference w:id="78"/>
      </w:r>
      <w:r w:rsidR="00DB272C" w:rsidRPr="004A3983">
        <w:rPr>
          <w:rFonts w:ascii="Gotham Book" w:hAnsi="Gotham Book"/>
        </w:rPr>
        <w:t xml:space="preserve"> </w:t>
      </w:r>
      <w:r w:rsidRPr="004A3983">
        <w:rPr>
          <w:rFonts w:ascii="Gotham Book" w:hAnsi="Gotham Book"/>
        </w:rPr>
        <w:t>He stated that it appeared there had been problems with these systems for years, and:</w:t>
      </w:r>
    </w:p>
    <w:p w14:paraId="63533ECB" w14:textId="4A7887F2" w:rsidR="0041212C" w:rsidRPr="003A0C5F" w:rsidRDefault="0041212C" w:rsidP="003A0C5F">
      <w:pPr>
        <w:pStyle w:val="Quotesmall1cm"/>
      </w:pPr>
      <w:r w:rsidRPr="003A0C5F">
        <w:t>it is unknown how many other Registrable Persons this may have affected … unless a full</w:t>
      </w:r>
      <w:r w:rsidR="003A0C5F">
        <w:t> </w:t>
      </w:r>
      <w:r w:rsidRPr="003A0C5F">
        <w:t>and comprehensive audit is conducted of every Registrable Per</w:t>
      </w:r>
      <w:r w:rsidR="00AF680C" w:rsidRPr="003A0C5F">
        <w:t>son to ever have the status of ‘Suspended in Custody’</w:t>
      </w:r>
      <w:r w:rsidRPr="003A0C5F">
        <w:t xml:space="preserve"> it is impossible to determine if any more discrepancies exist. As one could appreciate, this is a significant concern and risk to the NSWPF and the community in general.</w:t>
      </w:r>
      <w:r w:rsidRPr="003A0C5F">
        <w:rPr>
          <w:rStyle w:val="FootnoteReference"/>
        </w:rPr>
        <w:footnoteReference w:id="79"/>
      </w:r>
    </w:p>
    <w:p w14:paraId="1CAAA398" w14:textId="7DA35F6F" w:rsidR="0041212C" w:rsidRPr="004A3983" w:rsidRDefault="0041212C" w:rsidP="000B620D">
      <w:pPr>
        <w:pStyle w:val="Heading3"/>
        <w:spacing w:after="160"/>
        <w:ind w:left="709" w:right="-2" w:hanging="709"/>
      </w:pPr>
      <w:bookmarkStart w:id="148" w:name="_Toc8913494"/>
      <w:bookmarkStart w:id="149" w:name="_Toc9428355"/>
      <w:bookmarkStart w:id="150" w:name="_Toc12020307"/>
      <w:bookmarkStart w:id="151" w:name="_Toc14790472"/>
      <w:bookmarkStart w:id="152" w:name="_Toc15478355"/>
      <w:bookmarkStart w:id="153" w:name="_Toc22627751"/>
      <w:r w:rsidRPr="004A3983">
        <w:t>Report on errors of legal interpretation since start of the Register, and lack of quality assurance</w:t>
      </w:r>
      <w:bookmarkEnd w:id="148"/>
      <w:bookmarkEnd w:id="149"/>
      <w:bookmarkEnd w:id="150"/>
      <w:bookmarkEnd w:id="151"/>
      <w:bookmarkEnd w:id="152"/>
      <w:bookmarkEnd w:id="153"/>
    </w:p>
    <w:p w14:paraId="55244393" w14:textId="533C107E" w:rsidR="0041212C" w:rsidRPr="004A3983" w:rsidRDefault="0041212C" w:rsidP="000B620D">
      <w:pPr>
        <w:spacing w:after="160"/>
        <w:ind w:right="-2"/>
        <w:rPr>
          <w:rFonts w:ascii="Gotham Book" w:hAnsi="Gotham Book"/>
        </w:rPr>
      </w:pPr>
      <w:r w:rsidRPr="004A3983">
        <w:rPr>
          <w:rFonts w:ascii="Gotham Book" w:hAnsi="Gotham Book"/>
        </w:rPr>
        <w:t>On 16 October 2015, the Registry Manager reported that external legal advice revealed the NSW Police Force had been working from an erroneous interpretation of the formulas for calculating reporting periods in the CPOR Act.</w:t>
      </w:r>
      <w:r w:rsidRPr="004A3983">
        <w:rPr>
          <w:rStyle w:val="FootnoteReference"/>
          <w:rFonts w:ascii="Gotham Book" w:hAnsi="Gotham Book"/>
        </w:rPr>
        <w:footnoteReference w:id="80"/>
      </w:r>
      <w:r w:rsidRPr="004A3983">
        <w:rPr>
          <w:rFonts w:ascii="Gotham Book" w:hAnsi="Gotham Book"/>
        </w:rPr>
        <w:t xml:space="preserve"> This had been the practice of the NSW Police Force since the commencement of the Register in 2001, up until the advice was received in mid-2015.</w:t>
      </w:r>
      <w:r w:rsidRPr="004A3983">
        <w:rPr>
          <w:rStyle w:val="FootnoteReference"/>
          <w:rFonts w:ascii="Gotham Book" w:hAnsi="Gotham Book"/>
        </w:rPr>
        <w:footnoteReference w:id="81"/>
      </w:r>
      <w:r w:rsidRPr="004A3983">
        <w:rPr>
          <w:rFonts w:ascii="Gotham Book" w:hAnsi="Gotham Book"/>
        </w:rPr>
        <w:t xml:space="preserve"> The result was that registrable persons who had convictions for registrable offences which pre-dated the commencement of the Register had been given reporting periods which were years too short.</w:t>
      </w:r>
      <w:r w:rsidRPr="004A3983">
        <w:rPr>
          <w:rStyle w:val="FootnoteReference"/>
          <w:rFonts w:ascii="Gotham Book" w:hAnsi="Gotham Book"/>
        </w:rPr>
        <w:footnoteReference w:id="82"/>
      </w:r>
      <w:r w:rsidRPr="004A3983">
        <w:rPr>
          <w:rFonts w:ascii="Gotham Book" w:hAnsi="Gotham Book"/>
        </w:rPr>
        <w:t xml:space="preserve"> Th</w:t>
      </w:r>
      <w:r w:rsidR="000755D3" w:rsidRPr="004A3983">
        <w:rPr>
          <w:rFonts w:ascii="Gotham Book" w:hAnsi="Gotham Book"/>
        </w:rPr>
        <w:t>e Registry Manager reported</w:t>
      </w:r>
      <w:r w:rsidRPr="004A3983">
        <w:rPr>
          <w:rFonts w:ascii="Gotham Book" w:hAnsi="Gotham Book"/>
        </w:rPr>
        <w:t>:</w:t>
      </w:r>
    </w:p>
    <w:p w14:paraId="4336903E" w14:textId="7C84F2CB" w:rsidR="0041212C" w:rsidRPr="004A3983" w:rsidRDefault="0041212C" w:rsidP="003A0C5F">
      <w:pPr>
        <w:pStyle w:val="Quotesmall1cm"/>
      </w:pPr>
      <w:r w:rsidRPr="004A3983">
        <w:lastRenderedPageBreak/>
        <w:t>This is a significant issue to the organisation because it is not known how many Registrable Persons this will effect, and without a full and comprehensive audit on each and every person on the Register, and previously on the Register, it will not be known.</w:t>
      </w:r>
      <w:r w:rsidRPr="004A3983">
        <w:rPr>
          <w:rStyle w:val="FootnoteReference"/>
        </w:rPr>
        <w:footnoteReference w:id="83"/>
      </w:r>
      <w:r w:rsidRPr="004A3983">
        <w:t xml:space="preserve"> </w:t>
      </w:r>
    </w:p>
    <w:p w14:paraId="1F487929" w14:textId="77777777" w:rsidR="0041212C" w:rsidRPr="004A3983" w:rsidRDefault="0041212C" w:rsidP="000B620D">
      <w:pPr>
        <w:spacing w:after="160"/>
        <w:ind w:right="-2"/>
        <w:rPr>
          <w:rFonts w:ascii="Gotham Book" w:hAnsi="Gotham Book"/>
        </w:rPr>
      </w:pPr>
      <w:r w:rsidRPr="004A3983">
        <w:rPr>
          <w:rFonts w:ascii="Gotham Book" w:hAnsi="Gotham Book" w:cs="Arial"/>
        </w:rPr>
        <w:t>The Registry Manager also reported that due to the increasing workload of maintaining the Register, the Registry only had capacity for ‘</w:t>
      </w:r>
      <w:r w:rsidRPr="004A3983">
        <w:rPr>
          <w:rFonts w:ascii="Gotham Book" w:hAnsi="Gotham Book"/>
        </w:rPr>
        <w:t>minimal supervisory and quality control checks’ to ensure accuracy in its work.</w:t>
      </w:r>
      <w:r w:rsidRPr="004A3983">
        <w:rPr>
          <w:rStyle w:val="FootnoteReference"/>
          <w:rFonts w:ascii="Gotham Book" w:hAnsi="Gotham Book"/>
        </w:rPr>
        <w:footnoteReference w:id="84"/>
      </w:r>
      <w:r w:rsidRPr="004A3983">
        <w:rPr>
          <w:rFonts w:ascii="Gotham Book" w:hAnsi="Gotham Book"/>
        </w:rPr>
        <w:t xml:space="preserve"> This had led to registrable persons ‘not being registered correctly (if at all) and issues identified with reporting periods and obligations’.</w:t>
      </w:r>
      <w:r w:rsidRPr="004A3983">
        <w:rPr>
          <w:rStyle w:val="FootnoteReference"/>
          <w:rFonts w:ascii="Gotham Book" w:hAnsi="Gotham Book"/>
        </w:rPr>
        <w:footnoteReference w:id="85"/>
      </w:r>
      <w:r w:rsidRPr="004A3983">
        <w:rPr>
          <w:rFonts w:ascii="Gotham Book" w:hAnsi="Gotham Book"/>
        </w:rPr>
        <w:t xml:space="preserve"> The Registry Manager reported that the Registry needed ‘proper staffing and resourcing of the unit, to enable staff to effectively perform their duties and minimise risks to the organisation and the community as a whole’.</w:t>
      </w:r>
      <w:r w:rsidRPr="004A3983">
        <w:rPr>
          <w:rStyle w:val="FootnoteReference"/>
          <w:rFonts w:ascii="Gotham Book" w:hAnsi="Gotham Book"/>
        </w:rPr>
        <w:footnoteReference w:id="86"/>
      </w:r>
      <w:r w:rsidRPr="004A3983">
        <w:rPr>
          <w:rFonts w:ascii="Gotham Book" w:hAnsi="Gotham Book"/>
        </w:rPr>
        <w:t xml:space="preserve"> He requested an independent assessment of the workload of the Registry.</w:t>
      </w:r>
    </w:p>
    <w:p w14:paraId="179E0BE6" w14:textId="0F3CF175" w:rsidR="0041212C" w:rsidRPr="004A3983" w:rsidRDefault="0041212C" w:rsidP="000B620D">
      <w:pPr>
        <w:pStyle w:val="Heading3"/>
        <w:spacing w:after="160"/>
        <w:ind w:left="709" w:right="-2" w:hanging="709"/>
      </w:pPr>
      <w:bookmarkStart w:id="154" w:name="_Toc8913495"/>
      <w:bookmarkStart w:id="155" w:name="_Toc9428356"/>
      <w:bookmarkStart w:id="156" w:name="_Toc12020308"/>
      <w:bookmarkStart w:id="157" w:name="_Toc14790473"/>
      <w:bookmarkStart w:id="158" w:name="_Toc15478356"/>
      <w:bookmarkStart w:id="159" w:name="_Toc22627752"/>
      <w:r w:rsidRPr="004A3983">
        <w:t>Report of ‘serious concerns’ regarding incorrect finalisation of Register cases, resulting in need for review of all cases</w:t>
      </w:r>
      <w:bookmarkEnd w:id="154"/>
      <w:bookmarkEnd w:id="155"/>
      <w:bookmarkEnd w:id="156"/>
      <w:bookmarkEnd w:id="157"/>
      <w:bookmarkEnd w:id="158"/>
      <w:bookmarkEnd w:id="159"/>
    </w:p>
    <w:p w14:paraId="6BA2913D" w14:textId="53CD668A" w:rsidR="0041212C" w:rsidRPr="004A3983" w:rsidRDefault="0041212C" w:rsidP="000B620D">
      <w:pPr>
        <w:spacing w:after="160"/>
        <w:ind w:right="-2"/>
        <w:rPr>
          <w:rFonts w:ascii="Gotham Book" w:hAnsi="Gotham Book"/>
        </w:rPr>
      </w:pPr>
      <w:r w:rsidRPr="004A3983">
        <w:rPr>
          <w:rFonts w:ascii="Gotham Book" w:hAnsi="Gotham Book"/>
        </w:rPr>
        <w:t>On 26 May 2016, a</w:t>
      </w:r>
      <w:r w:rsidR="00E95D9D" w:rsidRPr="004A3983">
        <w:rPr>
          <w:rFonts w:ascii="Gotham Book" w:hAnsi="Gotham Book"/>
        </w:rPr>
        <w:t>n officer</w:t>
      </w:r>
      <w:r w:rsidRPr="004A3983">
        <w:rPr>
          <w:rFonts w:ascii="Gotham Book" w:hAnsi="Gotham Book"/>
        </w:rPr>
        <w:t xml:space="preserve"> in the Registry submitted a detailed report about ‘serious concerns’ regarding the Register.</w:t>
      </w:r>
      <w:r w:rsidRPr="004A3983">
        <w:rPr>
          <w:rStyle w:val="FootnoteReference"/>
          <w:rFonts w:ascii="Gotham Book" w:hAnsi="Gotham Book"/>
        </w:rPr>
        <w:footnoteReference w:id="87"/>
      </w:r>
      <w:r w:rsidR="00E95D9D" w:rsidRPr="004A3983">
        <w:rPr>
          <w:rFonts w:ascii="Gotham Book" w:hAnsi="Gotham Book"/>
        </w:rPr>
        <w:t xml:space="preserve"> The officer</w:t>
      </w:r>
      <w:r w:rsidRPr="004A3983">
        <w:rPr>
          <w:rFonts w:ascii="Gotham Book" w:hAnsi="Gotham Book"/>
        </w:rPr>
        <w:t xml:space="preserve"> reported that since the start of the Register, the Registry had been relying on a function in COPS which automatically closed a registrable person’s case when the date recorded for the end of their reporting </w:t>
      </w:r>
      <w:r w:rsidR="003735B3" w:rsidRPr="004A3983">
        <w:rPr>
          <w:rFonts w:ascii="Gotham Book" w:hAnsi="Gotham Book"/>
        </w:rPr>
        <w:t xml:space="preserve">period </w:t>
      </w:r>
      <w:r w:rsidRPr="004A3983">
        <w:rPr>
          <w:rFonts w:ascii="Gotham Book" w:hAnsi="Gotham Book"/>
        </w:rPr>
        <w:t>was reached, without any input from Registry staff.</w:t>
      </w:r>
      <w:r w:rsidRPr="004A3983">
        <w:rPr>
          <w:rStyle w:val="FootnoteReference"/>
          <w:rFonts w:ascii="Gotham Book" w:hAnsi="Gotham Book"/>
        </w:rPr>
        <w:footnoteReference w:id="88"/>
      </w:r>
      <w:r w:rsidRPr="004A3983">
        <w:rPr>
          <w:rFonts w:ascii="Gotham Book" w:hAnsi="Gotham Book"/>
        </w:rPr>
        <w:t xml:space="preserve"> </w:t>
      </w:r>
      <w:r w:rsidR="00E95D9D" w:rsidRPr="004A3983">
        <w:rPr>
          <w:rFonts w:ascii="Gotham Book" w:hAnsi="Gotham Book"/>
        </w:rPr>
        <w:t>The officer</w:t>
      </w:r>
      <w:r w:rsidRPr="004A3983">
        <w:rPr>
          <w:rFonts w:ascii="Gotham Book" w:hAnsi="Gotham Book"/>
        </w:rPr>
        <w:t xml:space="preserve"> noted that, as a result:</w:t>
      </w:r>
    </w:p>
    <w:p w14:paraId="6DF2FF5C" w14:textId="6C325390" w:rsidR="0041212C" w:rsidRPr="004A3983" w:rsidRDefault="0041212C" w:rsidP="003A0C5F">
      <w:pPr>
        <w:pStyle w:val="Quotesmall1cm"/>
      </w:pPr>
      <w:r w:rsidRPr="004A3983">
        <w:t>There has been no process in place to conduct a manual/human review of the case prior to finalisation to ensure the reporting period end date is accurately reflected, and that all periods of incarceration, travel and other variables are taken into consideration before the case is finalised.</w:t>
      </w:r>
      <w:r w:rsidRPr="004A3983">
        <w:rPr>
          <w:rStyle w:val="FootnoteReference"/>
        </w:rPr>
        <w:footnoteReference w:id="89"/>
      </w:r>
      <w:r w:rsidRPr="004A3983">
        <w:t xml:space="preserve"> </w:t>
      </w:r>
    </w:p>
    <w:p w14:paraId="67E5B1E7" w14:textId="7038FE39" w:rsidR="0041212C" w:rsidRPr="004A3983" w:rsidRDefault="0041212C" w:rsidP="000B620D">
      <w:pPr>
        <w:spacing w:after="160"/>
        <w:ind w:right="-2"/>
        <w:rPr>
          <w:rFonts w:ascii="Gotham Book" w:hAnsi="Gotham Book"/>
        </w:rPr>
      </w:pPr>
      <w:r w:rsidRPr="004A3983">
        <w:rPr>
          <w:rFonts w:ascii="Gotham Book" w:hAnsi="Gotham Book"/>
        </w:rPr>
        <w:t xml:space="preserve">The </w:t>
      </w:r>
      <w:r w:rsidR="00E95D9D" w:rsidRPr="004A3983">
        <w:rPr>
          <w:rFonts w:ascii="Gotham Book" w:hAnsi="Gotham Book"/>
        </w:rPr>
        <w:t>officer</w:t>
      </w:r>
      <w:r w:rsidRPr="004A3983">
        <w:rPr>
          <w:rFonts w:ascii="Gotham Book" w:hAnsi="Gotham Book"/>
        </w:rPr>
        <w:t xml:space="preserve"> commented that the situation of having Register cases auto-finalise without any manual review was ‘seriously flawed’, given the identified problems with the electronic systems for tracking offenders when they leave prison, and errors of legal interpretation affecting the calculation of reporting periods.</w:t>
      </w:r>
      <w:r w:rsidRPr="004A3983">
        <w:rPr>
          <w:rStyle w:val="FootnoteReference"/>
          <w:rFonts w:ascii="Gotham Book" w:hAnsi="Gotham Book"/>
        </w:rPr>
        <w:footnoteReference w:id="90"/>
      </w:r>
      <w:r w:rsidRPr="004A3983">
        <w:rPr>
          <w:rFonts w:ascii="Gotham Book" w:hAnsi="Gotham Book"/>
        </w:rPr>
        <w:t xml:space="preserve"> He reported that ‘there are a number of examples where a combination of both human error and systems error have seen a registered person's removal from the register far earlier </w:t>
      </w:r>
      <w:r w:rsidR="00F511A8" w:rsidRPr="004A3983">
        <w:rPr>
          <w:rFonts w:ascii="Gotham Book" w:hAnsi="Gotham Book"/>
        </w:rPr>
        <w:t xml:space="preserve">[than] </w:t>
      </w:r>
      <w:r w:rsidRPr="004A3983">
        <w:rPr>
          <w:rFonts w:ascii="Gotham Book" w:hAnsi="Gotham Book"/>
        </w:rPr>
        <w:t>they should have been’, and provided specific cases.</w:t>
      </w:r>
      <w:r w:rsidRPr="004A3983">
        <w:rPr>
          <w:rStyle w:val="FootnoteReference"/>
          <w:rFonts w:ascii="Gotham Book" w:hAnsi="Gotham Book"/>
        </w:rPr>
        <w:footnoteReference w:id="91"/>
      </w:r>
      <w:r w:rsidRPr="004A3983">
        <w:rPr>
          <w:rFonts w:ascii="Gotham Book" w:hAnsi="Gotham Book"/>
        </w:rPr>
        <w:t xml:space="preserve"> </w:t>
      </w:r>
    </w:p>
    <w:p w14:paraId="40AC0EE5" w14:textId="211F9D77" w:rsidR="0041212C" w:rsidRPr="004A3983" w:rsidRDefault="00E95D9D" w:rsidP="000B620D">
      <w:pPr>
        <w:autoSpaceDE w:val="0"/>
        <w:autoSpaceDN w:val="0"/>
        <w:spacing w:after="160"/>
        <w:ind w:right="-2"/>
        <w:rPr>
          <w:rFonts w:ascii="Gotham Book" w:hAnsi="Gotham Book"/>
        </w:rPr>
      </w:pPr>
      <w:r w:rsidRPr="004A3983">
        <w:rPr>
          <w:rFonts w:ascii="Gotham Book" w:hAnsi="Gotham Book"/>
        </w:rPr>
        <w:lastRenderedPageBreak/>
        <w:t>The officer</w:t>
      </w:r>
      <w:r w:rsidR="0041212C" w:rsidRPr="004A3983">
        <w:rPr>
          <w:rFonts w:ascii="Gotham Book" w:hAnsi="Gotham Book"/>
        </w:rPr>
        <w:t xml:space="preserve"> commented that, based on a dip sample of 28 Register cases that revealed 11 were incorrect: </w:t>
      </w:r>
    </w:p>
    <w:p w14:paraId="396773F1" w14:textId="78D12FD3" w:rsidR="0041212C" w:rsidRPr="004A3983" w:rsidRDefault="0041212C" w:rsidP="003A0C5F">
      <w:pPr>
        <w:pStyle w:val="Quotesmall1cm"/>
      </w:pPr>
      <w:r w:rsidRPr="004A3983">
        <w:t>it stands to reason that there is an unacceptable quantity of finalised cases where [registrable persons] are still required by legislation to abide by reporting obligations. Similarly, there are persons who remain on the register who have long since fulfilled their legislated responsibilities under the Act. The risk to the organisation is obvious.</w:t>
      </w:r>
      <w:r w:rsidRPr="004A3983">
        <w:rPr>
          <w:rStyle w:val="FootnoteReference"/>
        </w:rPr>
        <w:footnoteReference w:id="92"/>
      </w:r>
      <w:r w:rsidRPr="004A3983">
        <w:rPr>
          <w:rStyle w:val="FootnoteReference"/>
        </w:rPr>
        <w:t xml:space="preserve"> </w:t>
      </w:r>
    </w:p>
    <w:p w14:paraId="011443F8" w14:textId="157F3514" w:rsidR="0041212C" w:rsidRPr="004A3983" w:rsidRDefault="0041212C" w:rsidP="000B620D">
      <w:pPr>
        <w:spacing w:after="160"/>
        <w:ind w:right="-2"/>
      </w:pPr>
      <w:r w:rsidRPr="004A3983">
        <w:rPr>
          <w:rFonts w:ascii="Gotham Book" w:hAnsi="Gotham Book"/>
        </w:rPr>
        <w:t xml:space="preserve">Given the ‘historical failings’ that had affected the accuracy of information on the Register, the </w:t>
      </w:r>
      <w:r w:rsidR="00E95D9D" w:rsidRPr="004A3983">
        <w:rPr>
          <w:rFonts w:ascii="Gotham Book" w:hAnsi="Gotham Book"/>
        </w:rPr>
        <w:t xml:space="preserve">officer </w:t>
      </w:r>
      <w:r w:rsidRPr="004A3983">
        <w:rPr>
          <w:rFonts w:ascii="Gotham Book" w:hAnsi="Gotham Book"/>
        </w:rPr>
        <w:t>recommended an independent audit of all active Register cases.</w:t>
      </w:r>
      <w:r w:rsidRPr="004A3983">
        <w:rPr>
          <w:rStyle w:val="FootnoteReference"/>
          <w:rFonts w:ascii="Gotham Book" w:hAnsi="Gotham Book"/>
        </w:rPr>
        <w:footnoteReference w:id="93"/>
      </w:r>
      <w:r w:rsidRPr="004A3983">
        <w:rPr>
          <w:rFonts w:ascii="Gotham Book" w:hAnsi="Gotham Book"/>
        </w:rPr>
        <w:t xml:space="preserve"> </w:t>
      </w:r>
    </w:p>
    <w:p w14:paraId="2C84ECB3" w14:textId="406FB2EA" w:rsidR="0041212C" w:rsidRPr="004A3983" w:rsidRDefault="0041212C" w:rsidP="000B620D">
      <w:pPr>
        <w:spacing w:after="160"/>
        <w:ind w:right="-2"/>
        <w:rPr>
          <w:rFonts w:ascii="Gotham Book" w:hAnsi="Gotham Book"/>
        </w:rPr>
      </w:pPr>
      <w:r w:rsidRPr="004A3983">
        <w:rPr>
          <w:rFonts w:ascii="Gotham Book" w:hAnsi="Gotham Book"/>
        </w:rPr>
        <w:t xml:space="preserve">On 10 June 2016, when the Registry Manager read the </w:t>
      </w:r>
      <w:r w:rsidR="00E95D9D" w:rsidRPr="004A3983">
        <w:rPr>
          <w:rFonts w:ascii="Gotham Book" w:hAnsi="Gotham Book"/>
        </w:rPr>
        <w:t>officer</w:t>
      </w:r>
      <w:r w:rsidRPr="004A3983">
        <w:rPr>
          <w:rFonts w:ascii="Gotham Book" w:hAnsi="Gotham Book"/>
        </w:rPr>
        <w:t>’s report</w:t>
      </w:r>
      <w:r w:rsidR="00E95D9D" w:rsidRPr="004A3983">
        <w:rPr>
          <w:rFonts w:ascii="Gotham Book" w:hAnsi="Gotham Book"/>
        </w:rPr>
        <w:t xml:space="preserve"> of ‘serious concerns’</w:t>
      </w:r>
      <w:r w:rsidRPr="004A3983">
        <w:rPr>
          <w:rFonts w:ascii="Gotham Book" w:hAnsi="Gotham Book"/>
        </w:rPr>
        <w:t xml:space="preserve">, </w:t>
      </w:r>
      <w:r w:rsidR="004F70BA" w:rsidRPr="004A3983">
        <w:rPr>
          <w:rFonts w:ascii="Gotham Book" w:hAnsi="Gotham Book"/>
        </w:rPr>
        <w:t>he</w:t>
      </w:r>
      <w:r w:rsidRPr="004A3983">
        <w:rPr>
          <w:rFonts w:ascii="Gotham Book" w:hAnsi="Gotham Book"/>
        </w:rPr>
        <w:t xml:space="preserve"> recommended that a full review of all Register cases be undertaken, not just current/active cases. However, he warned that additional resources would be needed as ‘the audit of all cases is too onerous for Registry staff to complete alone’.</w:t>
      </w:r>
      <w:r w:rsidRPr="004A3983">
        <w:rPr>
          <w:rStyle w:val="FootnoteReference"/>
          <w:rFonts w:ascii="Gotham Book" w:hAnsi="Gotham Book"/>
        </w:rPr>
        <w:footnoteReference w:id="94"/>
      </w:r>
      <w:r w:rsidRPr="004A3983">
        <w:rPr>
          <w:rFonts w:ascii="Gotham Book" w:hAnsi="Gotham Book"/>
        </w:rPr>
        <w:t xml:space="preserve"> The Registry Manager noted </w:t>
      </w:r>
      <w:r w:rsidR="00CC0882" w:rsidRPr="004A3983">
        <w:rPr>
          <w:rFonts w:ascii="Gotham Book" w:hAnsi="Gotham Book"/>
        </w:rPr>
        <w:t>that the content of the officer</w:t>
      </w:r>
      <w:r w:rsidRPr="004A3983">
        <w:rPr>
          <w:rFonts w:ascii="Gotham Book" w:hAnsi="Gotham Book"/>
        </w:rPr>
        <w:t>’s report ‘presents a significant risk to the NSWPF and the on-going management of people on the Child Protection Register’.</w:t>
      </w:r>
      <w:r w:rsidRPr="004A3983">
        <w:rPr>
          <w:rStyle w:val="FootnoteReference"/>
          <w:rFonts w:ascii="Gotham Book" w:hAnsi="Gotham Book"/>
        </w:rPr>
        <w:footnoteReference w:id="95"/>
      </w:r>
      <w:r w:rsidRPr="004A3983">
        <w:rPr>
          <w:rStyle w:val="FootnoteReference"/>
          <w:rFonts w:ascii="Gotham Book" w:hAnsi="Gotham Book"/>
        </w:rPr>
        <w:t xml:space="preserve"> </w:t>
      </w:r>
    </w:p>
    <w:p w14:paraId="02795799" w14:textId="4333B4F5" w:rsidR="0041212C" w:rsidRPr="004A3983" w:rsidRDefault="0041212C" w:rsidP="000B620D">
      <w:pPr>
        <w:spacing w:after="160"/>
        <w:ind w:right="-2"/>
        <w:rPr>
          <w:rFonts w:ascii="Gotham Book" w:hAnsi="Gotham Book"/>
        </w:rPr>
      </w:pPr>
      <w:r w:rsidRPr="004A3983">
        <w:rPr>
          <w:rFonts w:ascii="Gotham Book" w:hAnsi="Gotham Book"/>
        </w:rPr>
        <w:t>On 6 July 2016, the Acting Commander of the State Crime Command directed that a review of Register case files be initiated, starting with priority cases,</w:t>
      </w:r>
      <w:r w:rsidRPr="004A3983">
        <w:rPr>
          <w:rStyle w:val="FootnoteReference"/>
          <w:rFonts w:ascii="Gotham Book" w:hAnsi="Gotham Book"/>
        </w:rPr>
        <w:footnoteReference w:id="96"/>
      </w:r>
      <w:r w:rsidRPr="004A3983">
        <w:rPr>
          <w:rFonts w:ascii="Gotham Book" w:hAnsi="Gotham Book"/>
        </w:rPr>
        <w:t xml:space="preserve"> and in October 2016 the review was expanded to include all Register cases created since the start of the Register in 2001, including those already finalised</w:t>
      </w:r>
      <w:r w:rsidR="00914CBE" w:rsidRPr="004A3983">
        <w:rPr>
          <w:rFonts w:ascii="Gotham Book" w:hAnsi="Gotham Book"/>
        </w:rPr>
        <w:t xml:space="preserve"> (the CPR case review)</w:t>
      </w:r>
      <w:r w:rsidRPr="004A3983">
        <w:rPr>
          <w:rFonts w:ascii="Gotham Book" w:hAnsi="Gotham Book"/>
        </w:rPr>
        <w:t>.</w:t>
      </w:r>
      <w:r w:rsidRPr="004A3983">
        <w:rPr>
          <w:rStyle w:val="FootnoteReference"/>
          <w:rFonts w:ascii="Gotham Book" w:hAnsi="Gotham Book"/>
        </w:rPr>
        <w:footnoteReference w:id="97"/>
      </w:r>
      <w:r w:rsidRPr="004A3983">
        <w:rPr>
          <w:rFonts w:ascii="Gotham Book" w:hAnsi="Gotham Book"/>
        </w:rPr>
        <w:t xml:space="preserve"> </w:t>
      </w:r>
    </w:p>
    <w:p w14:paraId="3BC3FF7D" w14:textId="09312579" w:rsidR="00D97373" w:rsidRPr="004A3983" w:rsidRDefault="00D97373" w:rsidP="000B620D">
      <w:pPr>
        <w:pStyle w:val="Heading2"/>
        <w:spacing w:after="160"/>
        <w:ind w:right="-2"/>
      </w:pPr>
      <w:bookmarkStart w:id="160" w:name="_Ref10468538"/>
      <w:bookmarkStart w:id="161" w:name="_Toc22627753"/>
      <w:r w:rsidRPr="004A3983">
        <w:lastRenderedPageBreak/>
        <w:t>Errors identified by t</w:t>
      </w:r>
      <w:r w:rsidR="00DC1355" w:rsidRPr="004A3983">
        <w:t>he NSW Police Force</w:t>
      </w:r>
      <w:r w:rsidRPr="004A3983">
        <w:t xml:space="preserve"> CPR case review</w:t>
      </w:r>
      <w:bookmarkEnd w:id="160"/>
      <w:bookmarkEnd w:id="161"/>
    </w:p>
    <w:p w14:paraId="526EC10E" w14:textId="70562A7F" w:rsidR="00D97373" w:rsidRPr="004A3983" w:rsidRDefault="00D97373" w:rsidP="000B620D">
      <w:pPr>
        <w:spacing w:after="160"/>
        <w:ind w:right="-2"/>
        <w:rPr>
          <w:rFonts w:ascii="Gotham Book" w:hAnsi="Gotham Book"/>
        </w:rPr>
      </w:pPr>
      <w:r w:rsidRPr="004A3983">
        <w:rPr>
          <w:rFonts w:ascii="Gotham Book" w:hAnsi="Gotham Book"/>
        </w:rPr>
        <w:t>The CPR case review reviewed 5,749 Register case files between July 2016 and October 2018.</w:t>
      </w:r>
      <w:r w:rsidRPr="004A3983">
        <w:rPr>
          <w:rStyle w:val="FootnoteReference"/>
          <w:rFonts w:ascii="Gotham Book" w:hAnsi="Gotham Book"/>
        </w:rPr>
        <w:footnoteReference w:id="98"/>
      </w:r>
      <w:r w:rsidRPr="004A3983">
        <w:rPr>
          <w:rFonts w:ascii="Gotham Book" w:hAnsi="Gotham Book"/>
        </w:rPr>
        <w:t xml:space="preserve"> </w:t>
      </w:r>
      <w:r w:rsidR="00F041E9" w:rsidRPr="004A3983">
        <w:rPr>
          <w:rFonts w:ascii="Gotham Book" w:hAnsi="Gotham Book"/>
        </w:rPr>
        <w:t>It reviewed current and finalised Register cases</w:t>
      </w:r>
      <w:r w:rsidRPr="004A3983">
        <w:rPr>
          <w:rFonts w:ascii="Gotham Book" w:hAnsi="Gotham Book"/>
        </w:rPr>
        <w:t>.</w:t>
      </w:r>
      <w:r w:rsidRPr="004A3983">
        <w:rPr>
          <w:rStyle w:val="FootnoteReference"/>
          <w:rFonts w:ascii="Gotham Book" w:hAnsi="Gotham Book"/>
        </w:rPr>
        <w:footnoteReference w:id="99"/>
      </w:r>
      <w:r w:rsidRPr="004A3983">
        <w:rPr>
          <w:rFonts w:ascii="Gotham Book" w:hAnsi="Gotham Book"/>
        </w:rPr>
        <w:t xml:space="preserve"> </w:t>
      </w:r>
    </w:p>
    <w:p w14:paraId="273A14BF" w14:textId="3F6B898E" w:rsidR="0080354A" w:rsidRPr="004A3983" w:rsidRDefault="00D97373" w:rsidP="000B620D">
      <w:pPr>
        <w:spacing w:after="160"/>
        <w:ind w:right="-2"/>
        <w:rPr>
          <w:rFonts w:ascii="Gotham Book" w:hAnsi="Gotham Book"/>
        </w:rPr>
      </w:pPr>
      <w:r w:rsidRPr="004A3983">
        <w:rPr>
          <w:rFonts w:ascii="Gotham Book" w:hAnsi="Gotham Book"/>
        </w:rPr>
        <w:t xml:space="preserve">The CPR case review found that 44 per cent (2,557) of the Register case files contained significant errors which the review </w:t>
      </w:r>
      <w:r w:rsidR="0080354A" w:rsidRPr="004A3983">
        <w:rPr>
          <w:rFonts w:ascii="Gotham Book" w:hAnsi="Gotham Book"/>
        </w:rPr>
        <w:t xml:space="preserve">team </w:t>
      </w:r>
      <w:r w:rsidRPr="004A3983">
        <w:rPr>
          <w:rFonts w:ascii="Gotham Book" w:hAnsi="Gotham Book"/>
        </w:rPr>
        <w:t>needed to correct.</w:t>
      </w:r>
      <w:r w:rsidRPr="004A3983">
        <w:rPr>
          <w:rStyle w:val="FootnoteReference"/>
          <w:rFonts w:ascii="Gotham Book" w:hAnsi="Gotham Book"/>
        </w:rPr>
        <w:footnoteReference w:id="100"/>
      </w:r>
      <w:r w:rsidRPr="004A3983">
        <w:rPr>
          <w:rFonts w:ascii="Gotham Book" w:hAnsi="Gotham Book"/>
        </w:rPr>
        <w:t xml:space="preserve"> The table of the CPR case review results that the NSW Police Force provided to the Commission is recreated in full in </w:t>
      </w:r>
      <w:r w:rsidR="00B169C6" w:rsidRPr="004A3983">
        <w:rPr>
          <w:rFonts w:ascii="Gotham Book" w:hAnsi="Gotham Book"/>
        </w:rPr>
        <w:t>Appendix 1</w:t>
      </w:r>
      <w:r w:rsidRPr="004A3983">
        <w:rPr>
          <w:rFonts w:ascii="Gotham Book" w:hAnsi="Gotham Book"/>
        </w:rPr>
        <w:t>.</w:t>
      </w:r>
      <w:r w:rsidRPr="004A3983">
        <w:rPr>
          <w:rStyle w:val="FootnoteReference"/>
          <w:rFonts w:ascii="Gotham Book" w:hAnsi="Gotham Book"/>
        </w:rPr>
        <w:footnoteReference w:id="101"/>
      </w:r>
      <w:r w:rsidRPr="004A3983">
        <w:rPr>
          <w:rFonts w:ascii="Gotham Book" w:hAnsi="Gotham Book"/>
        </w:rPr>
        <w:t xml:space="preserve"> </w:t>
      </w:r>
    </w:p>
    <w:p w14:paraId="7DF11744" w14:textId="73BE8011" w:rsidR="00D97373" w:rsidRPr="004A3983" w:rsidRDefault="00D97373" w:rsidP="000B620D">
      <w:pPr>
        <w:spacing w:after="160"/>
        <w:ind w:right="-2"/>
        <w:rPr>
          <w:rFonts w:ascii="Gotham Book" w:hAnsi="Gotham Book"/>
        </w:rPr>
      </w:pPr>
      <w:r w:rsidRPr="004A3983">
        <w:rPr>
          <w:rFonts w:ascii="Gotham Book" w:hAnsi="Gotham Book"/>
        </w:rPr>
        <w:t xml:space="preserve">The CPR case review identified seven different categories of errors in the files. Some of these error categories </w:t>
      </w:r>
      <w:r w:rsidR="009D0649" w:rsidRPr="004A3983">
        <w:rPr>
          <w:rFonts w:ascii="Gotham Book" w:hAnsi="Gotham Book"/>
        </w:rPr>
        <w:t>relate to systems malfunction</w:t>
      </w:r>
      <w:r w:rsidRPr="004A3983">
        <w:rPr>
          <w:rFonts w:ascii="Gotham Book" w:hAnsi="Gotham Book"/>
        </w:rPr>
        <w:t xml:space="preserve"> or other issues, and will be </w:t>
      </w:r>
      <w:r w:rsidR="009D0649" w:rsidRPr="004A3983">
        <w:rPr>
          <w:rFonts w:ascii="Gotham Book" w:hAnsi="Gotham Book"/>
        </w:rPr>
        <w:t>explored</w:t>
      </w:r>
      <w:r w:rsidRPr="004A3983">
        <w:rPr>
          <w:rFonts w:ascii="Gotham Book" w:hAnsi="Gotham Book"/>
        </w:rPr>
        <w:t xml:space="preserve"> in other chapters </w:t>
      </w:r>
      <w:r w:rsidR="00A54B1C" w:rsidRPr="004A3983">
        <w:rPr>
          <w:rFonts w:ascii="Gotham Book" w:hAnsi="Gotham Book"/>
        </w:rPr>
        <w:t>of</w:t>
      </w:r>
      <w:r w:rsidR="009D0649" w:rsidRPr="004A3983">
        <w:rPr>
          <w:rFonts w:ascii="Gotham Book" w:hAnsi="Gotham Book"/>
        </w:rPr>
        <w:t xml:space="preserve"> this report</w:t>
      </w:r>
      <w:r w:rsidRPr="004A3983">
        <w:rPr>
          <w:rFonts w:ascii="Gotham Book" w:hAnsi="Gotham Book"/>
        </w:rPr>
        <w:t xml:space="preserve">. </w:t>
      </w:r>
    </w:p>
    <w:p w14:paraId="51256912" w14:textId="578BA9B2" w:rsidR="00D97373" w:rsidRPr="004A3983" w:rsidRDefault="008B3171" w:rsidP="000B620D">
      <w:pPr>
        <w:spacing w:after="160"/>
        <w:ind w:right="-2"/>
        <w:rPr>
          <w:rFonts w:ascii="Gotham Book" w:hAnsi="Gotham Book"/>
        </w:rPr>
      </w:pPr>
      <w:r w:rsidRPr="004A3983">
        <w:rPr>
          <w:rFonts w:ascii="Gotham Book" w:hAnsi="Gotham Book"/>
        </w:rPr>
        <w:t>In this chapter</w:t>
      </w:r>
      <w:r w:rsidR="00607688" w:rsidRPr="004A3983">
        <w:rPr>
          <w:rFonts w:ascii="Gotham Book" w:hAnsi="Gotham Book"/>
        </w:rPr>
        <w:t xml:space="preserve"> we focus</w:t>
      </w:r>
      <w:r w:rsidR="00D97373" w:rsidRPr="004A3983">
        <w:rPr>
          <w:rFonts w:ascii="Gotham Book" w:hAnsi="Gotham Book"/>
        </w:rPr>
        <w:t xml:space="preserve"> on those error categories which related to incorrect decisions by the NSW Police Force about whether a person was registrable, or the length of a person’s reporting period.</w:t>
      </w:r>
      <w:r w:rsidR="00D97373" w:rsidRPr="004A3983">
        <w:rPr>
          <w:rStyle w:val="FootnoteReference"/>
          <w:rFonts w:ascii="Gotham Book" w:hAnsi="Gotham Book"/>
        </w:rPr>
        <w:footnoteReference w:id="102"/>
      </w:r>
      <w:r w:rsidR="006169FB" w:rsidRPr="004A3983">
        <w:rPr>
          <w:rFonts w:ascii="Gotham Book" w:hAnsi="Gotham Book"/>
        </w:rPr>
        <w:t xml:space="preserve"> </w:t>
      </w:r>
      <w:r w:rsidR="00D97373" w:rsidRPr="004A3983">
        <w:rPr>
          <w:rFonts w:ascii="Gotham Book" w:hAnsi="Gotham Book"/>
        </w:rPr>
        <w:t>The CPR case review identified:</w:t>
      </w:r>
    </w:p>
    <w:p w14:paraId="6D956391" w14:textId="08E99207" w:rsidR="00D97373" w:rsidRPr="003A0C5F" w:rsidRDefault="00D97373" w:rsidP="00677139">
      <w:pPr>
        <w:pStyle w:val="ListParagraph"/>
        <w:numPr>
          <w:ilvl w:val="0"/>
          <w:numId w:val="16"/>
        </w:numPr>
        <w:spacing w:before="0" w:after="160"/>
        <w:ind w:left="714" w:right="-2" w:hanging="357"/>
        <w:contextualSpacing w:val="0"/>
        <w:rPr>
          <w:rStyle w:val="Bold"/>
          <w:b w:val="0"/>
          <w:bCs w:val="0"/>
        </w:rPr>
      </w:pPr>
      <w:r w:rsidRPr="003A0C5F">
        <w:rPr>
          <w:rStyle w:val="Bold"/>
        </w:rPr>
        <w:t xml:space="preserve">485 Register cases in which it had to </w:t>
      </w:r>
      <w:r w:rsidR="001C4907" w:rsidRPr="003A0C5F">
        <w:rPr>
          <w:rStyle w:val="Bold"/>
        </w:rPr>
        <w:t>increase</w:t>
      </w:r>
      <w:r w:rsidRPr="003A0C5F">
        <w:rPr>
          <w:rStyle w:val="Bold"/>
        </w:rPr>
        <w:t xml:space="preserve"> the person’s reporting period</w:t>
      </w:r>
      <w:r w:rsidR="001C4907" w:rsidRPr="003A0C5F">
        <w:rPr>
          <w:rStyle w:val="Bold"/>
          <w:b w:val="0"/>
          <w:bCs w:val="0"/>
        </w:rPr>
        <w:t xml:space="preserve"> </w:t>
      </w:r>
      <w:r w:rsidRPr="003A0C5F">
        <w:rPr>
          <w:rStyle w:val="Bold"/>
          <w:b w:val="0"/>
          <w:bCs w:val="0"/>
        </w:rPr>
        <w:t>– this meant that when the NSW Police Force created the Register case it had applied the wrong formula under the Act, and concluded that the person’s reporting period was shorter than the CPOR Act actual</w:t>
      </w:r>
      <w:r w:rsidR="00594901" w:rsidRPr="003A0C5F">
        <w:rPr>
          <w:rStyle w:val="Bold"/>
          <w:b w:val="0"/>
          <w:bCs w:val="0"/>
        </w:rPr>
        <w:t>ly required (for example</w:t>
      </w:r>
      <w:r w:rsidR="00E93F8C" w:rsidRPr="003A0C5F">
        <w:rPr>
          <w:rStyle w:val="Bold"/>
          <w:b w:val="0"/>
          <w:bCs w:val="0"/>
        </w:rPr>
        <w:t xml:space="preserve"> eight</w:t>
      </w:r>
      <w:r w:rsidRPr="003A0C5F">
        <w:rPr>
          <w:rStyle w:val="Bold"/>
          <w:b w:val="0"/>
          <w:bCs w:val="0"/>
        </w:rPr>
        <w:t xml:space="preserve"> years, rather than 15 years);</w:t>
      </w:r>
      <w:r w:rsidRPr="003B780B">
        <w:rPr>
          <w:rStyle w:val="Bold"/>
          <w:b w:val="0"/>
          <w:bCs w:val="0"/>
          <w:vertAlign w:val="superscript"/>
        </w:rPr>
        <w:footnoteReference w:id="103"/>
      </w:r>
    </w:p>
    <w:p w14:paraId="4EA7839F" w14:textId="06D840F0" w:rsidR="00D97373" w:rsidRPr="003A0C5F" w:rsidRDefault="00D97373" w:rsidP="003A0C5F">
      <w:pPr>
        <w:pStyle w:val="ListBullet"/>
        <w:rPr>
          <w:rStyle w:val="Bold"/>
          <w:b w:val="0"/>
          <w:bCs w:val="0"/>
        </w:rPr>
      </w:pPr>
      <w:r w:rsidRPr="003A0C5F">
        <w:rPr>
          <w:rStyle w:val="Bold"/>
        </w:rPr>
        <w:t xml:space="preserve">144 Register cases in which it had to </w:t>
      </w:r>
      <w:r w:rsidR="001C4907" w:rsidRPr="003A0C5F">
        <w:rPr>
          <w:rStyle w:val="Bold"/>
        </w:rPr>
        <w:t xml:space="preserve">decrease </w:t>
      </w:r>
      <w:r w:rsidRPr="003A0C5F">
        <w:rPr>
          <w:rStyle w:val="Bold"/>
        </w:rPr>
        <w:t>the person’s reporting period</w:t>
      </w:r>
      <w:r w:rsidRPr="003A0C5F">
        <w:rPr>
          <w:rStyle w:val="Bold"/>
          <w:b w:val="0"/>
          <w:bCs w:val="0"/>
        </w:rPr>
        <w:t xml:space="preserve"> - this meant that when the NSW Police Force created the Register case it had applied the wrong formula under the Act, and concluded that the person’s reporting period was longer than the CPOR Act actually </w:t>
      </w:r>
      <w:r w:rsidR="008F2732" w:rsidRPr="003A0C5F">
        <w:rPr>
          <w:rStyle w:val="Bold"/>
          <w:b w:val="0"/>
          <w:bCs w:val="0"/>
        </w:rPr>
        <w:t>permitted</w:t>
      </w:r>
      <w:r w:rsidR="00594901" w:rsidRPr="003A0C5F">
        <w:rPr>
          <w:rStyle w:val="Bold"/>
          <w:b w:val="0"/>
          <w:bCs w:val="0"/>
        </w:rPr>
        <w:t xml:space="preserve"> (for example</w:t>
      </w:r>
      <w:r w:rsidR="00E93F8C" w:rsidRPr="003A0C5F">
        <w:rPr>
          <w:rStyle w:val="Bold"/>
          <w:b w:val="0"/>
          <w:bCs w:val="0"/>
        </w:rPr>
        <w:t xml:space="preserve"> 15 years, rather than eight</w:t>
      </w:r>
      <w:r w:rsidRPr="003A0C5F">
        <w:rPr>
          <w:rStyle w:val="Bold"/>
          <w:b w:val="0"/>
          <w:bCs w:val="0"/>
        </w:rPr>
        <w:t xml:space="preserve"> years),</w:t>
      </w:r>
      <w:r w:rsidRPr="003B780B">
        <w:rPr>
          <w:rStyle w:val="Bold"/>
          <w:b w:val="0"/>
          <w:bCs w:val="0"/>
          <w:vertAlign w:val="superscript"/>
        </w:rPr>
        <w:footnoteReference w:id="104"/>
      </w:r>
      <w:r w:rsidRPr="003A0C5F">
        <w:rPr>
          <w:rStyle w:val="Bold"/>
          <w:b w:val="0"/>
          <w:bCs w:val="0"/>
        </w:rPr>
        <w:t xml:space="preserve"> and</w:t>
      </w:r>
    </w:p>
    <w:p w14:paraId="1489AC4D" w14:textId="59048378" w:rsidR="00D97373" w:rsidRPr="003A0C5F" w:rsidRDefault="00D97373" w:rsidP="003A0C5F">
      <w:pPr>
        <w:pStyle w:val="ListBullet"/>
      </w:pPr>
      <w:r w:rsidRPr="003A0C5F">
        <w:rPr>
          <w:rStyle w:val="Bold"/>
        </w:rPr>
        <w:lastRenderedPageBreak/>
        <w:t>45 Register cases in which the person ‘should not be on’ the Register</w:t>
      </w:r>
      <w:r w:rsidRPr="003A0C5F">
        <w:t xml:space="preserve"> – this</w:t>
      </w:r>
      <w:r w:rsidR="003A0C5F">
        <w:t> </w:t>
      </w:r>
      <w:r w:rsidRPr="003A0C5F">
        <w:t>meant that the NSW Police Force had incorrect</w:t>
      </w:r>
      <w:r w:rsidR="00377EDE" w:rsidRPr="003A0C5F">
        <w:t>ly determined</w:t>
      </w:r>
      <w:r w:rsidRPr="003A0C5F">
        <w:t xml:space="preserve"> that the person met the definition of a ‘registrable person’ under the CPOR Act.</w:t>
      </w:r>
      <w:r w:rsidRPr="003A0C5F">
        <w:rPr>
          <w:rStyle w:val="FootnoteReference"/>
        </w:rPr>
        <w:footnoteReference w:id="105"/>
      </w:r>
      <w:r w:rsidRPr="003A0C5F">
        <w:rPr>
          <w:vertAlign w:val="superscript"/>
        </w:rPr>
        <w:t xml:space="preserve"> </w:t>
      </w:r>
    </w:p>
    <w:p w14:paraId="5C2B4A43" w14:textId="0A524CFE" w:rsidR="00F92E17" w:rsidRPr="004A3983" w:rsidRDefault="00F92E17" w:rsidP="00F92E17">
      <w:pPr>
        <w:spacing w:after="160"/>
        <w:ind w:right="-2"/>
        <w:rPr>
          <w:rFonts w:ascii="Gotham Book" w:hAnsi="Gotham Book"/>
        </w:rPr>
      </w:pPr>
      <w:r w:rsidRPr="004A3983">
        <w:t>Each of these categories of errors is discussed further below.</w:t>
      </w:r>
    </w:p>
    <w:p w14:paraId="731FCFCD" w14:textId="02022F8A" w:rsidR="00451881" w:rsidRPr="004A3983" w:rsidRDefault="00451881" w:rsidP="002C7F6F">
      <w:pPr>
        <w:pStyle w:val="Heading2"/>
        <w:spacing w:after="160"/>
        <w:ind w:right="-2"/>
      </w:pPr>
      <w:bookmarkStart w:id="162" w:name="_Toc22627754"/>
      <w:r w:rsidRPr="004A3983">
        <w:t xml:space="preserve">Missing registrable persons identified </w:t>
      </w:r>
      <w:r w:rsidR="00B02AD8" w:rsidRPr="004A3983">
        <w:t>as a</w:t>
      </w:r>
      <w:r w:rsidR="003A0C5F">
        <w:t> </w:t>
      </w:r>
      <w:r w:rsidR="002C7F6F" w:rsidRPr="004A3983">
        <w:t>result of</w:t>
      </w:r>
      <w:r w:rsidRPr="004A3983">
        <w:t xml:space="preserve"> the Commission’s </w:t>
      </w:r>
      <w:r w:rsidR="002C7F6F" w:rsidRPr="004A3983">
        <w:t>investigation</w:t>
      </w:r>
      <w:bookmarkEnd w:id="162"/>
    </w:p>
    <w:p w14:paraId="40CAFC5C" w14:textId="56C4403F" w:rsidR="00451881" w:rsidRPr="004A3983" w:rsidRDefault="00451881" w:rsidP="00451881">
      <w:pPr>
        <w:spacing w:after="160"/>
        <w:ind w:right="-2"/>
        <w:rPr>
          <w:rFonts w:ascii="Gotham Book" w:hAnsi="Gotham Book"/>
        </w:rPr>
      </w:pPr>
      <w:r w:rsidRPr="004A3983">
        <w:rPr>
          <w:rFonts w:ascii="Gotham Book" w:hAnsi="Gotham Book"/>
        </w:rPr>
        <w:t xml:space="preserve">The CPR case review examined Register case files </w:t>
      </w:r>
      <w:r w:rsidR="005117F3" w:rsidRPr="004A3983">
        <w:rPr>
          <w:rFonts w:ascii="Gotham Book" w:hAnsi="Gotham Book"/>
        </w:rPr>
        <w:t xml:space="preserve">that had been </w:t>
      </w:r>
      <w:r w:rsidRPr="004A3983">
        <w:rPr>
          <w:rFonts w:ascii="Gotham Book" w:hAnsi="Gotham Book"/>
        </w:rPr>
        <w:t>created since the start of the Register in 2001. It did not include any process to identify persons who had been convicte</w:t>
      </w:r>
      <w:r w:rsidR="00A4071E" w:rsidRPr="004A3983">
        <w:rPr>
          <w:rFonts w:ascii="Gotham Book" w:hAnsi="Gotham Book"/>
        </w:rPr>
        <w:t>d of registrable offences in New South Wales</w:t>
      </w:r>
      <w:r w:rsidRPr="004A3983">
        <w:rPr>
          <w:rFonts w:ascii="Gotham Book" w:hAnsi="Gotham Book"/>
        </w:rPr>
        <w:t xml:space="preserve"> but who may have mistakenly not been added to the Register.</w:t>
      </w:r>
    </w:p>
    <w:p w14:paraId="1037CD18" w14:textId="77777777" w:rsidR="00CC6DFF" w:rsidRPr="004A3983" w:rsidRDefault="00E97464" w:rsidP="001A6334">
      <w:pPr>
        <w:spacing w:after="160"/>
        <w:ind w:right="-2"/>
        <w:rPr>
          <w:rFonts w:ascii="Gotham Book" w:hAnsi="Gotham Book"/>
        </w:rPr>
      </w:pPr>
      <w:r w:rsidRPr="004A3983">
        <w:rPr>
          <w:rFonts w:ascii="Gotham Book" w:hAnsi="Gotham Book"/>
        </w:rPr>
        <w:t xml:space="preserve">As a result of our investigation, the NSW Police Force identified 95 offenders who had been missing off the Register. </w:t>
      </w:r>
    </w:p>
    <w:p w14:paraId="36300B92" w14:textId="4009A254" w:rsidR="001A6334" w:rsidRPr="004A3983" w:rsidRDefault="00E97464" w:rsidP="001A6334">
      <w:pPr>
        <w:spacing w:after="160"/>
        <w:ind w:right="-2"/>
        <w:rPr>
          <w:rFonts w:ascii="Gotham Book" w:hAnsi="Gotham Book"/>
        </w:rPr>
      </w:pPr>
      <w:r w:rsidRPr="004A3983">
        <w:rPr>
          <w:rFonts w:ascii="Gotham Book" w:hAnsi="Gotham Book"/>
        </w:rPr>
        <w:t xml:space="preserve">One person was identified </w:t>
      </w:r>
      <w:r w:rsidR="00AB3FF8" w:rsidRPr="004A3983">
        <w:rPr>
          <w:rFonts w:ascii="Gotham Book" w:hAnsi="Gotham Book"/>
        </w:rPr>
        <w:t xml:space="preserve">in 2018 </w:t>
      </w:r>
      <w:r w:rsidRPr="004A3983">
        <w:rPr>
          <w:rFonts w:ascii="Gotham Book" w:hAnsi="Gotham Book"/>
        </w:rPr>
        <w:t xml:space="preserve">after </w:t>
      </w:r>
      <w:r w:rsidR="001A6334" w:rsidRPr="004A3983">
        <w:rPr>
          <w:rFonts w:ascii="Gotham Book" w:hAnsi="Gotham Book"/>
        </w:rPr>
        <w:t xml:space="preserve">we </w:t>
      </w:r>
      <w:r w:rsidRPr="004A3983">
        <w:rPr>
          <w:rFonts w:ascii="Gotham Book" w:hAnsi="Gotham Book"/>
        </w:rPr>
        <w:t>advised the NSW Police Force that there were</w:t>
      </w:r>
      <w:r w:rsidR="001A6334" w:rsidRPr="004A3983">
        <w:rPr>
          <w:rFonts w:ascii="Gotham Book" w:hAnsi="Gotham Book"/>
        </w:rPr>
        <w:t xml:space="preserve"> </w:t>
      </w:r>
      <w:r w:rsidR="00B47362" w:rsidRPr="004A3983">
        <w:rPr>
          <w:rFonts w:ascii="Gotham Book" w:hAnsi="Gotham Book"/>
        </w:rPr>
        <w:t xml:space="preserve">58 charges missing from </w:t>
      </w:r>
      <w:r w:rsidRPr="004A3983">
        <w:rPr>
          <w:rFonts w:ascii="Gotham Book" w:hAnsi="Gotham Book"/>
        </w:rPr>
        <w:t>its</w:t>
      </w:r>
      <w:r w:rsidR="00B47362" w:rsidRPr="004A3983">
        <w:rPr>
          <w:rFonts w:ascii="Gotham Book" w:hAnsi="Gotham Book"/>
        </w:rPr>
        <w:t xml:space="preserve"> list </w:t>
      </w:r>
      <w:r w:rsidR="001A6334" w:rsidRPr="004A3983">
        <w:rPr>
          <w:rFonts w:ascii="Gotham Book" w:hAnsi="Gotham Book"/>
        </w:rPr>
        <w:t xml:space="preserve">of charges </w:t>
      </w:r>
      <w:r w:rsidRPr="004A3983">
        <w:rPr>
          <w:rFonts w:ascii="Gotham Book" w:hAnsi="Gotham Book"/>
        </w:rPr>
        <w:t>that could result in a person becoming registrable</w:t>
      </w:r>
      <w:r w:rsidR="001A6334" w:rsidRPr="004A3983">
        <w:rPr>
          <w:rFonts w:ascii="Gotham Book" w:hAnsi="Gotham Book"/>
        </w:rPr>
        <w:t xml:space="preserve">. The NSW Police Force subsequently reviewed persons who had been convicted of the missing charges, and identified </w:t>
      </w:r>
      <w:r w:rsidRPr="004A3983">
        <w:rPr>
          <w:rFonts w:ascii="Gotham Book" w:hAnsi="Gotham Book"/>
        </w:rPr>
        <w:t>one</w:t>
      </w:r>
      <w:r w:rsidR="001A6334" w:rsidRPr="004A3983">
        <w:rPr>
          <w:rFonts w:ascii="Gotham Book" w:hAnsi="Gotham Book"/>
        </w:rPr>
        <w:t xml:space="preserve"> person who it needed to add to the Register.</w:t>
      </w:r>
    </w:p>
    <w:p w14:paraId="3330D705" w14:textId="73212296" w:rsidR="00EC50D2" w:rsidRPr="004A3983" w:rsidRDefault="00E97464" w:rsidP="001A6334">
      <w:pPr>
        <w:spacing w:after="160"/>
        <w:ind w:right="-2"/>
        <w:rPr>
          <w:rFonts w:ascii="Gotham Book" w:hAnsi="Gotham Book"/>
        </w:rPr>
      </w:pPr>
      <w:r w:rsidRPr="004A3983">
        <w:rPr>
          <w:rFonts w:ascii="Gotham Book" w:hAnsi="Gotham Book"/>
        </w:rPr>
        <w:t xml:space="preserve">The other 94 missing registrable persons were </w:t>
      </w:r>
      <w:r w:rsidR="00AE1FC3" w:rsidRPr="004A3983">
        <w:rPr>
          <w:rFonts w:ascii="Gotham Book" w:hAnsi="Gotham Book"/>
        </w:rPr>
        <w:t xml:space="preserve">identified after the Commission </w:t>
      </w:r>
      <w:r w:rsidR="00CC6DFF" w:rsidRPr="004A3983">
        <w:rPr>
          <w:rFonts w:ascii="Gotham Book" w:hAnsi="Gotham Book"/>
        </w:rPr>
        <w:t>advis</w:t>
      </w:r>
      <w:r w:rsidR="00B658E2" w:rsidRPr="004A3983">
        <w:rPr>
          <w:rFonts w:ascii="Gotham Book" w:hAnsi="Gotham Book"/>
        </w:rPr>
        <w:t>ed the NSW Police Force</w:t>
      </w:r>
      <w:r w:rsidR="00CC6DFF" w:rsidRPr="004A3983">
        <w:rPr>
          <w:rFonts w:ascii="Gotham Book" w:hAnsi="Gotham Book"/>
        </w:rPr>
        <w:t xml:space="preserve"> of</w:t>
      </w:r>
      <w:r w:rsidR="001A6334" w:rsidRPr="004A3983">
        <w:rPr>
          <w:rFonts w:ascii="Gotham Book" w:hAnsi="Gotham Book"/>
        </w:rPr>
        <w:t xml:space="preserve"> </w:t>
      </w:r>
      <w:r w:rsidR="00CC6DFF" w:rsidRPr="004A3983">
        <w:rPr>
          <w:rFonts w:ascii="Gotham Book" w:hAnsi="Gotham Book"/>
        </w:rPr>
        <w:t>the need</w:t>
      </w:r>
      <w:r w:rsidR="005A1795" w:rsidRPr="004A3983">
        <w:rPr>
          <w:rFonts w:ascii="Gotham Book" w:hAnsi="Gotham Book"/>
        </w:rPr>
        <w:t xml:space="preserve"> to </w:t>
      </w:r>
      <w:r w:rsidR="00A94D1F" w:rsidRPr="004A3983">
        <w:rPr>
          <w:rFonts w:ascii="Gotham Book" w:hAnsi="Gotham Book"/>
        </w:rPr>
        <w:t>interrogate</w:t>
      </w:r>
      <w:r w:rsidR="005A1795" w:rsidRPr="004A3983">
        <w:rPr>
          <w:rFonts w:ascii="Gotham Book" w:hAnsi="Gotham Book"/>
        </w:rPr>
        <w:t xml:space="preserve"> </w:t>
      </w:r>
      <w:r w:rsidR="00A94D1F" w:rsidRPr="004A3983">
        <w:rPr>
          <w:rFonts w:ascii="Gotham Book" w:hAnsi="Gotham Book"/>
        </w:rPr>
        <w:t>whether</w:t>
      </w:r>
      <w:r w:rsidR="005A1795" w:rsidRPr="004A3983">
        <w:rPr>
          <w:rFonts w:ascii="Gotham Book" w:hAnsi="Gotham Book"/>
        </w:rPr>
        <w:t xml:space="preserve"> there were</w:t>
      </w:r>
      <w:r w:rsidR="00B47362" w:rsidRPr="004A3983">
        <w:rPr>
          <w:rFonts w:ascii="Gotham Book" w:hAnsi="Gotham Book"/>
        </w:rPr>
        <w:t xml:space="preserve"> </w:t>
      </w:r>
      <w:r w:rsidR="00A94D1F" w:rsidRPr="004A3983">
        <w:rPr>
          <w:rFonts w:ascii="Gotham Book" w:hAnsi="Gotham Book"/>
        </w:rPr>
        <w:t xml:space="preserve">other </w:t>
      </w:r>
      <w:r w:rsidR="00B47362" w:rsidRPr="004A3983">
        <w:rPr>
          <w:rFonts w:ascii="Gotham Book" w:hAnsi="Gotham Book"/>
        </w:rPr>
        <w:t>registrable persons who were missing from the Register as a result of systems and/or human error.</w:t>
      </w:r>
      <w:r w:rsidR="001A6334" w:rsidRPr="004A3983">
        <w:rPr>
          <w:rStyle w:val="FootnoteReference"/>
          <w:rFonts w:ascii="Gotham Book" w:hAnsi="Gotham Book"/>
        </w:rPr>
        <w:footnoteReference w:id="106"/>
      </w:r>
      <w:r w:rsidR="00B47362" w:rsidRPr="004A3983">
        <w:rPr>
          <w:rFonts w:ascii="Gotham Book" w:hAnsi="Gotham Book"/>
        </w:rPr>
        <w:t xml:space="preserve"> </w:t>
      </w:r>
      <w:r w:rsidR="00CC6DFF" w:rsidRPr="004A3983">
        <w:rPr>
          <w:rFonts w:ascii="Gotham Book" w:hAnsi="Gotham Book"/>
        </w:rPr>
        <w:t xml:space="preserve">In response to the Commission’s letter, the State Crime Command </w:t>
      </w:r>
      <w:r w:rsidR="001A6334" w:rsidRPr="004A3983">
        <w:rPr>
          <w:rFonts w:ascii="Gotham Book" w:hAnsi="Gotham Book"/>
        </w:rPr>
        <w:t xml:space="preserve">commenced a process </w:t>
      </w:r>
      <w:r w:rsidR="00CC6DFF" w:rsidRPr="004A3983">
        <w:rPr>
          <w:rFonts w:ascii="Gotham Book" w:hAnsi="Gotham Book"/>
        </w:rPr>
        <w:t xml:space="preserve">in March 2019 </w:t>
      </w:r>
      <w:r w:rsidR="00B658E2" w:rsidRPr="004A3983">
        <w:rPr>
          <w:rFonts w:ascii="Gotham Book" w:hAnsi="Gotham Book"/>
        </w:rPr>
        <w:t>involving</w:t>
      </w:r>
      <w:r w:rsidR="001A6334" w:rsidRPr="004A3983">
        <w:rPr>
          <w:rFonts w:ascii="Gotham Book" w:hAnsi="Gotham Book"/>
        </w:rPr>
        <w:t xml:space="preserve"> the </w:t>
      </w:r>
      <w:r w:rsidR="00321EC6" w:rsidRPr="004A3983">
        <w:rPr>
          <w:rFonts w:ascii="Gotham Book" w:hAnsi="Gotham Book"/>
        </w:rPr>
        <w:t>review</w:t>
      </w:r>
      <w:r w:rsidR="001A6334" w:rsidRPr="004A3983">
        <w:rPr>
          <w:rFonts w:ascii="Gotham Book" w:hAnsi="Gotham Book"/>
        </w:rPr>
        <w:t xml:space="preserve"> of </w:t>
      </w:r>
      <w:r w:rsidR="00321EC6" w:rsidRPr="004A3983">
        <w:rPr>
          <w:rFonts w:ascii="Gotham Book" w:hAnsi="Gotham Book"/>
        </w:rPr>
        <w:t>the details of 8,695 p</w:t>
      </w:r>
      <w:r w:rsidR="00A4071E" w:rsidRPr="004A3983">
        <w:rPr>
          <w:rFonts w:ascii="Gotham Book" w:hAnsi="Gotham Book"/>
        </w:rPr>
        <w:t>ersons</w:t>
      </w:r>
      <w:r w:rsidR="00321EC6" w:rsidRPr="004A3983">
        <w:rPr>
          <w:rFonts w:ascii="Gotham Book" w:hAnsi="Gotham Book"/>
        </w:rPr>
        <w:t xml:space="preserve"> who the NSW Police Force had </w:t>
      </w:r>
      <w:r w:rsidR="00046469" w:rsidRPr="004A3983">
        <w:rPr>
          <w:rFonts w:ascii="Gotham Book" w:hAnsi="Gotham Book"/>
        </w:rPr>
        <w:t xml:space="preserve">since 2001 </w:t>
      </w:r>
      <w:r w:rsidR="00321EC6" w:rsidRPr="004A3983">
        <w:rPr>
          <w:rFonts w:ascii="Gotham Book" w:hAnsi="Gotham Book"/>
        </w:rPr>
        <w:t>decided were not registrable under the CPOR Act</w:t>
      </w:r>
      <w:r w:rsidR="001A6334" w:rsidRPr="004A3983">
        <w:rPr>
          <w:rFonts w:ascii="Gotham Book" w:hAnsi="Gotham Book"/>
        </w:rPr>
        <w:t>.</w:t>
      </w:r>
      <w:r w:rsidR="001A6334" w:rsidRPr="004A3983">
        <w:rPr>
          <w:rStyle w:val="FootnoteReference"/>
          <w:rFonts w:ascii="Gotham Book" w:hAnsi="Gotham Book"/>
        </w:rPr>
        <w:footnoteReference w:id="107"/>
      </w:r>
      <w:r w:rsidR="00114DBC" w:rsidRPr="004A3983">
        <w:rPr>
          <w:rFonts w:ascii="Gotham Book" w:hAnsi="Gotham Book"/>
        </w:rPr>
        <w:t xml:space="preserve"> </w:t>
      </w:r>
      <w:r w:rsidR="0042370C" w:rsidRPr="004A3983">
        <w:rPr>
          <w:rFonts w:ascii="Gotham Book" w:hAnsi="Gotham Book"/>
        </w:rPr>
        <w:t>On 30 September 2019</w:t>
      </w:r>
      <w:r w:rsidR="00DE3916" w:rsidRPr="004A3983">
        <w:rPr>
          <w:rFonts w:ascii="Gotham Book" w:hAnsi="Gotham Book"/>
        </w:rPr>
        <w:t xml:space="preserve"> the NSW Police Force informed the Commission that it </w:t>
      </w:r>
      <w:r w:rsidR="00D4799D" w:rsidRPr="004A3983">
        <w:rPr>
          <w:rFonts w:ascii="Gotham Book" w:hAnsi="Gotham Book"/>
        </w:rPr>
        <w:t>had completed this process</w:t>
      </w:r>
      <w:r w:rsidR="00046469" w:rsidRPr="004A3983">
        <w:rPr>
          <w:rFonts w:ascii="Gotham Book" w:hAnsi="Gotham Book"/>
        </w:rPr>
        <w:t xml:space="preserve"> and </w:t>
      </w:r>
      <w:r w:rsidR="00EC50D2" w:rsidRPr="004A3983">
        <w:rPr>
          <w:rFonts w:ascii="Gotham Book" w:hAnsi="Gotham Book"/>
        </w:rPr>
        <w:t>concluded</w:t>
      </w:r>
      <w:r w:rsidR="002C478D" w:rsidRPr="004A3983">
        <w:rPr>
          <w:rFonts w:ascii="Gotham Book" w:hAnsi="Gotham Book"/>
        </w:rPr>
        <w:t xml:space="preserve"> </w:t>
      </w:r>
      <w:r w:rsidR="00D4799D" w:rsidRPr="004A3983">
        <w:rPr>
          <w:rFonts w:ascii="Gotham Book" w:hAnsi="Gotham Book"/>
        </w:rPr>
        <w:t>that 94 of those pe</w:t>
      </w:r>
      <w:r w:rsidR="00A4071E" w:rsidRPr="004A3983">
        <w:rPr>
          <w:rFonts w:ascii="Gotham Book" w:hAnsi="Gotham Book"/>
        </w:rPr>
        <w:t>rsons</w:t>
      </w:r>
      <w:r w:rsidR="00D4799D" w:rsidRPr="004A3983">
        <w:rPr>
          <w:rFonts w:ascii="Gotham Book" w:hAnsi="Gotham Book"/>
        </w:rPr>
        <w:t xml:space="preserve"> </w:t>
      </w:r>
      <w:r w:rsidR="0089451B" w:rsidRPr="004A3983">
        <w:rPr>
          <w:rFonts w:ascii="Gotham Book" w:hAnsi="Gotham Book"/>
        </w:rPr>
        <w:t xml:space="preserve">had in fact been </w:t>
      </w:r>
      <w:r w:rsidR="00D4799D" w:rsidRPr="004A3983">
        <w:rPr>
          <w:rFonts w:ascii="Gotham Book" w:hAnsi="Gotham Book"/>
        </w:rPr>
        <w:t xml:space="preserve">registrable persons. </w:t>
      </w:r>
      <w:r w:rsidR="0089451B" w:rsidRPr="004A3983">
        <w:rPr>
          <w:rFonts w:ascii="Gotham Book" w:hAnsi="Gotham Book"/>
        </w:rPr>
        <w:t xml:space="preserve">Of the 94 </w:t>
      </w:r>
      <w:r w:rsidR="00AB1F29" w:rsidRPr="004A3983">
        <w:rPr>
          <w:rFonts w:ascii="Gotham Book" w:hAnsi="Gotham Book"/>
        </w:rPr>
        <w:t xml:space="preserve">people </w:t>
      </w:r>
      <w:r w:rsidR="001B7214" w:rsidRPr="004A3983">
        <w:rPr>
          <w:rFonts w:ascii="Gotham Book" w:hAnsi="Gotham Book"/>
        </w:rPr>
        <w:t>who</w:t>
      </w:r>
      <w:r w:rsidR="0042370C" w:rsidRPr="004A3983">
        <w:rPr>
          <w:rFonts w:ascii="Gotham Book" w:hAnsi="Gotham Book"/>
        </w:rPr>
        <w:t xml:space="preserve"> the NSW Police Force </w:t>
      </w:r>
      <w:r w:rsidR="001B7214" w:rsidRPr="004A3983">
        <w:rPr>
          <w:rFonts w:ascii="Gotham Book" w:hAnsi="Gotham Book"/>
        </w:rPr>
        <w:t xml:space="preserve">identified in 2019 </w:t>
      </w:r>
      <w:r w:rsidR="00454E2D" w:rsidRPr="004A3983">
        <w:rPr>
          <w:rFonts w:ascii="Gotham Book" w:hAnsi="Gotham Book"/>
        </w:rPr>
        <w:t xml:space="preserve">as having </w:t>
      </w:r>
      <w:r w:rsidR="0042370C" w:rsidRPr="004A3983">
        <w:rPr>
          <w:rFonts w:ascii="Gotham Book" w:hAnsi="Gotham Book"/>
        </w:rPr>
        <w:t>been</w:t>
      </w:r>
      <w:r w:rsidR="0089451B" w:rsidRPr="004A3983">
        <w:rPr>
          <w:rFonts w:ascii="Gotham Book" w:hAnsi="Gotham Book"/>
        </w:rPr>
        <w:t xml:space="preserve"> incorrectly left of</w:t>
      </w:r>
      <w:r w:rsidR="00E86B13">
        <w:rPr>
          <w:rFonts w:ascii="Gotham Book" w:hAnsi="Gotham Book"/>
        </w:rPr>
        <w:t>f</w:t>
      </w:r>
      <w:r w:rsidR="0089451B" w:rsidRPr="004A3983">
        <w:rPr>
          <w:rFonts w:ascii="Gotham Book" w:hAnsi="Gotham Book"/>
        </w:rPr>
        <w:t xml:space="preserve"> t</w:t>
      </w:r>
      <w:r w:rsidR="0042370C" w:rsidRPr="004A3983">
        <w:rPr>
          <w:rFonts w:ascii="Gotham Book" w:hAnsi="Gotham Book"/>
        </w:rPr>
        <w:t>he Register</w:t>
      </w:r>
      <w:r w:rsidR="00EC50D2" w:rsidRPr="004A3983">
        <w:rPr>
          <w:rFonts w:ascii="Gotham Book" w:hAnsi="Gotham Book"/>
        </w:rPr>
        <w:t>:</w:t>
      </w:r>
    </w:p>
    <w:p w14:paraId="68F65266" w14:textId="31D032CD" w:rsidR="00EC50D2" w:rsidRPr="003A0C5F" w:rsidRDefault="002C478D" w:rsidP="003A0C5F">
      <w:pPr>
        <w:pStyle w:val="ListBullet"/>
      </w:pPr>
      <w:r w:rsidRPr="003A0C5F">
        <w:t xml:space="preserve">67 </w:t>
      </w:r>
      <w:r w:rsidR="006C4DF0" w:rsidRPr="003A0C5F">
        <w:t>pe</w:t>
      </w:r>
      <w:r w:rsidR="00A4071E" w:rsidRPr="003A0C5F">
        <w:t>rsons</w:t>
      </w:r>
      <w:r w:rsidRPr="003A0C5F">
        <w:t xml:space="preserve"> no longer ha</w:t>
      </w:r>
      <w:r w:rsidR="00F575D3" w:rsidRPr="003A0C5F">
        <w:t>d</w:t>
      </w:r>
      <w:r w:rsidR="0089451B" w:rsidRPr="003A0C5F">
        <w:t xml:space="preserve"> reportin</w:t>
      </w:r>
      <w:r w:rsidRPr="003A0C5F">
        <w:t>g obligations, and therefore were</w:t>
      </w:r>
      <w:r w:rsidR="0089451B" w:rsidRPr="003A0C5F">
        <w:t xml:space="preserve"> </w:t>
      </w:r>
      <w:r w:rsidR="00F575D3" w:rsidRPr="003A0C5F">
        <w:t xml:space="preserve">off the Register and </w:t>
      </w:r>
      <w:r w:rsidR="0089451B" w:rsidRPr="003A0C5F">
        <w:t xml:space="preserve">unmonitored by the </w:t>
      </w:r>
      <w:r w:rsidR="00DB615F" w:rsidRPr="003A0C5F">
        <w:t>NSW Police Force for the entiret</w:t>
      </w:r>
      <w:r w:rsidR="0089451B" w:rsidRPr="003A0C5F">
        <w:t>y of their repor</w:t>
      </w:r>
      <w:r w:rsidR="00F575D3" w:rsidRPr="003A0C5F">
        <w:t>ting periods under the CPOR Act;</w:t>
      </w:r>
    </w:p>
    <w:p w14:paraId="1B27E577" w14:textId="0CC216E1" w:rsidR="00962F3F" w:rsidRPr="003A0C5F" w:rsidRDefault="00F575D3" w:rsidP="003A0C5F">
      <w:pPr>
        <w:pStyle w:val="ListBullet"/>
      </w:pPr>
      <w:r w:rsidRPr="003A0C5F">
        <w:t xml:space="preserve">17 </w:t>
      </w:r>
      <w:r w:rsidR="006C4DF0" w:rsidRPr="003A0C5F">
        <w:t>pe</w:t>
      </w:r>
      <w:r w:rsidR="00A4071E" w:rsidRPr="003A0C5F">
        <w:t>rsons</w:t>
      </w:r>
      <w:r w:rsidRPr="003A0C5F">
        <w:t xml:space="preserve"> were in the community unmonitored under the CPOR Act</w:t>
      </w:r>
      <w:r w:rsidR="00454E2D" w:rsidRPr="003A0C5F">
        <w:t>;</w:t>
      </w:r>
    </w:p>
    <w:p w14:paraId="2986FE16" w14:textId="2D69F83B" w:rsidR="00AB1F29" w:rsidRPr="003A0C5F" w:rsidRDefault="00962F3F" w:rsidP="003A0C5F">
      <w:pPr>
        <w:pStyle w:val="ListBullet"/>
      </w:pPr>
      <w:r w:rsidRPr="003A0C5F">
        <w:t xml:space="preserve">nine </w:t>
      </w:r>
      <w:r w:rsidR="006C4DF0" w:rsidRPr="003A0C5F">
        <w:t>pe</w:t>
      </w:r>
      <w:r w:rsidR="00A4071E" w:rsidRPr="003A0C5F">
        <w:t>rsons</w:t>
      </w:r>
      <w:r w:rsidRPr="003A0C5F">
        <w:t xml:space="preserve"> were in custody, and therefore their reporting periods had not</w:t>
      </w:r>
      <w:r w:rsidR="003A0C5F">
        <w:t> </w:t>
      </w:r>
      <w:r w:rsidRPr="003A0C5F">
        <w:t>yet commenced</w:t>
      </w:r>
      <w:r w:rsidR="00AB1F29" w:rsidRPr="003A0C5F">
        <w:t>, and</w:t>
      </w:r>
    </w:p>
    <w:p w14:paraId="28647506" w14:textId="440C960D" w:rsidR="00F575D3" w:rsidRPr="003A0C5F" w:rsidRDefault="00AB1F29" w:rsidP="003A0C5F">
      <w:pPr>
        <w:pStyle w:val="ListBullet"/>
      </w:pPr>
      <w:r w:rsidRPr="003A0C5F">
        <w:t>one person had died.</w:t>
      </w:r>
      <w:r w:rsidR="00046469" w:rsidRPr="003A0C5F">
        <w:rPr>
          <w:rStyle w:val="FootnoteReference"/>
        </w:rPr>
        <w:footnoteReference w:id="108"/>
      </w:r>
    </w:p>
    <w:p w14:paraId="4C4C65CB" w14:textId="4EF5368A" w:rsidR="00F575D3" w:rsidRPr="004A3983" w:rsidRDefault="00F575D3" w:rsidP="002840D5">
      <w:pPr>
        <w:spacing w:after="160"/>
        <w:ind w:right="-2"/>
        <w:rPr>
          <w:rFonts w:ascii="Gotham Book" w:hAnsi="Gotham Book"/>
        </w:rPr>
      </w:pPr>
      <w:r w:rsidRPr="004A3983">
        <w:rPr>
          <w:rFonts w:ascii="Gotham Book" w:hAnsi="Gotham Book"/>
        </w:rPr>
        <w:lastRenderedPageBreak/>
        <w:t>The NSW Police Fo</w:t>
      </w:r>
      <w:r w:rsidR="005F4A7F" w:rsidRPr="004A3983">
        <w:rPr>
          <w:rFonts w:ascii="Gotham Book" w:hAnsi="Gotham Book"/>
        </w:rPr>
        <w:t>rce advised the Commission that</w:t>
      </w:r>
      <w:r w:rsidR="00EC50D2" w:rsidRPr="004A3983">
        <w:rPr>
          <w:rFonts w:ascii="Gotham Book" w:hAnsi="Gotham Book"/>
        </w:rPr>
        <w:t xml:space="preserve"> </w:t>
      </w:r>
      <w:r w:rsidR="005F4A7F" w:rsidRPr="004A3983">
        <w:rPr>
          <w:rFonts w:ascii="Gotham Book" w:hAnsi="Gotham Book"/>
        </w:rPr>
        <w:t>it had</w:t>
      </w:r>
      <w:r w:rsidR="006C4DF0" w:rsidRPr="004A3983">
        <w:rPr>
          <w:rFonts w:ascii="Gotham Book" w:hAnsi="Gotham Book"/>
        </w:rPr>
        <w:t xml:space="preserve"> notified each of the 17 </w:t>
      </w:r>
      <w:r w:rsidR="009D4066" w:rsidRPr="004A3983">
        <w:rPr>
          <w:rFonts w:ascii="Gotham Book" w:hAnsi="Gotham Book"/>
        </w:rPr>
        <w:t>persons</w:t>
      </w:r>
      <w:r w:rsidR="005F4A7F" w:rsidRPr="004A3983">
        <w:rPr>
          <w:rFonts w:ascii="Gotham Book" w:hAnsi="Gotham Book"/>
        </w:rPr>
        <w:t xml:space="preserve"> who were in the community that they were registrable persons. The NSW Police Force also stated that it would write to each </w:t>
      </w:r>
      <w:r w:rsidR="006C4DF0" w:rsidRPr="004A3983">
        <w:rPr>
          <w:rFonts w:ascii="Gotham Book" w:hAnsi="Gotham Book"/>
        </w:rPr>
        <w:t>o</w:t>
      </w:r>
      <w:r w:rsidR="002840D5" w:rsidRPr="004A3983">
        <w:rPr>
          <w:rFonts w:ascii="Gotham Book" w:hAnsi="Gotham Book"/>
        </w:rPr>
        <w:t>f the 67 persons whose reporting periods had ended to notify them that an error had been made.</w:t>
      </w:r>
      <w:r w:rsidR="00250C4C" w:rsidRPr="004A3983">
        <w:rPr>
          <w:rStyle w:val="FootnoteReference"/>
          <w:rFonts w:ascii="Gotham Book" w:hAnsi="Gotham Book"/>
        </w:rPr>
        <w:footnoteReference w:id="109"/>
      </w:r>
      <w:r w:rsidR="002840D5" w:rsidRPr="004A3983">
        <w:rPr>
          <w:rFonts w:ascii="Gotham Book" w:hAnsi="Gotham Book"/>
        </w:rPr>
        <w:t xml:space="preserve"> </w:t>
      </w:r>
      <w:r w:rsidR="00AD1836" w:rsidRPr="004A3983">
        <w:rPr>
          <w:rFonts w:ascii="Gotham Book" w:hAnsi="Gotham Book"/>
        </w:rPr>
        <w:t>This is</w:t>
      </w:r>
      <w:r w:rsidR="002840D5" w:rsidRPr="004A3983">
        <w:rPr>
          <w:rFonts w:ascii="Gotham Book" w:hAnsi="Gotham Book"/>
        </w:rPr>
        <w:t xml:space="preserve"> important because t</w:t>
      </w:r>
      <w:r w:rsidR="005F4A7F" w:rsidRPr="004A3983">
        <w:rPr>
          <w:rFonts w:ascii="Gotham Book" w:hAnsi="Gotham Book"/>
        </w:rPr>
        <w:t xml:space="preserve">he CPOR Act imposes restrictions on registrable persons that continue after their reporting period ends, such as restrictions on name changes and </w:t>
      </w:r>
      <w:r w:rsidR="002840D5" w:rsidRPr="004A3983">
        <w:rPr>
          <w:rFonts w:ascii="Gotham Book" w:hAnsi="Gotham Book"/>
        </w:rPr>
        <w:t>applying for child-related work.</w:t>
      </w:r>
      <w:r w:rsidR="002840D5" w:rsidRPr="004A3983">
        <w:rPr>
          <w:rStyle w:val="FootnoteReference"/>
          <w:rFonts w:ascii="Gotham Book" w:hAnsi="Gotham Book"/>
        </w:rPr>
        <w:footnoteReference w:id="110"/>
      </w:r>
      <w:r w:rsidR="00297C1C" w:rsidRPr="004A3983">
        <w:rPr>
          <w:rFonts w:ascii="Gotham Book" w:hAnsi="Gotham Book"/>
        </w:rPr>
        <w:t xml:space="preserve"> Those persons</w:t>
      </w:r>
      <w:r w:rsidR="002840D5" w:rsidRPr="004A3983">
        <w:rPr>
          <w:rFonts w:ascii="Gotham Book" w:hAnsi="Gotham Book"/>
        </w:rPr>
        <w:t xml:space="preserve"> can also still be made the subject of c</w:t>
      </w:r>
      <w:r w:rsidR="005F4A7F" w:rsidRPr="004A3983">
        <w:rPr>
          <w:rFonts w:ascii="Gotham Book" w:hAnsi="Gotham Book"/>
        </w:rPr>
        <w:t>hi</w:t>
      </w:r>
      <w:r w:rsidR="002840D5" w:rsidRPr="004A3983">
        <w:rPr>
          <w:rFonts w:ascii="Gotham Book" w:hAnsi="Gotham Book"/>
        </w:rPr>
        <w:t>ld protection prohibition order</w:t>
      </w:r>
      <w:r w:rsidR="005F4A7F" w:rsidRPr="004A3983">
        <w:rPr>
          <w:rFonts w:ascii="Gotham Book" w:hAnsi="Gotham Book"/>
        </w:rPr>
        <w:t>.</w:t>
      </w:r>
      <w:r w:rsidR="005F4A7F" w:rsidRPr="004A3983">
        <w:rPr>
          <w:rStyle w:val="FootnoteReference"/>
          <w:rFonts w:ascii="Gotham Book" w:hAnsi="Gotham Book"/>
        </w:rPr>
        <w:footnoteReference w:id="111"/>
      </w:r>
      <w:r w:rsidR="002840D5" w:rsidRPr="004A3983">
        <w:rPr>
          <w:rFonts w:ascii="Gotham Book" w:hAnsi="Gotham Book"/>
        </w:rPr>
        <w:t xml:space="preserve"> </w:t>
      </w:r>
    </w:p>
    <w:p w14:paraId="065ABFB3" w14:textId="1503EAD5" w:rsidR="0044137B" w:rsidRPr="004A3983" w:rsidRDefault="0044137B" w:rsidP="002840D5">
      <w:pPr>
        <w:spacing w:after="160"/>
        <w:ind w:right="-2"/>
        <w:rPr>
          <w:rFonts w:ascii="Gotham Book" w:hAnsi="Gotham Book"/>
        </w:rPr>
      </w:pPr>
      <w:r w:rsidRPr="004A3983">
        <w:rPr>
          <w:rFonts w:ascii="Gotham Book" w:hAnsi="Gotham Book"/>
        </w:rPr>
        <w:t>The NSW Police Force has also informed the Commission that</w:t>
      </w:r>
      <w:r w:rsidR="00C34E9C" w:rsidRPr="004A3983">
        <w:rPr>
          <w:rFonts w:ascii="Gotham Book" w:hAnsi="Gotham Book"/>
        </w:rPr>
        <w:t xml:space="preserve"> </w:t>
      </w:r>
      <w:r w:rsidR="003E6EC9" w:rsidRPr="004A3983">
        <w:rPr>
          <w:rFonts w:ascii="Gotham Book" w:hAnsi="Gotham Book"/>
        </w:rPr>
        <w:t xml:space="preserve">on 13 August 2019 </w:t>
      </w:r>
      <w:r w:rsidR="00C34E9C" w:rsidRPr="004A3983">
        <w:rPr>
          <w:rFonts w:ascii="Gotham Book" w:hAnsi="Gotham Book"/>
        </w:rPr>
        <w:t xml:space="preserve">it made a change in COPS </w:t>
      </w:r>
      <w:r w:rsidR="003E6EC9" w:rsidRPr="004A3983">
        <w:rPr>
          <w:rFonts w:ascii="Gotham Book" w:hAnsi="Gotham Book"/>
        </w:rPr>
        <w:t xml:space="preserve">so that any decision by an officer that a particular </w:t>
      </w:r>
      <w:r w:rsidR="00FE4654" w:rsidRPr="004A3983">
        <w:rPr>
          <w:rFonts w:ascii="Gotham Book" w:hAnsi="Gotham Book"/>
        </w:rPr>
        <w:t>person</w:t>
      </w:r>
      <w:r w:rsidR="003E6EC9" w:rsidRPr="004A3983">
        <w:rPr>
          <w:rFonts w:ascii="Gotham Book" w:hAnsi="Gotham Book"/>
        </w:rPr>
        <w:t xml:space="preserve"> is not a registrable</w:t>
      </w:r>
      <w:r w:rsidR="00B70B69" w:rsidRPr="004A3983">
        <w:rPr>
          <w:rFonts w:ascii="Gotham Book" w:hAnsi="Gotham Book"/>
        </w:rPr>
        <w:t xml:space="preserve"> person under the CPOR Act </w:t>
      </w:r>
      <w:r w:rsidR="003E6EC9" w:rsidRPr="004A3983">
        <w:rPr>
          <w:rFonts w:ascii="Gotham Book" w:hAnsi="Gotham Book"/>
        </w:rPr>
        <w:t xml:space="preserve">will </w:t>
      </w:r>
      <w:r w:rsidR="00B70B69" w:rsidRPr="004A3983">
        <w:rPr>
          <w:rFonts w:ascii="Gotham Book" w:hAnsi="Gotham Book"/>
        </w:rPr>
        <w:t xml:space="preserve">now </w:t>
      </w:r>
      <w:r w:rsidR="003E6EC9" w:rsidRPr="004A3983">
        <w:rPr>
          <w:rFonts w:ascii="Gotham Book" w:hAnsi="Gotham Book"/>
        </w:rPr>
        <w:t>be reviewed by another officer before being confirmed.</w:t>
      </w:r>
      <w:r w:rsidR="003E6EC9" w:rsidRPr="004A3983">
        <w:rPr>
          <w:rStyle w:val="FootnoteReference"/>
          <w:rFonts w:ascii="Gotham Book" w:hAnsi="Gotham Book"/>
        </w:rPr>
        <w:footnoteReference w:id="112"/>
      </w:r>
      <w:r w:rsidR="003E6EC9" w:rsidRPr="004A3983">
        <w:rPr>
          <w:rFonts w:ascii="Gotham Book" w:hAnsi="Gotham Book"/>
        </w:rPr>
        <w:t xml:space="preserve"> </w:t>
      </w:r>
      <w:r w:rsidR="00C34E9C" w:rsidRPr="004A3983">
        <w:rPr>
          <w:rFonts w:ascii="Gotham Book" w:hAnsi="Gotham Book"/>
        </w:rPr>
        <w:t xml:space="preserve"> </w:t>
      </w:r>
    </w:p>
    <w:p w14:paraId="7C7C4153" w14:textId="03533874" w:rsidR="006B2412" w:rsidRPr="004A3983" w:rsidRDefault="00BB42EF" w:rsidP="000B620D">
      <w:pPr>
        <w:pStyle w:val="Heading2"/>
        <w:spacing w:after="160"/>
        <w:ind w:right="-2"/>
      </w:pPr>
      <w:bookmarkStart w:id="163" w:name="_Toc22627755"/>
      <w:r w:rsidRPr="004A3983">
        <w:t>C</w:t>
      </w:r>
      <w:r w:rsidR="006B2412" w:rsidRPr="004A3983">
        <w:t>onsequences of the errors in the Register</w:t>
      </w:r>
      <w:bookmarkEnd w:id="163"/>
    </w:p>
    <w:p w14:paraId="4F505A24" w14:textId="0F42E9C3" w:rsidR="00451881" w:rsidRPr="004A3983" w:rsidRDefault="00451881" w:rsidP="00451881">
      <w:pPr>
        <w:spacing w:after="160"/>
        <w:ind w:right="-2"/>
        <w:rPr>
          <w:rFonts w:ascii="Gotham Book" w:hAnsi="Gotham Book"/>
        </w:rPr>
      </w:pPr>
      <w:r w:rsidRPr="004A3983">
        <w:rPr>
          <w:rFonts w:ascii="Gotham Book" w:hAnsi="Gotham Book"/>
        </w:rPr>
        <w:t>The Commission rev</w:t>
      </w:r>
      <w:r w:rsidR="00454E2D" w:rsidRPr="004A3983">
        <w:rPr>
          <w:rFonts w:ascii="Gotham Book" w:hAnsi="Gotham Book"/>
        </w:rPr>
        <w:t>iewed a number of Register cases</w:t>
      </w:r>
      <w:r w:rsidRPr="004A3983">
        <w:rPr>
          <w:rFonts w:ascii="Gotham Book" w:hAnsi="Gotham Book"/>
        </w:rPr>
        <w:t xml:space="preserve"> in which</w:t>
      </w:r>
      <w:r w:rsidR="000732AB" w:rsidRPr="004A3983">
        <w:rPr>
          <w:rFonts w:ascii="Gotham Book" w:hAnsi="Gotham Book"/>
        </w:rPr>
        <w:t xml:space="preserve"> the NSW Police Force made the</w:t>
      </w:r>
      <w:r w:rsidRPr="004A3983">
        <w:rPr>
          <w:rFonts w:ascii="Gotham Book" w:hAnsi="Gotham Book"/>
        </w:rPr>
        <w:t xml:space="preserve"> types of errors</w:t>
      </w:r>
      <w:r w:rsidR="000732AB" w:rsidRPr="004A3983">
        <w:rPr>
          <w:rFonts w:ascii="Gotham Book" w:hAnsi="Gotham Book"/>
        </w:rPr>
        <w:t xml:space="preserve"> identified by the CPR case review</w:t>
      </w:r>
      <w:r w:rsidRPr="004A3983">
        <w:rPr>
          <w:rFonts w:ascii="Gotham Book" w:hAnsi="Gotham Book"/>
        </w:rPr>
        <w:t xml:space="preserve">, to identify why these incorrect decisions were made, and the risks and consequences which flowed from these errors in each case. </w:t>
      </w:r>
      <w:r w:rsidR="000732AB" w:rsidRPr="004A3983">
        <w:rPr>
          <w:rFonts w:ascii="Gotham Book" w:hAnsi="Gotham Book"/>
        </w:rPr>
        <w:t>The case studies in the following sections are based on those reviews.</w:t>
      </w:r>
    </w:p>
    <w:p w14:paraId="485FB0BC" w14:textId="0622DBFA" w:rsidR="000E2816" w:rsidRPr="004A3983" w:rsidRDefault="000E2816" w:rsidP="000E2816">
      <w:pPr>
        <w:pStyle w:val="Heading3"/>
        <w:spacing w:after="160"/>
        <w:ind w:left="709" w:right="-2" w:hanging="709"/>
      </w:pPr>
      <w:bookmarkStart w:id="164" w:name="_Toc8913501"/>
      <w:bookmarkStart w:id="165" w:name="_Toc9428362"/>
      <w:bookmarkStart w:id="166" w:name="_Ref9851023"/>
      <w:bookmarkStart w:id="167" w:name="_Toc12020314"/>
      <w:bookmarkStart w:id="168" w:name="_Toc14790479"/>
      <w:bookmarkStart w:id="169" w:name="_Toc15478362"/>
      <w:bookmarkStart w:id="170" w:name="_Toc22627756"/>
      <w:bookmarkStart w:id="171" w:name="_Toc8913498"/>
      <w:bookmarkStart w:id="172" w:name="_Toc9428359"/>
      <w:bookmarkStart w:id="173" w:name="_Ref9850853"/>
      <w:bookmarkStart w:id="174" w:name="_Ref10541683"/>
      <w:bookmarkStart w:id="175" w:name="_Toc12020311"/>
      <w:bookmarkStart w:id="176" w:name="_Toc14790476"/>
      <w:bookmarkStart w:id="177" w:name="_Toc15478359"/>
      <w:r w:rsidRPr="004A3983">
        <w:t>NSW Police Force left registrable persons off the</w:t>
      </w:r>
      <w:r w:rsidR="0099254C">
        <w:t> </w:t>
      </w:r>
      <w:r w:rsidRPr="004A3983">
        <w:t>Register</w:t>
      </w:r>
      <w:bookmarkEnd w:id="164"/>
      <w:bookmarkEnd w:id="165"/>
      <w:bookmarkEnd w:id="166"/>
      <w:bookmarkEnd w:id="167"/>
      <w:bookmarkEnd w:id="168"/>
      <w:bookmarkEnd w:id="169"/>
      <w:bookmarkEnd w:id="170"/>
    </w:p>
    <w:p w14:paraId="0054D7F4" w14:textId="50E56738" w:rsidR="002B6A5E" w:rsidRPr="004A3983" w:rsidRDefault="00DB615F" w:rsidP="0053144A">
      <w:pPr>
        <w:spacing w:after="160"/>
        <w:ind w:right="-2"/>
        <w:rPr>
          <w:rFonts w:ascii="Gotham Book" w:hAnsi="Gotham Book"/>
        </w:rPr>
      </w:pPr>
      <w:r w:rsidRPr="004A3983">
        <w:rPr>
          <w:rFonts w:ascii="Gotham Book" w:hAnsi="Gotham Book"/>
        </w:rPr>
        <w:t>P</w:t>
      </w:r>
      <w:r w:rsidR="0053144A" w:rsidRPr="004A3983">
        <w:rPr>
          <w:rFonts w:ascii="Gotham Book" w:hAnsi="Gotham Book"/>
        </w:rPr>
        <w:t>rior to 2019 the NSW Police Force had not undertaken any</w:t>
      </w:r>
      <w:r w:rsidR="007F7DC6" w:rsidRPr="004A3983">
        <w:rPr>
          <w:rFonts w:ascii="Gotham Book" w:hAnsi="Gotham Book"/>
        </w:rPr>
        <w:t xml:space="preserve"> particular</w:t>
      </w:r>
      <w:r w:rsidR="0053144A" w:rsidRPr="004A3983">
        <w:rPr>
          <w:rFonts w:ascii="Gotham Book" w:hAnsi="Gotham Book"/>
        </w:rPr>
        <w:t xml:space="preserve"> process to identify persons who it had mistakenly left off the Register. </w:t>
      </w:r>
      <w:r w:rsidR="002B6A5E" w:rsidRPr="004A3983">
        <w:rPr>
          <w:rFonts w:ascii="Gotham Book" w:hAnsi="Gotham Book"/>
        </w:rPr>
        <w:t>In 2016 the NSW Police Force had however discovered one person who had been left off the Register in error. As Case Study 1 below shows, the NSW Police Force</w:t>
      </w:r>
      <w:r w:rsidR="007D549D" w:rsidRPr="004A3983">
        <w:rPr>
          <w:rFonts w:ascii="Gotham Book" w:hAnsi="Gotham Book"/>
        </w:rPr>
        <w:t xml:space="preserve"> had</w:t>
      </w:r>
      <w:r w:rsidR="002B6A5E" w:rsidRPr="004A3983">
        <w:rPr>
          <w:rFonts w:ascii="Gotham Book" w:hAnsi="Gotham Book"/>
        </w:rPr>
        <w:t xml:space="preserve"> initially determined that this person, Mr FF, was not a registrable person. As a result of this error, for almost eight years Mr FF did not provide the reports of his information required by the CPOR Act. </w:t>
      </w:r>
    </w:p>
    <w:p w14:paraId="18EA5226" w14:textId="13262CCB" w:rsidR="0053144A" w:rsidRPr="004A3983" w:rsidRDefault="00DB615F" w:rsidP="0053144A">
      <w:pPr>
        <w:spacing w:after="160"/>
        <w:ind w:right="-2"/>
        <w:rPr>
          <w:rFonts w:ascii="Gotham Book" w:hAnsi="Gotham Book"/>
        </w:rPr>
      </w:pPr>
      <w:r w:rsidRPr="004A3983">
        <w:rPr>
          <w:rFonts w:ascii="Gotham Book" w:hAnsi="Gotham Book"/>
        </w:rPr>
        <w:t xml:space="preserve">As </w:t>
      </w:r>
      <w:r w:rsidR="007F7DC6" w:rsidRPr="004A3983">
        <w:rPr>
          <w:rFonts w:ascii="Gotham Book" w:hAnsi="Gotham Book"/>
        </w:rPr>
        <w:t xml:space="preserve">a result of Operation Tusket, the NSW Police Force identified </w:t>
      </w:r>
      <w:r w:rsidR="004F578F" w:rsidRPr="004A3983">
        <w:rPr>
          <w:rFonts w:ascii="Gotham Book" w:hAnsi="Gotham Book"/>
        </w:rPr>
        <w:t xml:space="preserve">a further </w:t>
      </w:r>
      <w:r w:rsidR="007F7DC6" w:rsidRPr="004A3983">
        <w:rPr>
          <w:rFonts w:ascii="Gotham Book" w:hAnsi="Gotham Book"/>
        </w:rPr>
        <w:t xml:space="preserve">95 </w:t>
      </w:r>
      <w:r w:rsidR="008B72C9">
        <w:rPr>
          <w:rFonts w:ascii="Gotham Book" w:hAnsi="Gotham Book"/>
        </w:rPr>
        <w:t>persons who it had incorrectly decided</w:t>
      </w:r>
      <w:r w:rsidR="007F7DC6" w:rsidRPr="004A3983">
        <w:rPr>
          <w:rFonts w:ascii="Gotham Book" w:hAnsi="Gotham Book"/>
        </w:rPr>
        <w:t xml:space="preserve"> </w:t>
      </w:r>
      <w:r w:rsidR="008B72C9">
        <w:rPr>
          <w:rFonts w:ascii="Gotham Book" w:hAnsi="Gotham Book"/>
        </w:rPr>
        <w:t xml:space="preserve">were not </w:t>
      </w:r>
      <w:r w:rsidR="007F7DC6" w:rsidRPr="004A3983">
        <w:rPr>
          <w:rFonts w:ascii="Gotham Book" w:hAnsi="Gotham Book"/>
        </w:rPr>
        <w:t xml:space="preserve">registrable persons. </w:t>
      </w:r>
      <w:r w:rsidRPr="004A3983">
        <w:rPr>
          <w:rFonts w:ascii="Gotham Book" w:hAnsi="Gotham Book"/>
        </w:rPr>
        <w:t xml:space="preserve">Sixty-seven of those persons were left off the Register, and therefore </w:t>
      </w:r>
      <w:r w:rsidR="000A7320" w:rsidRPr="004A3983">
        <w:rPr>
          <w:rFonts w:ascii="Gotham Book" w:hAnsi="Gotham Book"/>
        </w:rPr>
        <w:t>did not make reports to</w:t>
      </w:r>
      <w:r w:rsidRPr="004A3983">
        <w:rPr>
          <w:rFonts w:ascii="Gotham Book" w:hAnsi="Gotham Book"/>
        </w:rPr>
        <w:t xml:space="preserve"> the NSW Police Force, for the entirety of their reporting period. </w:t>
      </w:r>
    </w:p>
    <w:p w14:paraId="461109BD" w14:textId="124F5E8C" w:rsidR="000E2816" w:rsidRPr="004A3983" w:rsidRDefault="000E2816" w:rsidP="000E2816">
      <w:pPr>
        <w:pStyle w:val="CaseStudyHeading"/>
        <w:spacing w:after="160" w:line="259" w:lineRule="auto"/>
        <w:ind w:right="-2"/>
        <w:rPr>
          <w:b w:val="0"/>
        </w:rPr>
      </w:pPr>
      <w:bookmarkStart w:id="178" w:name="_Toc22280899"/>
      <w:r w:rsidRPr="004A3983">
        <w:lastRenderedPageBreak/>
        <w:t>Registrable person left off the Register</w:t>
      </w:r>
      <w:r w:rsidR="00DC1CFA" w:rsidRPr="004A3983">
        <w:t xml:space="preserve"> for almost eight</w:t>
      </w:r>
      <w:r w:rsidRPr="004A3983">
        <w:t xml:space="preserve"> years</w:t>
      </w:r>
      <w:bookmarkEnd w:id="178"/>
    </w:p>
    <w:p w14:paraId="16AF7B64" w14:textId="2102E23A" w:rsidR="000E2816" w:rsidRPr="004A3983" w:rsidRDefault="000E2816" w:rsidP="000E2816">
      <w:pPr>
        <w:pStyle w:val="CaseStudyText"/>
        <w:spacing w:after="160"/>
        <w:ind w:right="-2"/>
      </w:pPr>
      <w:r w:rsidRPr="004A3983">
        <w:t>In 2008 Mr FF</w:t>
      </w:r>
      <w:r w:rsidRPr="004A3983">
        <w:rPr>
          <w:rStyle w:val="FootnoteReference"/>
          <w:rFonts w:ascii="Gotham Book" w:hAnsi="Gotham Book" w:cs="Arial"/>
          <w:sz w:val="20"/>
          <w:szCs w:val="20"/>
        </w:rPr>
        <w:footnoteReference w:id="113"/>
      </w:r>
      <w:r w:rsidRPr="004A3983">
        <w:t xml:space="preserve"> was convicted of one count of using a carriage service to access child pornography. He was given a conditional release order under s 20(1)(a) of the </w:t>
      </w:r>
      <w:r w:rsidRPr="004A3983">
        <w:rPr>
          <w:i/>
        </w:rPr>
        <w:t>Crimes Act 1914</w:t>
      </w:r>
      <w:r w:rsidRPr="004A3983">
        <w:t xml:space="preserve"> (Cth), with conditions. </w:t>
      </w:r>
      <w:r w:rsidR="00436B58" w:rsidRPr="004A3983">
        <w:t>The NSW Police Force considered Mr FF</w:t>
      </w:r>
      <w:r w:rsidR="00A66D92" w:rsidRPr="004A3983">
        <w:t>’</w:t>
      </w:r>
      <w:r w:rsidR="00436B58" w:rsidRPr="004A3983">
        <w:t>s conviction and sentence</w:t>
      </w:r>
      <w:r w:rsidRPr="004A3983">
        <w:t xml:space="preserve">, but made the decision that he was not a registrable person under the CPOR Act. </w:t>
      </w:r>
    </w:p>
    <w:p w14:paraId="651D7C19" w14:textId="4FEE0295" w:rsidR="000E2816" w:rsidRPr="004A3983" w:rsidRDefault="000E2816" w:rsidP="000E2816">
      <w:pPr>
        <w:pStyle w:val="CaseStudyText"/>
        <w:spacing w:after="160"/>
        <w:ind w:right="-2"/>
      </w:pPr>
      <w:r w:rsidRPr="004A3983">
        <w:t xml:space="preserve">In May 2016 Mr FF’s case </w:t>
      </w:r>
      <w:r w:rsidR="008A100D" w:rsidRPr="004A3983">
        <w:t xml:space="preserve">again </w:t>
      </w:r>
      <w:r w:rsidRPr="004A3983">
        <w:t xml:space="preserve">came to the attention of the </w:t>
      </w:r>
      <w:r w:rsidR="008A100D" w:rsidRPr="004A3983">
        <w:t>NSW Police Force</w:t>
      </w:r>
      <w:r w:rsidRPr="004A3983">
        <w:t xml:space="preserve">. The Registry requested legal advice as to whether in fact he should have been put on the Register in 2008. The legal advice concerned whether the Commonwealth conditional release order was a sentence which would result in Mr FF being a registrable person under the CPOR Act. The legal advice ultimately concluded that Mr FF was a registrable person. </w:t>
      </w:r>
    </w:p>
    <w:p w14:paraId="372EC3F1" w14:textId="54DC9720" w:rsidR="000E2816" w:rsidRPr="004A3983" w:rsidRDefault="000E2816" w:rsidP="000E2816">
      <w:pPr>
        <w:pStyle w:val="CaseStudyText"/>
        <w:spacing w:after="160"/>
        <w:ind w:right="-2"/>
      </w:pPr>
      <w:r w:rsidRPr="004A3983">
        <w:t xml:space="preserve">The </w:t>
      </w:r>
      <w:r w:rsidR="00083BB6" w:rsidRPr="004A3983">
        <w:t>NSW Police Force</w:t>
      </w:r>
      <w:r w:rsidRPr="004A3983">
        <w:t xml:space="preserve"> therefore created a case for Mr FF, and determined his reporting period w</w:t>
      </w:r>
      <w:r w:rsidR="00083BB6" w:rsidRPr="004A3983">
        <w:t>as eight</w:t>
      </w:r>
      <w:r w:rsidRPr="004A3983">
        <w:t xml:space="preserve"> years. Mr FF therefore should have been reporting his information to police from 14 July 2008 to 13 July 2016. </w:t>
      </w:r>
    </w:p>
    <w:p w14:paraId="181FCDDE" w14:textId="77777777" w:rsidR="000E2816" w:rsidRPr="004A3983" w:rsidRDefault="000E2816" w:rsidP="000E2816">
      <w:pPr>
        <w:pStyle w:val="CaseStudyText"/>
        <w:spacing w:after="360"/>
        <w:ind w:right="-2"/>
      </w:pPr>
      <w:r w:rsidRPr="004A3983">
        <w:t xml:space="preserve">The NSW Police Force notified Mr FF on 31 May 2016 that he was subject to reporting obligations under the CPOR Act, and on 10 June 2016 he made an initial report of his personal information, and was notified that his reporting period would continue for 34 days. </w:t>
      </w:r>
    </w:p>
    <w:p w14:paraId="6B4D205F" w14:textId="4A8CB545" w:rsidR="006B2412" w:rsidRPr="004A3983" w:rsidRDefault="006B2412" w:rsidP="000B620D">
      <w:pPr>
        <w:pStyle w:val="Heading3"/>
        <w:spacing w:after="160"/>
        <w:ind w:left="709" w:right="-2" w:hanging="709"/>
      </w:pPr>
      <w:bookmarkStart w:id="179" w:name="_Toc22627757"/>
      <w:r w:rsidRPr="004A3983">
        <w:t>NSW Police Force calculated persons’ reporting periods as being shorter than legally required</w:t>
      </w:r>
      <w:bookmarkEnd w:id="171"/>
      <w:bookmarkEnd w:id="172"/>
      <w:bookmarkEnd w:id="173"/>
      <w:bookmarkEnd w:id="174"/>
      <w:bookmarkEnd w:id="175"/>
      <w:bookmarkEnd w:id="176"/>
      <w:bookmarkEnd w:id="177"/>
      <w:bookmarkEnd w:id="179"/>
    </w:p>
    <w:p w14:paraId="3FBE0CF5" w14:textId="12EA5065" w:rsidR="006B2412" w:rsidRPr="004A3983" w:rsidRDefault="006B2412" w:rsidP="000B620D">
      <w:pPr>
        <w:spacing w:after="160"/>
        <w:ind w:right="-2"/>
        <w:rPr>
          <w:rFonts w:ascii="Gotham Book" w:hAnsi="Gotham Book"/>
        </w:rPr>
      </w:pPr>
      <w:r w:rsidRPr="004A3983">
        <w:rPr>
          <w:rFonts w:ascii="Gotham Book" w:hAnsi="Gotham Book"/>
        </w:rPr>
        <w:t>There were 485 registrable persons identified by the CPR case review team whose reporting periods were too short. This occurred when the NSW Police Force made errors when deciding which reporting period the CPOR Act prescribed for the person, based on their criminal history.</w:t>
      </w:r>
      <w:r w:rsidRPr="004A3983">
        <w:rPr>
          <w:rStyle w:val="FootnoteReference"/>
          <w:rFonts w:ascii="Gotham Book" w:hAnsi="Gotham Book"/>
        </w:rPr>
        <w:footnoteReference w:id="114"/>
      </w:r>
    </w:p>
    <w:p w14:paraId="258DF88F" w14:textId="04B52FC6" w:rsidR="006B2412" w:rsidRPr="004A3983" w:rsidRDefault="006B2412" w:rsidP="000B620D">
      <w:pPr>
        <w:spacing w:after="160"/>
        <w:ind w:right="-2"/>
        <w:rPr>
          <w:rFonts w:ascii="Gotham Book" w:hAnsi="Gotham Book"/>
        </w:rPr>
      </w:pPr>
      <w:r w:rsidRPr="004A3983">
        <w:rPr>
          <w:rFonts w:ascii="Gotham Book" w:hAnsi="Gotham Book"/>
        </w:rPr>
        <w:t>The Commission reviewed the cases of</w:t>
      </w:r>
      <w:r w:rsidR="006F445D" w:rsidRPr="004A3983">
        <w:rPr>
          <w:rFonts w:ascii="Gotham Book" w:hAnsi="Gotham Book"/>
        </w:rPr>
        <w:t xml:space="preserve"> four</w:t>
      </w:r>
      <w:r w:rsidRPr="004A3983">
        <w:rPr>
          <w:rFonts w:ascii="Gotham Book" w:hAnsi="Gotham Book"/>
        </w:rPr>
        <w:t xml:space="preserve"> persons in this category. Our review</w:t>
      </w:r>
      <w:r w:rsidR="00EB62CD" w:rsidRPr="004A3983">
        <w:rPr>
          <w:rFonts w:ascii="Gotham Book" w:hAnsi="Gotham Book"/>
        </w:rPr>
        <w:t>s</w:t>
      </w:r>
      <w:r w:rsidRPr="004A3983">
        <w:rPr>
          <w:rFonts w:ascii="Gotham Book" w:hAnsi="Gotham Book"/>
        </w:rPr>
        <w:t xml:space="preserve"> established that in some cases these incorrect decisions resulted in the person being unmonitored in the community when they should have been required to make reports to police and comply with other obligations under </w:t>
      </w:r>
      <w:r w:rsidR="0049157F" w:rsidRPr="004A3983">
        <w:rPr>
          <w:rFonts w:ascii="Gotham Book" w:hAnsi="Gotham Book"/>
        </w:rPr>
        <w:t>the CPOR Act. This occurred in Case S</w:t>
      </w:r>
      <w:r w:rsidRPr="004A3983">
        <w:rPr>
          <w:rFonts w:ascii="Gotham Book" w:hAnsi="Gotham Book"/>
        </w:rPr>
        <w:t xml:space="preserve">tudies </w:t>
      </w:r>
      <w:r w:rsidR="00F27882" w:rsidRPr="004A3983">
        <w:rPr>
          <w:rFonts w:ascii="Gotham Book" w:hAnsi="Gotham Book"/>
        </w:rPr>
        <w:t>2 a</w:t>
      </w:r>
      <w:r w:rsidRPr="004A3983">
        <w:rPr>
          <w:rFonts w:ascii="Gotham Book" w:hAnsi="Gotham Book"/>
        </w:rPr>
        <w:t xml:space="preserve">nd </w:t>
      </w:r>
      <w:r w:rsidR="00F27882" w:rsidRPr="004A3983">
        <w:rPr>
          <w:rFonts w:ascii="Gotham Book" w:hAnsi="Gotham Book"/>
        </w:rPr>
        <w:t>3</w:t>
      </w:r>
      <w:r w:rsidR="00B839D0" w:rsidRPr="004A3983">
        <w:rPr>
          <w:rFonts w:ascii="Gotham Book" w:hAnsi="Gotham Book"/>
        </w:rPr>
        <w:t>.</w:t>
      </w:r>
      <w:r w:rsidRPr="004A3983">
        <w:rPr>
          <w:rFonts w:ascii="Gotham Book" w:hAnsi="Gotham Book"/>
        </w:rPr>
        <w:t xml:space="preserve"> These case studies also demonstrate how electronic system errors compounded errors of </w:t>
      </w:r>
      <w:r w:rsidR="00006E47" w:rsidRPr="004A3983">
        <w:rPr>
          <w:rFonts w:ascii="Gotham Book" w:hAnsi="Gotham Book"/>
        </w:rPr>
        <w:t>law and fact in some</w:t>
      </w:r>
      <w:r w:rsidRPr="004A3983">
        <w:rPr>
          <w:rFonts w:ascii="Gotham Book" w:hAnsi="Gotham Book"/>
        </w:rPr>
        <w:t xml:space="preserve"> Register case</w:t>
      </w:r>
      <w:r w:rsidR="00006E47" w:rsidRPr="004A3983">
        <w:rPr>
          <w:rFonts w:ascii="Gotham Book" w:hAnsi="Gotham Book"/>
        </w:rPr>
        <w:t>s</w:t>
      </w:r>
      <w:r w:rsidRPr="004A3983">
        <w:rPr>
          <w:rFonts w:ascii="Gotham Book" w:hAnsi="Gotham Book"/>
        </w:rPr>
        <w:t xml:space="preserve">. </w:t>
      </w:r>
    </w:p>
    <w:p w14:paraId="69F9E2E5" w14:textId="536AD145" w:rsidR="005C6C57" w:rsidRPr="004A3983" w:rsidRDefault="006B2412" w:rsidP="000B620D">
      <w:pPr>
        <w:spacing w:after="160"/>
        <w:ind w:right="-2"/>
        <w:rPr>
          <w:rFonts w:ascii="Gotham Book" w:hAnsi="Gotham Book"/>
        </w:rPr>
      </w:pPr>
      <w:r w:rsidRPr="004A3983">
        <w:rPr>
          <w:rFonts w:ascii="Gotham Book" w:hAnsi="Gotham Book"/>
        </w:rPr>
        <w:t xml:space="preserve">In </w:t>
      </w:r>
      <w:r w:rsidR="007F27C6" w:rsidRPr="004A3983">
        <w:rPr>
          <w:rFonts w:ascii="Gotham Book" w:hAnsi="Gotham Book"/>
        </w:rPr>
        <w:t>Case Study</w:t>
      </w:r>
      <w:r w:rsidRPr="004A3983">
        <w:rPr>
          <w:rFonts w:ascii="Gotham Book" w:hAnsi="Gotham Book"/>
        </w:rPr>
        <w:t xml:space="preserve"> </w:t>
      </w:r>
      <w:r w:rsidR="008A6F63" w:rsidRPr="004A3983">
        <w:rPr>
          <w:rFonts w:ascii="Gotham Book" w:hAnsi="Gotham Book"/>
        </w:rPr>
        <w:t>2</w:t>
      </w:r>
      <w:r w:rsidR="00E24CB1" w:rsidRPr="004A3983">
        <w:rPr>
          <w:rFonts w:ascii="Gotham Book" w:hAnsi="Gotham Book"/>
        </w:rPr>
        <w:t>,</w:t>
      </w:r>
      <w:r w:rsidRPr="004A3983">
        <w:rPr>
          <w:rFonts w:ascii="Gotham Book" w:hAnsi="Gotham Book"/>
        </w:rPr>
        <w:t xml:space="preserve"> Mr AA reoffended against a 10 year old child during a period when the NSW Police Force should have been requiring him to be reporting his personal information to polic</w:t>
      </w:r>
      <w:r w:rsidR="004A43AE" w:rsidRPr="004A3983">
        <w:rPr>
          <w:rFonts w:ascii="Gotham Book" w:hAnsi="Gotham Book"/>
        </w:rPr>
        <w:t xml:space="preserve">e. It cannot be </w:t>
      </w:r>
      <w:r w:rsidR="00E2203A" w:rsidRPr="004A3983">
        <w:rPr>
          <w:rFonts w:ascii="Gotham Book" w:hAnsi="Gotham Book"/>
        </w:rPr>
        <w:t>known</w:t>
      </w:r>
      <w:r w:rsidR="004A43AE" w:rsidRPr="004A3983">
        <w:rPr>
          <w:rFonts w:ascii="Gotham Book" w:hAnsi="Gotham Book"/>
        </w:rPr>
        <w:t xml:space="preserve"> whether</w:t>
      </w:r>
      <w:r w:rsidR="00E2203A" w:rsidRPr="004A3983">
        <w:rPr>
          <w:rFonts w:ascii="Gotham Book" w:hAnsi="Gotham Book"/>
        </w:rPr>
        <w:t>,</w:t>
      </w:r>
      <w:r w:rsidRPr="004A3983">
        <w:rPr>
          <w:rFonts w:ascii="Gotham Book" w:hAnsi="Gotham Book"/>
        </w:rPr>
        <w:t xml:space="preserve"> if Mr AA had been required to comply with his reporting obligations at the relevant time</w:t>
      </w:r>
      <w:r w:rsidR="004A43AE" w:rsidRPr="004A3983">
        <w:rPr>
          <w:rFonts w:ascii="Gotham Book" w:hAnsi="Gotham Book"/>
        </w:rPr>
        <w:t>,</w:t>
      </w:r>
      <w:r w:rsidRPr="004A3983">
        <w:rPr>
          <w:rFonts w:ascii="Gotham Book" w:hAnsi="Gotham Book"/>
        </w:rPr>
        <w:t xml:space="preserve"> </w:t>
      </w:r>
      <w:r w:rsidR="00E2203A" w:rsidRPr="004A3983">
        <w:rPr>
          <w:rFonts w:ascii="Gotham Book" w:hAnsi="Gotham Book"/>
        </w:rPr>
        <w:t>he would not have reoffended</w:t>
      </w:r>
      <w:r w:rsidRPr="004A3983">
        <w:rPr>
          <w:rFonts w:ascii="Gotham Book" w:hAnsi="Gotham Book"/>
        </w:rPr>
        <w:t xml:space="preserve">. However, if he had been correctly recorded in COPS as </w:t>
      </w:r>
      <w:r w:rsidR="00076435" w:rsidRPr="004A3983">
        <w:rPr>
          <w:rFonts w:ascii="Gotham Book" w:hAnsi="Gotham Book"/>
        </w:rPr>
        <w:t>being required to</w:t>
      </w:r>
      <w:r w:rsidR="0042789D">
        <w:rPr>
          <w:rFonts w:ascii="Gotham Book" w:hAnsi="Gotham Book"/>
        </w:rPr>
        <w:t> </w:t>
      </w:r>
      <w:r w:rsidR="00076435" w:rsidRPr="004A3983">
        <w:rPr>
          <w:rFonts w:ascii="Gotham Book" w:hAnsi="Gotham Book"/>
        </w:rPr>
        <w:t xml:space="preserve">make reports </w:t>
      </w:r>
      <w:r w:rsidRPr="004A3983">
        <w:rPr>
          <w:rFonts w:ascii="Gotham Book" w:hAnsi="Gotham Book"/>
        </w:rPr>
        <w:t xml:space="preserve">under the CPOR Act, he most likely would have been subject to </w:t>
      </w:r>
      <w:r w:rsidRPr="004A3983">
        <w:rPr>
          <w:rFonts w:ascii="Gotham Book" w:hAnsi="Gotham Book"/>
        </w:rPr>
        <w:lastRenderedPageBreak/>
        <w:t xml:space="preserve">increased scrutiny, </w:t>
      </w:r>
      <w:r w:rsidR="00E2203A" w:rsidRPr="004A3983">
        <w:rPr>
          <w:rFonts w:ascii="Gotham Book" w:hAnsi="Gotham Book"/>
        </w:rPr>
        <w:t xml:space="preserve">and </w:t>
      </w:r>
      <w:r w:rsidRPr="004A3983">
        <w:rPr>
          <w:rFonts w:ascii="Gotham Book" w:hAnsi="Gotham Book"/>
        </w:rPr>
        <w:t xml:space="preserve">the risk of </w:t>
      </w:r>
      <w:r w:rsidR="00A671A8" w:rsidRPr="004A3983">
        <w:rPr>
          <w:rFonts w:ascii="Gotham Book" w:hAnsi="Gotham Book"/>
        </w:rPr>
        <w:t xml:space="preserve">his </w:t>
      </w:r>
      <w:r w:rsidRPr="004A3983">
        <w:rPr>
          <w:rFonts w:ascii="Gotham Book" w:hAnsi="Gotham Book"/>
        </w:rPr>
        <w:t>reoffending</w:t>
      </w:r>
      <w:r w:rsidR="00E2203A" w:rsidRPr="004A3983">
        <w:rPr>
          <w:rFonts w:ascii="Gotham Book" w:hAnsi="Gotham Book"/>
        </w:rPr>
        <w:t xml:space="preserve"> thus reduced</w:t>
      </w:r>
      <w:r w:rsidRPr="004A3983">
        <w:rPr>
          <w:rFonts w:ascii="Gotham Book" w:hAnsi="Gotham Book"/>
        </w:rPr>
        <w:t>. Mr AA is now subject to reporting obligations for the rest of his life.</w:t>
      </w:r>
    </w:p>
    <w:p w14:paraId="3DD25ED4" w14:textId="184D863F" w:rsidR="006B2412" w:rsidRPr="004A3983" w:rsidRDefault="000418A7" w:rsidP="000B620D">
      <w:pPr>
        <w:pStyle w:val="CaseStudyHeading"/>
        <w:spacing w:after="160" w:line="259" w:lineRule="auto"/>
        <w:ind w:right="-2"/>
        <w:rPr>
          <w:b w:val="0"/>
        </w:rPr>
      </w:pPr>
      <w:bookmarkStart w:id="180" w:name="_Ref9850861"/>
      <w:bookmarkStart w:id="181" w:name="_Toc22280900"/>
      <w:r w:rsidRPr="004A3983">
        <w:t>Registrable p</w:t>
      </w:r>
      <w:r w:rsidR="002C55D7" w:rsidRPr="004A3983">
        <w:t>erson reoffended while unmonitored</w:t>
      </w:r>
      <w:bookmarkEnd w:id="180"/>
      <w:bookmarkEnd w:id="181"/>
      <w:r w:rsidR="002C55D7" w:rsidRPr="004A3983">
        <w:t xml:space="preserve"> </w:t>
      </w:r>
    </w:p>
    <w:p w14:paraId="0ADA49FB" w14:textId="703628BE" w:rsidR="00E76119" w:rsidRPr="004A3983" w:rsidRDefault="00BF6A23" w:rsidP="000B620D">
      <w:pPr>
        <w:pStyle w:val="CaseStudyText"/>
        <w:spacing w:after="160"/>
        <w:ind w:right="-2"/>
      </w:pPr>
      <w:r w:rsidRPr="004A3983">
        <w:t>In 2003</w:t>
      </w:r>
      <w:r w:rsidR="00C14223" w:rsidRPr="004A3983">
        <w:t xml:space="preserve"> Mr AA</w:t>
      </w:r>
      <w:r w:rsidR="00E76119" w:rsidRPr="004A3983">
        <w:rPr>
          <w:rStyle w:val="FootnoteReference"/>
          <w:rFonts w:ascii="Gotham Book" w:hAnsi="Gotham Book"/>
        </w:rPr>
        <w:footnoteReference w:id="115"/>
      </w:r>
      <w:r w:rsidR="00E76119" w:rsidRPr="004A3983">
        <w:t xml:space="preserve"> was convicted of two offences involving aggravated indecent assault of a child. He was sentenced to imprisonment, and was released on parole in 2006. The NSW Police Force determined that he was a registrable person, however, two errors were made in the calculation of his reporting period:</w:t>
      </w:r>
    </w:p>
    <w:p w14:paraId="7343377B" w14:textId="4709FBDC" w:rsidR="002C55D7" w:rsidRPr="004A3983" w:rsidRDefault="00E76119" w:rsidP="0099254C">
      <w:pPr>
        <w:pStyle w:val="ListBullet"/>
        <w:ind w:left="1080"/>
      </w:pPr>
      <w:r w:rsidRPr="004A3983">
        <w:t xml:space="preserve">due to an error in </w:t>
      </w:r>
      <w:r w:rsidR="00EF6569" w:rsidRPr="004A3983">
        <w:t>interpretation of the CPOR Act</w:t>
      </w:r>
      <w:r w:rsidRPr="004A3983">
        <w:t>, his conviction for a ‘pre-Register’ registrable offence in 1997 was not taken into account</w:t>
      </w:r>
      <w:r w:rsidR="00314453" w:rsidRPr="004A3983">
        <w:t>, and</w:t>
      </w:r>
      <w:r w:rsidRPr="004A3983">
        <w:t xml:space="preserve">    </w:t>
      </w:r>
    </w:p>
    <w:p w14:paraId="784E303B" w14:textId="1F1BDCB2" w:rsidR="00E76119" w:rsidRPr="004A3983" w:rsidRDefault="00E76119" w:rsidP="0099254C">
      <w:pPr>
        <w:pStyle w:val="ListBullet"/>
        <w:ind w:left="1080"/>
      </w:pPr>
      <w:r w:rsidRPr="004A3983">
        <w:t xml:space="preserve">due to incomplete information in </w:t>
      </w:r>
      <w:r w:rsidR="00F27944" w:rsidRPr="004A3983">
        <w:t xml:space="preserve">his </w:t>
      </w:r>
      <w:r w:rsidRPr="004A3983">
        <w:t>COPS</w:t>
      </w:r>
      <w:r w:rsidR="00F27944" w:rsidRPr="004A3983">
        <w:t xml:space="preserve"> records</w:t>
      </w:r>
      <w:r w:rsidRPr="004A3983">
        <w:t>, the two 2003 convictions were only counted as a single registrable offence (instead of two offences).</w:t>
      </w:r>
    </w:p>
    <w:p w14:paraId="788551E7" w14:textId="27804CE0" w:rsidR="00E76119" w:rsidRPr="004A3983" w:rsidRDefault="007632F7" w:rsidP="000B620D">
      <w:pPr>
        <w:pStyle w:val="CaseStudyText"/>
        <w:spacing w:after="160"/>
        <w:ind w:right="-2"/>
      </w:pPr>
      <w:r w:rsidRPr="004A3983">
        <w:t>As a result,</w:t>
      </w:r>
      <w:r w:rsidR="00E76119" w:rsidRPr="004A3983">
        <w:t xml:space="preserve"> the NSW Police Force incorrectly determined that Mr AA’s reporting</w:t>
      </w:r>
      <w:r w:rsidR="00CF25A1" w:rsidRPr="004A3983">
        <w:t xml:space="preserve"> period under the CPOR Act was eight</w:t>
      </w:r>
      <w:r w:rsidR="00E76119" w:rsidRPr="004A3983">
        <w:t xml:space="preserve"> years, rather than 15 years. Also, in 2011 Mr AA’s reporting period was not extended to reflect 11 months he spent in custody.  </w:t>
      </w:r>
    </w:p>
    <w:p w14:paraId="068855D4" w14:textId="59372A8C" w:rsidR="00E76119" w:rsidRPr="004A3983" w:rsidRDefault="00D12428" w:rsidP="000B620D">
      <w:pPr>
        <w:pStyle w:val="CaseStudyText"/>
        <w:spacing w:after="160"/>
        <w:ind w:right="-2"/>
      </w:pPr>
      <w:r w:rsidRPr="004A3983">
        <w:t>The NSW Police Force</w:t>
      </w:r>
      <w:r w:rsidR="0066111D" w:rsidRPr="004A3983">
        <w:t xml:space="preserve"> COPS</w:t>
      </w:r>
      <w:r w:rsidRPr="004A3983">
        <w:t xml:space="preserve"> database</w:t>
      </w:r>
      <w:r w:rsidR="0066111D" w:rsidRPr="004A3983">
        <w:t xml:space="preserve"> automatically finalised </w:t>
      </w:r>
      <w:r w:rsidR="007632F7" w:rsidRPr="004A3983">
        <w:t>Mr AA’s</w:t>
      </w:r>
      <w:r w:rsidR="0066111D" w:rsidRPr="004A3983">
        <w:t xml:space="preserve"> reporting period </w:t>
      </w:r>
      <w:r w:rsidR="00E76119" w:rsidRPr="004A3983">
        <w:t xml:space="preserve">in October 2015.  However, based on his criminal record at that time, under the CPOR Act he was required to make reports until 2023.   </w:t>
      </w:r>
    </w:p>
    <w:p w14:paraId="44900337" w14:textId="1E433FCE" w:rsidR="00E76119" w:rsidRPr="004A3983" w:rsidRDefault="00E76119" w:rsidP="000B620D">
      <w:pPr>
        <w:pStyle w:val="CaseStudyText"/>
        <w:spacing w:after="160"/>
        <w:ind w:right="-2"/>
      </w:pPr>
      <w:r w:rsidRPr="004A3983">
        <w:t>In November 2015 Mr AA boarded a bus and committed an act of indecency in front of a 10 year old girl.</w:t>
      </w:r>
      <w:r w:rsidRPr="004A3983">
        <w:rPr>
          <w:rFonts w:cs="Arial"/>
        </w:rPr>
        <w:t xml:space="preserve"> </w:t>
      </w:r>
      <w:r w:rsidRPr="004A3983">
        <w:t xml:space="preserve">  </w:t>
      </w:r>
    </w:p>
    <w:p w14:paraId="2A2DF6E2" w14:textId="206E1950" w:rsidR="00E76119" w:rsidRPr="004A3983" w:rsidRDefault="004C11CC" w:rsidP="000B620D">
      <w:pPr>
        <w:pStyle w:val="CaseStudyText"/>
        <w:spacing w:after="160"/>
        <w:ind w:right="-2"/>
      </w:pPr>
      <w:r w:rsidRPr="004A3983">
        <w:t>In December 2015</w:t>
      </w:r>
      <w:r w:rsidR="00E76119" w:rsidRPr="004A3983">
        <w:t xml:space="preserve"> a detective contacted the Registry about Mr AA, at which point the errors in his Register case were identified. </w:t>
      </w:r>
    </w:p>
    <w:p w14:paraId="18583D06" w14:textId="6E02E54F" w:rsidR="00E76119" w:rsidRPr="004A3983" w:rsidRDefault="00E76119" w:rsidP="000B620D">
      <w:pPr>
        <w:pStyle w:val="CaseStudyText"/>
        <w:spacing w:after="160"/>
        <w:ind w:right="-2"/>
      </w:pPr>
      <w:r w:rsidRPr="004A3983">
        <w:t>In February 2016 Mr AA was convicted for the act of indecency in November 2015, and was sentenced to 12 months’ imprisonment.</w:t>
      </w:r>
    </w:p>
    <w:p w14:paraId="38BBD74D" w14:textId="66B755B2" w:rsidR="00146D68" w:rsidRPr="004A3983" w:rsidRDefault="00E76119" w:rsidP="000B620D">
      <w:pPr>
        <w:pStyle w:val="CaseStudyText"/>
        <w:spacing w:after="160"/>
        <w:ind w:right="-2"/>
      </w:pPr>
      <w:r w:rsidRPr="004A3983">
        <w:t xml:space="preserve">In October 2016 the NSW Police Force reviewed Mr AA’s file and </w:t>
      </w:r>
      <w:r w:rsidR="004B259F" w:rsidRPr="004A3983">
        <w:t>calculated</w:t>
      </w:r>
      <w:r w:rsidRPr="004A3983">
        <w:t xml:space="preserve"> his reporting period to be 15 years. </w:t>
      </w:r>
    </w:p>
    <w:p w14:paraId="398D93A9" w14:textId="39225CEF" w:rsidR="00E76119" w:rsidRPr="004A3983" w:rsidRDefault="00146D68" w:rsidP="000B620D">
      <w:pPr>
        <w:pStyle w:val="CaseStudyText"/>
        <w:spacing w:after="160"/>
        <w:ind w:right="-2"/>
      </w:pPr>
      <w:r w:rsidRPr="004A3983">
        <w:t xml:space="preserve">In May 2018 a Commission investigator reviewed Mr AA’s file and formed the view that 15 years was the incorrect reporting period for Mr AA under the CPOR Act. </w:t>
      </w:r>
      <w:r w:rsidR="00E76119" w:rsidRPr="004A3983">
        <w:t xml:space="preserve">Mr AA had been convicted of more than three ‘Class 2’ offences (in 1997, 2003 and 2016), including a Class 2 offence that was committed after he had been put on the Register and given notice of his reporting obligations. Following his </w:t>
      </w:r>
      <w:r w:rsidRPr="004A3983">
        <w:t xml:space="preserve">conviction in February 2016, </w:t>
      </w:r>
      <w:r w:rsidR="00BF42C9" w:rsidRPr="004A3983">
        <w:t>the CPOR Act</w:t>
      </w:r>
      <w:r w:rsidRPr="004A3983">
        <w:t xml:space="preserve"> therefore</w:t>
      </w:r>
      <w:r w:rsidR="00BF42C9" w:rsidRPr="004A3983">
        <w:t xml:space="preserve"> </w:t>
      </w:r>
      <w:r w:rsidRPr="004A3983">
        <w:t xml:space="preserve">required Mr AA to report for the </w:t>
      </w:r>
      <w:r w:rsidR="00E76119" w:rsidRPr="004A3983">
        <w:t>remainder of his life.</w:t>
      </w:r>
      <w:r w:rsidR="00E76119" w:rsidRPr="004A3983">
        <w:rPr>
          <w:rStyle w:val="FootnoteReference"/>
          <w:rFonts w:ascii="Gotham Book" w:hAnsi="Gotham Book"/>
        </w:rPr>
        <w:footnoteReference w:id="116"/>
      </w:r>
    </w:p>
    <w:p w14:paraId="7B12D140" w14:textId="28D94C92" w:rsidR="0085022A" w:rsidRPr="004A3983" w:rsidRDefault="00146D68" w:rsidP="000B620D">
      <w:pPr>
        <w:pStyle w:val="CaseStudyText"/>
        <w:spacing w:after="360"/>
        <w:ind w:right="-2"/>
      </w:pPr>
      <w:r w:rsidRPr="004A3983">
        <w:t xml:space="preserve">We </w:t>
      </w:r>
      <w:r w:rsidR="00E76119" w:rsidRPr="004A3983">
        <w:t xml:space="preserve">raised </w:t>
      </w:r>
      <w:r w:rsidRPr="004A3983">
        <w:t>our concern</w:t>
      </w:r>
      <w:r w:rsidR="00E76119" w:rsidRPr="004A3983">
        <w:t xml:space="preserve"> with the NSW Police Force about </w:t>
      </w:r>
      <w:r w:rsidRPr="004A3983">
        <w:t>the correctness of</w:t>
      </w:r>
      <w:r w:rsidR="00E76119" w:rsidRPr="004A3983">
        <w:t xml:space="preserve"> </w:t>
      </w:r>
      <w:r w:rsidR="004B259F" w:rsidRPr="004A3983">
        <w:t>its conclusion</w:t>
      </w:r>
      <w:r w:rsidRPr="004A3983">
        <w:t xml:space="preserve"> that </w:t>
      </w:r>
      <w:r w:rsidR="00E76119" w:rsidRPr="004A3983">
        <w:t xml:space="preserve">Mr AA’s reporting period </w:t>
      </w:r>
      <w:r w:rsidRPr="004A3983">
        <w:t>was</w:t>
      </w:r>
      <w:r w:rsidR="00E76119" w:rsidRPr="004A3983">
        <w:t xml:space="preserve"> 15 years. As a result, the NSW Police Force reviewed Mr AA’s file once more, and </w:t>
      </w:r>
      <w:r w:rsidR="00765B21" w:rsidRPr="004A3983">
        <w:t xml:space="preserve">agreed that the CPOR Act required </w:t>
      </w:r>
      <w:r w:rsidR="00765B21" w:rsidRPr="004A3983">
        <w:lastRenderedPageBreak/>
        <w:t xml:space="preserve">him to report for the remainder of his life, and corrected </w:t>
      </w:r>
      <w:r w:rsidR="00B22A37" w:rsidRPr="004A3983">
        <w:t xml:space="preserve">his </w:t>
      </w:r>
      <w:r w:rsidR="00D51F5C" w:rsidRPr="004A3983">
        <w:t>COPS</w:t>
      </w:r>
      <w:r w:rsidR="00765B21" w:rsidRPr="004A3983">
        <w:t xml:space="preserve"> </w:t>
      </w:r>
      <w:r w:rsidR="00B22A37" w:rsidRPr="004A3983">
        <w:t xml:space="preserve">record </w:t>
      </w:r>
      <w:r w:rsidR="00765B21" w:rsidRPr="004A3983">
        <w:t>to reflect this</w:t>
      </w:r>
      <w:r w:rsidR="00E76119" w:rsidRPr="004A3983">
        <w:t>.</w:t>
      </w:r>
      <w:r w:rsidR="00F31336" w:rsidRPr="004A3983">
        <w:t xml:space="preserve"> </w:t>
      </w:r>
    </w:p>
    <w:p w14:paraId="522DFD6A" w14:textId="19DCBC44" w:rsidR="0085022A" w:rsidRPr="004A3983" w:rsidRDefault="002C55D7" w:rsidP="000B620D">
      <w:pPr>
        <w:spacing w:after="160"/>
        <w:ind w:right="-2"/>
        <w:rPr>
          <w:rFonts w:ascii="Gotham Book" w:hAnsi="Gotham Book"/>
        </w:rPr>
      </w:pPr>
      <w:r w:rsidRPr="004A3983">
        <w:rPr>
          <w:rFonts w:ascii="Gotham Book" w:hAnsi="Gotham Book"/>
        </w:rPr>
        <w:t xml:space="preserve">In </w:t>
      </w:r>
      <w:r w:rsidR="007F27C6" w:rsidRPr="004A3983">
        <w:rPr>
          <w:rFonts w:ascii="Gotham Book" w:hAnsi="Gotham Book"/>
        </w:rPr>
        <w:t>Case Study</w:t>
      </w:r>
      <w:r w:rsidRPr="004A3983">
        <w:rPr>
          <w:rFonts w:ascii="Gotham Book" w:hAnsi="Gotham Book"/>
        </w:rPr>
        <w:t xml:space="preserve"> </w:t>
      </w:r>
      <w:r w:rsidR="008A6F63" w:rsidRPr="004A3983">
        <w:rPr>
          <w:rFonts w:ascii="Gotham Book" w:hAnsi="Gotham Book"/>
        </w:rPr>
        <w:t>3</w:t>
      </w:r>
      <w:r w:rsidRPr="004A3983">
        <w:rPr>
          <w:rFonts w:ascii="Gotham Book" w:hAnsi="Gotham Book"/>
        </w:rPr>
        <w:t xml:space="preserve"> the </w:t>
      </w:r>
      <w:r w:rsidR="004B259F" w:rsidRPr="004A3983">
        <w:rPr>
          <w:rFonts w:ascii="Gotham Book" w:hAnsi="Gotham Book"/>
        </w:rPr>
        <w:t>errors the NSW Police Force made</w:t>
      </w:r>
      <w:r w:rsidRPr="004A3983">
        <w:rPr>
          <w:rFonts w:ascii="Gotham Book" w:hAnsi="Gotham Book"/>
        </w:rPr>
        <w:t xml:space="preserve"> in calculating Mr QQ’s reporting period resulted i</w:t>
      </w:r>
      <w:r w:rsidR="00A9024B" w:rsidRPr="004A3983">
        <w:rPr>
          <w:rFonts w:ascii="Gotham Book" w:hAnsi="Gotham Book"/>
        </w:rPr>
        <w:t>n his</w:t>
      </w:r>
      <w:r w:rsidRPr="004A3983">
        <w:rPr>
          <w:rFonts w:ascii="Gotham Book" w:hAnsi="Gotham Book"/>
        </w:rPr>
        <w:t xml:space="preserve"> being in the community for almost 18 months without making reports as required by the CPOR Act. The NSW Police Force has since corrected hi</w:t>
      </w:r>
      <w:r w:rsidR="008546DF" w:rsidRPr="004A3983">
        <w:rPr>
          <w:rFonts w:ascii="Gotham Book" w:hAnsi="Gotham Book"/>
        </w:rPr>
        <w:t>s records in COPS to show he has reporting obligations until</w:t>
      </w:r>
      <w:r w:rsidRPr="004A3983">
        <w:rPr>
          <w:rFonts w:ascii="Gotham Book" w:hAnsi="Gotham Book"/>
        </w:rPr>
        <w:t xml:space="preserve"> 2022. </w:t>
      </w:r>
    </w:p>
    <w:p w14:paraId="5C86A857" w14:textId="1C84A934" w:rsidR="002C55D7" w:rsidRPr="004A3983" w:rsidRDefault="000418A7" w:rsidP="000B620D">
      <w:pPr>
        <w:pStyle w:val="CaseStudyHeading"/>
        <w:spacing w:after="160" w:line="259" w:lineRule="auto"/>
        <w:ind w:right="-2"/>
        <w:rPr>
          <w:b w:val="0"/>
        </w:rPr>
      </w:pPr>
      <w:bookmarkStart w:id="182" w:name="_Toc22280901"/>
      <w:r w:rsidRPr="004A3983">
        <w:t>Registrable p</w:t>
      </w:r>
      <w:r w:rsidR="002C55D7" w:rsidRPr="004A3983">
        <w:t>erson unmonitored for almost 18 months</w:t>
      </w:r>
      <w:bookmarkEnd w:id="182"/>
    </w:p>
    <w:p w14:paraId="3CD9C4DA" w14:textId="101E3EF9" w:rsidR="00D04126" w:rsidRPr="004A3983" w:rsidRDefault="00D04126" w:rsidP="000B620D">
      <w:pPr>
        <w:pStyle w:val="CaseStudyText"/>
        <w:spacing w:after="160"/>
        <w:ind w:right="-2"/>
      </w:pPr>
      <w:r w:rsidRPr="004A3983">
        <w:t>In December 2006 Mr QQ</w:t>
      </w:r>
      <w:r w:rsidRPr="004A3983">
        <w:rPr>
          <w:rStyle w:val="FootnoteReference"/>
          <w:rFonts w:ascii="Gotham Book" w:hAnsi="Gotham Book"/>
        </w:rPr>
        <w:footnoteReference w:id="117"/>
      </w:r>
      <w:r w:rsidRPr="004A3983">
        <w:t xml:space="preserve"> was convicted of two counts of using a carriage service to procure a person under 16 years old for sex. He was sentenced to imprisonment, and was released on parole in September 2007. </w:t>
      </w:r>
    </w:p>
    <w:p w14:paraId="05073FD1" w14:textId="6D7F36DD" w:rsidR="00D04126" w:rsidRPr="004A3983" w:rsidRDefault="00DD75FF" w:rsidP="000B620D">
      <w:pPr>
        <w:pStyle w:val="CaseStudyText"/>
        <w:spacing w:after="160"/>
        <w:ind w:right="-2"/>
      </w:pPr>
      <w:r w:rsidRPr="004A3983">
        <w:t>In</w:t>
      </w:r>
      <w:r w:rsidR="00D04126" w:rsidRPr="004A3983">
        <w:t xml:space="preserve"> October 2007 the NSW Police Force notified Mr QQ that he was a registrable person and that his repor</w:t>
      </w:r>
      <w:r w:rsidR="00544139" w:rsidRPr="004A3983">
        <w:t>ting period would continue for seven</w:t>
      </w:r>
      <w:r w:rsidR="00D04126" w:rsidRPr="004A3983">
        <w:t xml:space="preserve"> years and 67 days. The NSW Police Force had made two errors in calculating this reporting period:</w:t>
      </w:r>
    </w:p>
    <w:p w14:paraId="4F5C30FA" w14:textId="455FDF32" w:rsidR="00D04126" w:rsidRPr="004A3983" w:rsidRDefault="00D04126" w:rsidP="0099254C">
      <w:pPr>
        <w:pStyle w:val="ListBullet"/>
        <w:ind w:left="1080"/>
      </w:pPr>
      <w:r w:rsidRPr="004A3983">
        <w:t>Mr QQ’s two ‘Class 2’ registrable offences had been committed on two separate days, and against two different children. They did not therefore ‘arise from the same incident’,</w:t>
      </w:r>
      <w:r w:rsidRPr="004A3983">
        <w:rPr>
          <w:vertAlign w:val="superscript"/>
        </w:rPr>
        <w:footnoteReference w:id="118"/>
      </w:r>
      <w:r w:rsidRPr="004A3983">
        <w:t xml:space="preserve"> and </w:t>
      </w:r>
      <w:r w:rsidR="002E637E" w:rsidRPr="004A3983">
        <w:t xml:space="preserve">should have been </w:t>
      </w:r>
      <w:r w:rsidRPr="004A3983">
        <w:t>counted as two Class 2 offences warranting a reporting p</w:t>
      </w:r>
      <w:r w:rsidR="0089250F" w:rsidRPr="004A3983">
        <w:t>eriod of 15 years (rather than eight</w:t>
      </w:r>
      <w:r w:rsidRPr="004A3983">
        <w:t xml:space="preserve"> years for a ‘single’ Class 2).</w:t>
      </w:r>
      <w:r w:rsidRPr="004A3983">
        <w:rPr>
          <w:vertAlign w:val="superscript"/>
        </w:rPr>
        <w:footnoteReference w:id="119"/>
      </w:r>
    </w:p>
    <w:p w14:paraId="263B383F" w14:textId="18AC5EAF" w:rsidR="00D04126" w:rsidRPr="004A3983" w:rsidRDefault="00D04126" w:rsidP="0099254C">
      <w:pPr>
        <w:pStyle w:val="ListBullet"/>
        <w:ind w:left="1080"/>
      </w:pPr>
      <w:r w:rsidRPr="004A3983">
        <w:t>Mr QQ’s reporting period end date appears to have been calculated as if his reporting obligations had started in December 2006, when he had been sentenced. Under the CPOR Act his reporting obligations only commenced in September 2007, when he was released from prison.</w:t>
      </w:r>
      <w:r w:rsidRPr="004A3983">
        <w:rPr>
          <w:vertAlign w:val="superscript"/>
        </w:rPr>
        <w:footnoteReference w:id="120"/>
      </w:r>
      <w:r w:rsidRPr="004A3983">
        <w:rPr>
          <w:vertAlign w:val="superscript"/>
        </w:rPr>
        <w:t xml:space="preserve"> </w:t>
      </w:r>
    </w:p>
    <w:p w14:paraId="460ECB80" w14:textId="1B0FAFC2" w:rsidR="00D04126" w:rsidRPr="004A3983" w:rsidRDefault="00D04126" w:rsidP="000B620D">
      <w:pPr>
        <w:pStyle w:val="CaseStudyText"/>
        <w:spacing w:after="160"/>
        <w:ind w:right="-2"/>
      </w:pPr>
      <w:r w:rsidRPr="004A3983">
        <w:t xml:space="preserve">These two errors together meant that the reporting period the NSW Police </w:t>
      </w:r>
      <w:r w:rsidR="00AA7B32" w:rsidRPr="004A3983">
        <w:t>Force determined for Mr QQ was seven years and nine</w:t>
      </w:r>
      <w:r w:rsidRPr="004A3983">
        <w:t xml:space="preserve"> months shorter than tha</w:t>
      </w:r>
      <w:r w:rsidR="00CF16CA" w:rsidRPr="004A3983">
        <w:t xml:space="preserve">t required under the CPOR Act. </w:t>
      </w:r>
    </w:p>
    <w:p w14:paraId="1A9418D4" w14:textId="133F322F" w:rsidR="00D04126" w:rsidRPr="004A3983" w:rsidRDefault="00D04126" w:rsidP="000B620D">
      <w:pPr>
        <w:pStyle w:val="CaseStudyText"/>
        <w:spacing w:after="160"/>
        <w:ind w:right="-2"/>
      </w:pPr>
      <w:r w:rsidRPr="004A3983">
        <w:t xml:space="preserve">The risk to children posed by Mr QQ was such that in June 2009 the NSW Police Force successfully applied to the Local Court for a </w:t>
      </w:r>
      <w:r w:rsidR="00A915E6" w:rsidRPr="004A3983">
        <w:t xml:space="preserve">child protection </w:t>
      </w:r>
      <w:r w:rsidRPr="004A3983">
        <w:t xml:space="preserve">prohibition order against him under the </w:t>
      </w:r>
      <w:r w:rsidRPr="004A3983">
        <w:rPr>
          <w:i/>
        </w:rPr>
        <w:t>Child Protection (Offenders Prohibition Orders) Act 2004</w:t>
      </w:r>
      <w:r w:rsidRPr="004A3983">
        <w:t xml:space="preserve"> (NSW). The order prohibited him from using the specific chat site he had used to make contact with children in the past. The order was in force until 23 September 2010.</w:t>
      </w:r>
    </w:p>
    <w:p w14:paraId="34C7AD63" w14:textId="1DD8350C" w:rsidR="00D04126" w:rsidRPr="004A3983" w:rsidRDefault="00D04126" w:rsidP="000B620D">
      <w:pPr>
        <w:pStyle w:val="CaseStudyText"/>
        <w:spacing w:after="160"/>
        <w:ind w:right="-2"/>
      </w:pPr>
      <w:r w:rsidRPr="004A3983">
        <w:t xml:space="preserve">As a result of the </w:t>
      </w:r>
      <w:r w:rsidR="00E37960" w:rsidRPr="004A3983">
        <w:t xml:space="preserve">incorrect reporting period being recorded in Mr QQ’s CPR COPS case, </w:t>
      </w:r>
      <w:r w:rsidR="00190EDC" w:rsidRPr="004A3983">
        <w:t xml:space="preserve">COPS automatically finalised </w:t>
      </w:r>
      <w:r w:rsidRPr="004A3983">
        <w:t>Mr QQ’s reporting period on 9 December 2014. Under the CPOR Act he was required to comply with reporting ob</w:t>
      </w:r>
      <w:r w:rsidR="00CF16CA" w:rsidRPr="004A3983">
        <w:t>ligations until September 2022.</w:t>
      </w:r>
    </w:p>
    <w:p w14:paraId="1CCAF9A5" w14:textId="79800665" w:rsidR="00A57299" w:rsidRPr="004A3983" w:rsidRDefault="00D04126" w:rsidP="000B620D">
      <w:pPr>
        <w:pStyle w:val="CaseStudyText"/>
        <w:spacing w:after="360"/>
        <w:ind w:right="-2"/>
      </w:pPr>
      <w:r w:rsidRPr="004A3983">
        <w:t xml:space="preserve">In May 2016 a Registry officer reported the errors that had occurred in the calculation of Mr QQ’s reporting period, and concluded that his case should not </w:t>
      </w:r>
      <w:r w:rsidRPr="004A3983">
        <w:lastRenderedPageBreak/>
        <w:t>have been finalised.</w:t>
      </w:r>
      <w:r w:rsidR="00CF16CA" w:rsidRPr="004A3983">
        <w:t xml:space="preserve"> </w:t>
      </w:r>
      <w:r w:rsidRPr="004A3983">
        <w:t>The NSW Police Force reopened Mr QQ’s Register file and corrected his reporting period end date to 14 September 2022.</w:t>
      </w:r>
      <w:r w:rsidR="004271E4" w:rsidRPr="004A3983">
        <w:t xml:space="preserve"> </w:t>
      </w:r>
    </w:p>
    <w:p w14:paraId="42F1157E" w14:textId="06DFE8AA" w:rsidR="00E76119" w:rsidRPr="004A3983" w:rsidRDefault="000167F5" w:rsidP="000B620D">
      <w:pPr>
        <w:pStyle w:val="Heading3"/>
        <w:spacing w:after="160"/>
        <w:ind w:left="709" w:right="-2" w:hanging="709"/>
      </w:pPr>
      <w:bookmarkStart w:id="183" w:name="_Toc8913499"/>
      <w:bookmarkStart w:id="184" w:name="_Ref9353448"/>
      <w:bookmarkStart w:id="185" w:name="_Toc9428360"/>
      <w:bookmarkStart w:id="186" w:name="_Ref10555988"/>
      <w:bookmarkStart w:id="187" w:name="_Toc12020312"/>
      <w:bookmarkStart w:id="188" w:name="_Toc14790477"/>
      <w:bookmarkStart w:id="189" w:name="_Toc15478360"/>
      <w:bookmarkStart w:id="190" w:name="_Toc22627758"/>
      <w:r w:rsidRPr="004A3983">
        <w:t>NSW Police Force placed individuals who were not registrable persons on the Register</w:t>
      </w:r>
      <w:bookmarkEnd w:id="183"/>
      <w:bookmarkEnd w:id="184"/>
      <w:bookmarkEnd w:id="185"/>
      <w:bookmarkEnd w:id="186"/>
      <w:bookmarkEnd w:id="187"/>
      <w:bookmarkEnd w:id="188"/>
      <w:bookmarkEnd w:id="189"/>
      <w:bookmarkEnd w:id="190"/>
    </w:p>
    <w:p w14:paraId="6730BCA9" w14:textId="613851D9" w:rsidR="00A57299" w:rsidRPr="004A3983" w:rsidRDefault="00A57299" w:rsidP="000B620D">
      <w:pPr>
        <w:spacing w:after="160"/>
        <w:ind w:right="-2"/>
        <w:rPr>
          <w:rFonts w:ascii="Gotham Book" w:hAnsi="Gotham Book"/>
        </w:rPr>
      </w:pPr>
      <w:r w:rsidRPr="004A3983">
        <w:rPr>
          <w:rFonts w:ascii="Gotham Book" w:hAnsi="Gotham Book"/>
        </w:rPr>
        <w:t xml:space="preserve">According to the CPR case review there were 45 persons who the NSW Police Force had incorrectly placed on the Register when in fact they were not registrable persons under the CPOR Act. </w:t>
      </w:r>
    </w:p>
    <w:p w14:paraId="6B6ECDE4" w14:textId="61CAA401" w:rsidR="00A57299" w:rsidRPr="004A3983" w:rsidRDefault="00A57299" w:rsidP="000B620D">
      <w:pPr>
        <w:spacing w:after="160"/>
        <w:ind w:right="-2"/>
      </w:pPr>
      <w:r w:rsidRPr="004A3983">
        <w:t xml:space="preserve">The Commission reviewed the cases of five </w:t>
      </w:r>
      <w:r w:rsidR="00A901BC" w:rsidRPr="004A3983">
        <w:t xml:space="preserve">of these </w:t>
      </w:r>
      <w:r w:rsidRPr="004A3983">
        <w:t>perso</w:t>
      </w:r>
      <w:r w:rsidR="00442327" w:rsidRPr="004A3983">
        <w:t>ns, including Case S</w:t>
      </w:r>
      <w:r w:rsidRPr="004A3983">
        <w:t xml:space="preserve">tudies </w:t>
      </w:r>
      <w:r w:rsidR="00211D0B" w:rsidRPr="004A3983">
        <w:t xml:space="preserve">4 </w:t>
      </w:r>
      <w:r w:rsidRPr="004A3983">
        <w:t xml:space="preserve">and </w:t>
      </w:r>
      <w:r w:rsidR="00211D0B" w:rsidRPr="004A3983">
        <w:t>5.</w:t>
      </w:r>
      <w:r w:rsidRPr="004A3983">
        <w:t xml:space="preserve"> Our review establish</w:t>
      </w:r>
      <w:r w:rsidR="00B94D8D" w:rsidRPr="004A3983">
        <w:t>ed that one of the reasons this type of error was</w:t>
      </w:r>
      <w:r w:rsidRPr="004A3983">
        <w:t xml:space="preserve"> made was because the information available to Registry about the person’s offending was inaccurate or lacked crucial detail. </w:t>
      </w:r>
    </w:p>
    <w:p w14:paraId="13F0AF6B" w14:textId="7C427E70" w:rsidR="00A57299" w:rsidRPr="004A3983" w:rsidRDefault="00A57299" w:rsidP="000B620D">
      <w:pPr>
        <w:spacing w:after="160"/>
        <w:ind w:right="-2"/>
      </w:pPr>
      <w:r w:rsidRPr="004A3983">
        <w:t>Our investigation revealed that there could be various conseq</w:t>
      </w:r>
      <w:r w:rsidR="00D12428" w:rsidRPr="004A3983">
        <w:t xml:space="preserve">uences of the </w:t>
      </w:r>
      <w:r w:rsidRPr="004A3983">
        <w:t xml:space="preserve">incorrect decisions </w:t>
      </w:r>
      <w:r w:rsidR="00D12428" w:rsidRPr="004A3983">
        <w:t xml:space="preserve">of the NSW Police Force </w:t>
      </w:r>
      <w:r w:rsidRPr="004A3983">
        <w:t xml:space="preserve">that persons were registrable under the CPOR Act. At a minimum, these persons were unlawfully required to attend police stations and report their personal information on an annual </w:t>
      </w:r>
      <w:r w:rsidR="00442327" w:rsidRPr="004A3983">
        <w:t>basis. However, as Case S</w:t>
      </w:r>
      <w:r w:rsidRPr="004A3983">
        <w:t xml:space="preserve">tudies </w:t>
      </w:r>
      <w:r w:rsidR="00211D0B" w:rsidRPr="004A3983">
        <w:t>4</w:t>
      </w:r>
      <w:r w:rsidR="0099254C">
        <w:t> </w:t>
      </w:r>
      <w:r w:rsidRPr="004A3983">
        <w:t xml:space="preserve">and </w:t>
      </w:r>
      <w:r w:rsidR="00211D0B" w:rsidRPr="004A3983">
        <w:t>5</w:t>
      </w:r>
      <w:r w:rsidRPr="004A3983">
        <w:t xml:space="preserve"> demonstrate, some of these </w:t>
      </w:r>
      <w:r w:rsidR="00FE4654" w:rsidRPr="004A3983">
        <w:t>persons</w:t>
      </w:r>
      <w:r w:rsidRPr="004A3983">
        <w:t xml:space="preserve"> were charged, convicted and sentenced to imprisonment for failing to comply with reporting obligations, when they did not</w:t>
      </w:r>
      <w:r w:rsidR="007728B9" w:rsidRPr="004A3983">
        <w:t xml:space="preserve"> have</w:t>
      </w:r>
      <w:r w:rsidRPr="004A3983">
        <w:t xml:space="preserve"> any such obligations under the CPOR Act. </w:t>
      </w:r>
    </w:p>
    <w:p w14:paraId="044BD15B" w14:textId="3109EBB2" w:rsidR="002F52B3" w:rsidRPr="004A3983" w:rsidRDefault="00A57299" w:rsidP="000B620D">
      <w:pPr>
        <w:spacing w:after="160"/>
        <w:ind w:right="-2"/>
      </w:pPr>
      <w:r w:rsidRPr="004A3983">
        <w:t xml:space="preserve">In </w:t>
      </w:r>
      <w:r w:rsidR="007F27C6" w:rsidRPr="004A3983">
        <w:t>Case Study</w:t>
      </w:r>
      <w:r w:rsidRPr="004A3983">
        <w:t xml:space="preserve"> </w:t>
      </w:r>
      <w:r w:rsidR="008A6F63" w:rsidRPr="004A3983">
        <w:t>4</w:t>
      </w:r>
      <w:r w:rsidRPr="004A3983">
        <w:t xml:space="preserve"> Mr DD was </w:t>
      </w:r>
      <w:r w:rsidR="002F60F5" w:rsidRPr="004A3983">
        <w:t xml:space="preserve">arrested and </w:t>
      </w:r>
      <w:r w:rsidRPr="004A3983">
        <w:t xml:space="preserve">charged on three separate occasions for failing to comply with CPOR Act reporting obligations. However he was not a registrable person under the CPOR Act, and therefore those obligations </w:t>
      </w:r>
      <w:r w:rsidR="00850EC8" w:rsidRPr="004A3983">
        <w:t>did not, as a</w:t>
      </w:r>
      <w:r w:rsidR="0099254C">
        <w:t> </w:t>
      </w:r>
      <w:r w:rsidR="00850EC8" w:rsidRPr="004A3983">
        <w:t>matter of law, apply to him</w:t>
      </w:r>
      <w:r w:rsidRPr="004A3983">
        <w:t xml:space="preserve">. Despite this fact, he was convicted and sentenced to periods of imprisonment on each of these charges, and spent a total of 413 days in prison over a five year period. </w:t>
      </w:r>
    </w:p>
    <w:p w14:paraId="0F2E8639" w14:textId="7E4C0C2A" w:rsidR="000167F5" w:rsidRPr="004A3983" w:rsidRDefault="002F52B3" w:rsidP="000B620D">
      <w:pPr>
        <w:pStyle w:val="CaseStudyHeading"/>
        <w:spacing w:after="160" w:line="259" w:lineRule="auto"/>
        <w:ind w:right="-2"/>
        <w:rPr>
          <w:b w:val="0"/>
        </w:rPr>
      </w:pPr>
      <w:bookmarkStart w:id="191" w:name="_Toc22280902"/>
      <w:r w:rsidRPr="004A3983">
        <w:t xml:space="preserve">Person wrongly placed on the Register </w:t>
      </w:r>
      <w:r w:rsidR="00337EAF" w:rsidRPr="004A3983">
        <w:t xml:space="preserve">was </w:t>
      </w:r>
      <w:r w:rsidRPr="004A3983">
        <w:t>unlawfully imprisoned</w:t>
      </w:r>
      <w:bookmarkEnd w:id="191"/>
    </w:p>
    <w:p w14:paraId="3F199259" w14:textId="54E61373" w:rsidR="002F52B3" w:rsidRPr="004A3983" w:rsidRDefault="002F52B3" w:rsidP="000B620D">
      <w:pPr>
        <w:pStyle w:val="CaseStudyText"/>
        <w:spacing w:after="160"/>
        <w:ind w:right="-2"/>
      </w:pPr>
      <w:r w:rsidRPr="004A3983">
        <w:t>In November 2006 the NSW Police Force determined Mr DD</w:t>
      </w:r>
      <w:r w:rsidRPr="004A3983">
        <w:rPr>
          <w:rStyle w:val="FootnoteReference"/>
          <w:rFonts w:ascii="Gotham Book" w:hAnsi="Gotham Book"/>
        </w:rPr>
        <w:footnoteReference w:id="121"/>
      </w:r>
      <w:r w:rsidR="00057DE2" w:rsidRPr="004A3983">
        <w:t xml:space="preserve"> </w:t>
      </w:r>
      <w:r w:rsidRPr="004A3983">
        <w:t xml:space="preserve">was a registrable person and placed him on the Register following his conviction for indecent assault and an act of indecency against a victim under 10 years of age. Mr DD was a juvenile at the time of the offending and committed the offences against the victim within a 24 hour period in 2005. </w:t>
      </w:r>
    </w:p>
    <w:p w14:paraId="2D869ED6" w14:textId="7DB9C244" w:rsidR="002F52B3" w:rsidRPr="004A3983" w:rsidRDefault="002F52B3" w:rsidP="000B620D">
      <w:pPr>
        <w:pStyle w:val="CaseStudyText"/>
        <w:spacing w:after="160"/>
        <w:ind w:right="-2"/>
        <w:rPr>
          <w:rFonts w:cs="Arial"/>
        </w:rPr>
      </w:pPr>
      <w:r w:rsidRPr="004A3983">
        <w:rPr>
          <w:rFonts w:cs="Arial"/>
        </w:rPr>
        <w:t xml:space="preserve">Between 2010 and 2015 Mr DD was </w:t>
      </w:r>
      <w:r w:rsidR="00E71FDC" w:rsidRPr="004A3983">
        <w:rPr>
          <w:rFonts w:cs="Arial"/>
        </w:rPr>
        <w:t xml:space="preserve">arrested and </w:t>
      </w:r>
      <w:r w:rsidRPr="004A3983">
        <w:rPr>
          <w:rFonts w:cs="Arial"/>
        </w:rPr>
        <w:t>charged on three different occasions for three separate offences of failing to report under s 17 of the CPOR Act. He was convicted on each charge, and served three separate periods of imprisonment. Over the five year period he spent a total of 413 days in custody as</w:t>
      </w:r>
      <w:r w:rsidR="0099254C">
        <w:rPr>
          <w:rFonts w:cs="Arial"/>
        </w:rPr>
        <w:t> </w:t>
      </w:r>
      <w:r w:rsidRPr="004A3983">
        <w:rPr>
          <w:rFonts w:cs="Arial"/>
        </w:rPr>
        <w:t>a result of these charges.</w:t>
      </w:r>
      <w:r w:rsidR="000B7DEC" w:rsidRPr="004A3983">
        <w:rPr>
          <w:rFonts w:cs="Arial"/>
        </w:rPr>
        <w:t xml:space="preserve"> </w:t>
      </w:r>
    </w:p>
    <w:p w14:paraId="241F874F" w14:textId="4546107D" w:rsidR="002F52B3" w:rsidRPr="004A3983" w:rsidRDefault="002F52B3" w:rsidP="000B620D">
      <w:pPr>
        <w:pStyle w:val="CaseStudyText"/>
        <w:spacing w:after="160"/>
        <w:ind w:right="-2"/>
      </w:pPr>
      <w:r w:rsidRPr="004A3983">
        <w:t xml:space="preserve">In 2016, the NSW Police Force reviewed Mr DD’s Register case file. </w:t>
      </w:r>
      <w:r w:rsidR="001F5E00" w:rsidRPr="004A3983">
        <w:t xml:space="preserve">The NSW Police Force realised </w:t>
      </w:r>
      <w:r w:rsidRPr="004A3983">
        <w:t xml:space="preserve">that Mr DD fell within an exception to registration in s 3A </w:t>
      </w:r>
      <w:r w:rsidRPr="004A3983">
        <w:lastRenderedPageBreak/>
        <w:t>of</w:t>
      </w:r>
      <w:r w:rsidR="0042789D">
        <w:t> </w:t>
      </w:r>
      <w:r w:rsidRPr="004A3983">
        <w:t>the CPOR Act for certain juvenile first time offenders, and as a result he should not have been put on the Register at all.</w:t>
      </w:r>
      <w:r w:rsidRPr="004A3983">
        <w:rPr>
          <w:vertAlign w:val="superscript"/>
        </w:rPr>
        <w:footnoteReference w:id="122"/>
      </w:r>
      <w:r w:rsidRPr="004A3983">
        <w:t xml:space="preserve"> </w:t>
      </w:r>
    </w:p>
    <w:p w14:paraId="7A7C4C87" w14:textId="2DF29E70" w:rsidR="002F52B3" w:rsidRPr="004A3983" w:rsidRDefault="002F52B3" w:rsidP="000B620D">
      <w:pPr>
        <w:pStyle w:val="CaseStudyText"/>
        <w:spacing w:after="160"/>
        <w:ind w:right="-2"/>
      </w:pPr>
      <w:r w:rsidRPr="004A3983">
        <w:t>In a letter dated 27 July 2016, the NSW Police Force informed Mr DD that he was</w:t>
      </w:r>
      <w:r w:rsidR="0042789D">
        <w:t> </w:t>
      </w:r>
      <w:r w:rsidRPr="004A3983">
        <w:t xml:space="preserve">‘no longer required to comply with [his] reporting obligations’ under the CPOR Act. </w:t>
      </w:r>
    </w:p>
    <w:p w14:paraId="0D90CC02" w14:textId="58B166EC" w:rsidR="002F52B3" w:rsidRPr="004A3983" w:rsidRDefault="002F52B3" w:rsidP="000B620D">
      <w:pPr>
        <w:pStyle w:val="CaseStudyText"/>
        <w:spacing w:after="360"/>
        <w:ind w:right="-2"/>
      </w:pPr>
      <w:r w:rsidRPr="004A3983">
        <w:t xml:space="preserve">In June 2017 the NSW Police Force requested the Department of Attorney General and Justice apply for annulments of Mr DD’s three convictions and sentences for offences against s 17 of the CPOR Act. </w:t>
      </w:r>
      <w:r w:rsidR="0012435C" w:rsidRPr="004A3983">
        <w:t>His convictions were</w:t>
      </w:r>
      <w:r w:rsidRPr="004A3983">
        <w:t xml:space="preserve"> annul</w:t>
      </w:r>
      <w:r w:rsidR="00FE4654" w:rsidRPr="004A3983">
        <w:t>led</w:t>
      </w:r>
      <w:r w:rsidRPr="004A3983">
        <w:t xml:space="preserve"> in October 2017. </w:t>
      </w:r>
    </w:p>
    <w:p w14:paraId="505EC314" w14:textId="6C8B51F1" w:rsidR="00D0192F" w:rsidRPr="004A3983" w:rsidRDefault="00F27138" w:rsidP="000B620D">
      <w:pPr>
        <w:spacing w:after="160"/>
        <w:ind w:right="-2"/>
        <w:rPr>
          <w:rFonts w:ascii="Gotham Book" w:hAnsi="Gotham Book"/>
        </w:rPr>
      </w:pPr>
      <w:r w:rsidRPr="004A3983">
        <w:rPr>
          <w:rFonts w:ascii="Gotham Book" w:hAnsi="Gotham Book"/>
        </w:rPr>
        <w:t>Mr NN</w:t>
      </w:r>
      <w:r w:rsidR="00D0192F" w:rsidRPr="004A3983">
        <w:rPr>
          <w:rFonts w:ascii="Gotham Book" w:hAnsi="Gotham Book"/>
        </w:rPr>
        <w:t xml:space="preserve"> in </w:t>
      </w:r>
      <w:r w:rsidR="007F27C6" w:rsidRPr="004A3983">
        <w:rPr>
          <w:rFonts w:ascii="Gotham Book" w:hAnsi="Gotham Book"/>
        </w:rPr>
        <w:t>Case Study</w:t>
      </w:r>
      <w:r w:rsidR="00D0192F" w:rsidRPr="004A3983">
        <w:rPr>
          <w:rFonts w:ascii="Gotham Book" w:hAnsi="Gotham Book"/>
        </w:rPr>
        <w:t xml:space="preserve"> </w:t>
      </w:r>
      <w:r w:rsidR="008A6F63" w:rsidRPr="004A3983">
        <w:rPr>
          <w:rFonts w:ascii="Gotham Book" w:hAnsi="Gotham Book"/>
        </w:rPr>
        <w:t>5</w:t>
      </w:r>
      <w:r w:rsidR="00D0192F" w:rsidRPr="004A3983">
        <w:rPr>
          <w:rFonts w:ascii="Gotham Book" w:hAnsi="Gotham Book"/>
        </w:rPr>
        <w:t xml:space="preserve"> was convicted of a sexual offence against an adult member of</w:t>
      </w:r>
      <w:r w:rsidR="0042789D">
        <w:rPr>
          <w:rFonts w:ascii="Gotham Book" w:hAnsi="Gotham Book"/>
        </w:rPr>
        <w:t> </w:t>
      </w:r>
      <w:r w:rsidR="00D0192F" w:rsidRPr="004A3983">
        <w:rPr>
          <w:rFonts w:ascii="Gotham Book" w:hAnsi="Gotham Book"/>
        </w:rPr>
        <w:t>his family. As the victim of that offence was not a child, he did not meet the definition of a registrable person under the CPOR Act. Despite this in 2014 he was convicted of failing to comply with reporting obligations under the CPOR Act and received an 18 month good behaviour bond.</w:t>
      </w:r>
    </w:p>
    <w:p w14:paraId="2A8077C1" w14:textId="67B4EE43" w:rsidR="002F52B3" w:rsidRPr="004A3983" w:rsidRDefault="00067AB8" w:rsidP="000B620D">
      <w:pPr>
        <w:pStyle w:val="CaseStudyHeading"/>
        <w:spacing w:after="160" w:line="259" w:lineRule="auto"/>
        <w:ind w:right="-2"/>
        <w:rPr>
          <w:b w:val="0"/>
        </w:rPr>
      </w:pPr>
      <w:bookmarkStart w:id="192" w:name="_Toc22280903"/>
      <w:r w:rsidRPr="004A3983">
        <w:t>Person wrongly placed on Register for offence</w:t>
      </w:r>
      <w:r w:rsidR="00B93858" w:rsidRPr="004A3983">
        <w:t>s</w:t>
      </w:r>
      <w:r w:rsidRPr="004A3983">
        <w:t xml:space="preserve"> against adult</w:t>
      </w:r>
      <w:bookmarkEnd w:id="192"/>
    </w:p>
    <w:p w14:paraId="0996DF59" w14:textId="4CE0F4EB" w:rsidR="00FC56AA" w:rsidRPr="004A3983" w:rsidRDefault="00FC56AA" w:rsidP="000B620D">
      <w:pPr>
        <w:pStyle w:val="CaseStudyText"/>
        <w:spacing w:after="160"/>
        <w:ind w:right="-2"/>
      </w:pPr>
      <w:r w:rsidRPr="004A3983">
        <w:t>In December 2004 Mr NN</w:t>
      </w:r>
      <w:r w:rsidRPr="004A3983">
        <w:rPr>
          <w:rStyle w:val="FootnoteReference"/>
          <w:rFonts w:ascii="Gotham Book" w:hAnsi="Gotham Book"/>
          <w:sz w:val="20"/>
          <w:szCs w:val="20"/>
        </w:rPr>
        <w:footnoteReference w:id="123"/>
      </w:r>
      <w:r w:rsidRPr="004A3983">
        <w:t xml:space="preserve"> was convicted of multiple counts of incest and attempted incest with a person aged 16 years or older. The victim was in fact</w:t>
      </w:r>
      <w:r w:rsidR="00FE4654" w:rsidRPr="004A3983">
        <w:t xml:space="preserve"> 20 years</w:t>
      </w:r>
      <w:r w:rsidRPr="004A3983">
        <w:t xml:space="preserve"> old at the time. Mr NN was sentenced to imprisonment and was released on parole in February 2006.</w:t>
      </w:r>
      <w:r w:rsidR="00A14AA7" w:rsidRPr="004A3983">
        <w:t xml:space="preserve"> </w:t>
      </w:r>
    </w:p>
    <w:p w14:paraId="1E28BAB1" w14:textId="19E19E39" w:rsidR="00FC56AA" w:rsidRPr="004A3983" w:rsidRDefault="00195D1B" w:rsidP="000B620D">
      <w:pPr>
        <w:pStyle w:val="CaseStudyText"/>
        <w:spacing w:after="160"/>
        <w:ind w:right="-2"/>
      </w:pPr>
      <w:r w:rsidRPr="004A3983">
        <w:t>In</w:t>
      </w:r>
      <w:r w:rsidR="00FC56AA" w:rsidRPr="004A3983">
        <w:t xml:space="preserve"> March 2006 the NSW Police Force </w:t>
      </w:r>
      <w:r w:rsidR="008761D5" w:rsidRPr="004A3983">
        <w:t>placed</w:t>
      </w:r>
      <w:r w:rsidR="00FC56AA" w:rsidRPr="004A3983">
        <w:t xml:space="preserve"> Mr NN</w:t>
      </w:r>
      <w:r w:rsidR="008761D5" w:rsidRPr="004A3983">
        <w:t xml:space="preserve"> on the Register</w:t>
      </w:r>
      <w:r w:rsidR="00FC56AA" w:rsidRPr="004A3983">
        <w:t xml:space="preserve"> and he was informed that his reporting period was 15 years.  </w:t>
      </w:r>
    </w:p>
    <w:p w14:paraId="4F9CA96E" w14:textId="6F421AEB" w:rsidR="00FC56AA" w:rsidRPr="004A3983" w:rsidRDefault="00FC56AA" w:rsidP="000B620D">
      <w:pPr>
        <w:pStyle w:val="CaseStudyText"/>
        <w:spacing w:after="160"/>
        <w:ind w:right="-2"/>
      </w:pPr>
      <w:r w:rsidRPr="004A3983">
        <w:t xml:space="preserve">In October 2014 Mr NN was charged with failure to comply with reporting obligations under s 17 of the CPOR Act. He was convicted in November 2014 and was sentenced to an 18 month good behaviour bond under s 9 of the </w:t>
      </w:r>
      <w:r w:rsidRPr="004A3983">
        <w:rPr>
          <w:i/>
        </w:rPr>
        <w:t>Crimes (Sentencing Procedure) Act</w:t>
      </w:r>
      <w:r w:rsidRPr="004A3983">
        <w:t xml:space="preserve"> </w:t>
      </w:r>
      <w:r w:rsidRPr="004A3983">
        <w:rPr>
          <w:i/>
        </w:rPr>
        <w:t>1999</w:t>
      </w:r>
      <w:r w:rsidR="004D0DA8" w:rsidRPr="004A3983">
        <w:rPr>
          <w:i/>
        </w:rPr>
        <w:t xml:space="preserve"> </w:t>
      </w:r>
      <w:r w:rsidR="004D0DA8" w:rsidRPr="004A3983">
        <w:t>(NSW)</w:t>
      </w:r>
      <w:r w:rsidRPr="004A3983">
        <w:t xml:space="preserve">. </w:t>
      </w:r>
    </w:p>
    <w:p w14:paraId="1348045A" w14:textId="3BF21D5A" w:rsidR="00FC56AA" w:rsidRPr="004A3983" w:rsidRDefault="00FC56AA" w:rsidP="000B620D">
      <w:pPr>
        <w:pStyle w:val="CaseStudyText"/>
        <w:spacing w:after="160"/>
        <w:ind w:right="-2"/>
      </w:pPr>
      <w:r w:rsidRPr="004A3983">
        <w:t xml:space="preserve">In March 2017 a NSW Police Force officer reviewed Mr NN’s case and realised that </w:t>
      </w:r>
      <w:r w:rsidR="00B34899" w:rsidRPr="004A3983">
        <w:t xml:space="preserve">while </w:t>
      </w:r>
      <w:r w:rsidRPr="004A3983">
        <w:t>the offences for which he was convicted in 2004 were fl</w:t>
      </w:r>
      <w:r w:rsidR="00D37BB3" w:rsidRPr="004A3983">
        <w:t xml:space="preserve">agged as registrable </w:t>
      </w:r>
      <w:r w:rsidR="00FB7FFD" w:rsidRPr="004A3983">
        <w:t xml:space="preserve">in Mr NN’s </w:t>
      </w:r>
      <w:r w:rsidRPr="004A3983">
        <w:t>COPS</w:t>
      </w:r>
      <w:r w:rsidR="00FB7FFD" w:rsidRPr="004A3983">
        <w:t xml:space="preserve"> record</w:t>
      </w:r>
      <w:r w:rsidRPr="004A3983">
        <w:t xml:space="preserve">, they had not been committed against a child. In May 2017 the NSW Police Force concluded that he was not a registrable person and should not have been put on the Register. </w:t>
      </w:r>
    </w:p>
    <w:p w14:paraId="227DAEEA" w14:textId="1263023B" w:rsidR="00FC56AA" w:rsidRPr="004A3983" w:rsidRDefault="00FC56AA" w:rsidP="000B620D">
      <w:pPr>
        <w:pStyle w:val="CaseStudyText"/>
        <w:spacing w:after="160"/>
        <w:ind w:right="-2"/>
      </w:pPr>
      <w:r w:rsidRPr="004A3983">
        <w:t xml:space="preserve">On 23 May 2017 the NSW Police Force wrote to Mr NN stating ‘you are no longer required to comply with your reporting obligations’ under the CPOR Act.  </w:t>
      </w:r>
    </w:p>
    <w:p w14:paraId="4AAC16F5" w14:textId="42361148" w:rsidR="00FC56AA" w:rsidRPr="004A3983" w:rsidRDefault="00FC56AA" w:rsidP="000B620D">
      <w:pPr>
        <w:pStyle w:val="CaseStudyText"/>
        <w:spacing w:after="360"/>
        <w:ind w:right="-2"/>
      </w:pPr>
      <w:r w:rsidRPr="004A3983">
        <w:t xml:space="preserve">On 7 June 2017 the NSW Police Force requested that the Department of Attorney General and Justice apply for an annulment of Mr NN’s conviction and sentence for the offence against s 17 of the CPOR Act. </w:t>
      </w:r>
      <w:r w:rsidR="00A1792D" w:rsidRPr="004A3983">
        <w:t>His conviction and sentence were annulled</w:t>
      </w:r>
      <w:r w:rsidRPr="004A3983">
        <w:t xml:space="preserve"> </w:t>
      </w:r>
      <w:r w:rsidR="00D77E3F" w:rsidRPr="004A3983">
        <w:t>in</w:t>
      </w:r>
      <w:r w:rsidRPr="004A3983">
        <w:t xml:space="preserve"> October 2017.</w:t>
      </w:r>
      <w:r w:rsidR="00DE0256" w:rsidRPr="004A3983">
        <w:t xml:space="preserve"> </w:t>
      </w:r>
    </w:p>
    <w:p w14:paraId="0C9B88BB" w14:textId="4911C93D" w:rsidR="00CF7495" w:rsidRPr="004A3983" w:rsidRDefault="0054673B" w:rsidP="000B620D">
      <w:pPr>
        <w:spacing w:after="160"/>
        <w:ind w:right="-2"/>
        <w:rPr>
          <w:rFonts w:ascii="Gotham Book" w:hAnsi="Gotham Book"/>
        </w:rPr>
      </w:pPr>
      <w:r w:rsidRPr="004A3983">
        <w:rPr>
          <w:rFonts w:ascii="Gotham Book" w:hAnsi="Gotham Book"/>
        </w:rPr>
        <w:lastRenderedPageBreak/>
        <w:t xml:space="preserve">For two of the cases that the CPR case review identified as falling within the category of non-registrable persons being placed on the Register, </w:t>
      </w:r>
      <w:r w:rsidR="00A96E7B" w:rsidRPr="004A3983">
        <w:rPr>
          <w:rFonts w:ascii="Gotham Book" w:hAnsi="Gotham Book"/>
        </w:rPr>
        <w:t xml:space="preserve">the Commission has concluded that there was no </w:t>
      </w:r>
      <w:r w:rsidR="007244BD" w:rsidRPr="004A3983">
        <w:rPr>
          <w:rFonts w:ascii="Gotham Book" w:hAnsi="Gotham Book"/>
        </w:rPr>
        <w:t xml:space="preserve">proven </w:t>
      </w:r>
      <w:r w:rsidR="00A96E7B" w:rsidRPr="004A3983">
        <w:rPr>
          <w:rFonts w:ascii="Gotham Book" w:hAnsi="Gotham Book"/>
        </w:rPr>
        <w:t xml:space="preserve">error in the initial decision </w:t>
      </w:r>
      <w:r w:rsidR="00D12428" w:rsidRPr="004A3983">
        <w:rPr>
          <w:rFonts w:ascii="Gotham Book" w:hAnsi="Gotham Book"/>
        </w:rPr>
        <w:t xml:space="preserve">of the NSW Police Force </w:t>
      </w:r>
      <w:r w:rsidR="00A96E7B" w:rsidRPr="004A3983">
        <w:rPr>
          <w:rFonts w:ascii="Gotham Book" w:hAnsi="Gotham Book"/>
        </w:rPr>
        <w:t>to place those persons on the Register.</w:t>
      </w:r>
      <w:r w:rsidR="00D94CB9" w:rsidRPr="004A3983">
        <w:rPr>
          <w:rFonts w:ascii="Gotham Book" w:hAnsi="Gotham Book"/>
        </w:rPr>
        <w:t xml:space="preserve"> </w:t>
      </w:r>
      <w:r w:rsidR="00A96E7B" w:rsidRPr="004A3983">
        <w:rPr>
          <w:rFonts w:ascii="Gotham Book" w:hAnsi="Gotham Book"/>
        </w:rPr>
        <w:t>T</w:t>
      </w:r>
      <w:r w:rsidR="00CF7495" w:rsidRPr="004A3983">
        <w:rPr>
          <w:rFonts w:ascii="Gotham Book" w:hAnsi="Gotham Book"/>
        </w:rPr>
        <w:t xml:space="preserve">he Commission concluded that the initial decision </w:t>
      </w:r>
      <w:r w:rsidR="00D12428" w:rsidRPr="004A3983">
        <w:rPr>
          <w:rFonts w:ascii="Gotham Book" w:hAnsi="Gotham Book"/>
        </w:rPr>
        <w:t xml:space="preserve">of the NSW Police Force </w:t>
      </w:r>
      <w:r w:rsidR="00CF7495" w:rsidRPr="004A3983">
        <w:rPr>
          <w:rFonts w:ascii="Gotham Book" w:hAnsi="Gotham Book"/>
        </w:rPr>
        <w:t xml:space="preserve">that </w:t>
      </w:r>
      <w:r w:rsidR="00A96E7B" w:rsidRPr="004A3983">
        <w:rPr>
          <w:rFonts w:ascii="Gotham Book" w:hAnsi="Gotham Book"/>
        </w:rPr>
        <w:t>one person</w:t>
      </w:r>
      <w:r w:rsidR="00CF7495" w:rsidRPr="004A3983">
        <w:rPr>
          <w:rFonts w:ascii="Gotham Book" w:hAnsi="Gotham Book"/>
        </w:rPr>
        <w:t xml:space="preserve"> was a registrable person under the CPOR Act was correct.</w:t>
      </w:r>
      <w:r w:rsidR="00CF7495" w:rsidRPr="004A3983">
        <w:rPr>
          <w:rStyle w:val="FootnoteReference"/>
          <w:rFonts w:ascii="Gotham Book" w:hAnsi="Gotham Book"/>
        </w:rPr>
        <w:footnoteReference w:id="124"/>
      </w:r>
      <w:r w:rsidR="00CF7495" w:rsidRPr="004A3983">
        <w:rPr>
          <w:rFonts w:ascii="Gotham Book" w:hAnsi="Gotham Book"/>
        </w:rPr>
        <w:t xml:space="preserve"> In the case of </w:t>
      </w:r>
      <w:r w:rsidR="00A96E7B" w:rsidRPr="004A3983">
        <w:rPr>
          <w:rFonts w:ascii="Gotham Book" w:hAnsi="Gotham Book"/>
        </w:rPr>
        <w:t>the other</w:t>
      </w:r>
      <w:r w:rsidR="000841C2" w:rsidRPr="004A3983">
        <w:rPr>
          <w:rFonts w:ascii="Gotham Book" w:hAnsi="Gotham Book"/>
        </w:rPr>
        <w:t xml:space="preserve"> person</w:t>
      </w:r>
      <w:r w:rsidR="00CF7495" w:rsidRPr="004A3983">
        <w:rPr>
          <w:rFonts w:ascii="Gotham Book" w:hAnsi="Gotham Book"/>
        </w:rPr>
        <w:t xml:space="preserve">, there is insufficient information about the timing of </w:t>
      </w:r>
      <w:r w:rsidR="00A96E7B" w:rsidRPr="004A3983">
        <w:rPr>
          <w:rFonts w:ascii="Gotham Book" w:hAnsi="Gotham Book"/>
        </w:rPr>
        <w:t>the person’s</w:t>
      </w:r>
      <w:r w:rsidR="00CF7495" w:rsidRPr="004A3983">
        <w:rPr>
          <w:rFonts w:ascii="Gotham Book" w:hAnsi="Gotham Book"/>
        </w:rPr>
        <w:t xml:space="preserve"> offending available to either the Commission or the NSW Police Force to conclude whether he met the definition of a registrable person under the CPOR Act, and therefore it cannot be concluded he was placed on the Register in error.</w:t>
      </w:r>
      <w:r w:rsidR="00CF7495" w:rsidRPr="004A3983">
        <w:rPr>
          <w:rStyle w:val="FootnoteReference"/>
          <w:rFonts w:ascii="Gotham Book" w:hAnsi="Gotham Book"/>
        </w:rPr>
        <w:footnoteReference w:id="125"/>
      </w:r>
      <w:r w:rsidR="00CF7495" w:rsidRPr="004A3983">
        <w:rPr>
          <w:rFonts w:ascii="Gotham Book" w:hAnsi="Gotham Book"/>
        </w:rPr>
        <w:t xml:space="preserve"> </w:t>
      </w:r>
      <w:r w:rsidR="00732167" w:rsidRPr="004A3983">
        <w:rPr>
          <w:rFonts w:ascii="Gotham Book" w:hAnsi="Gotham Book"/>
        </w:rPr>
        <w:t>Both these cases demonstrate how difficult applying the CPOR Act can be</w:t>
      </w:r>
      <w:r w:rsidR="00CF7495" w:rsidRPr="004A3983">
        <w:rPr>
          <w:rFonts w:ascii="Gotham Book" w:hAnsi="Gotham Book"/>
        </w:rPr>
        <w:t>.</w:t>
      </w:r>
    </w:p>
    <w:p w14:paraId="61E5C3BC" w14:textId="2A889B03" w:rsidR="00CF7495" w:rsidRPr="004A3983" w:rsidRDefault="00CF7495" w:rsidP="000B620D">
      <w:pPr>
        <w:pStyle w:val="Heading3"/>
        <w:spacing w:after="160"/>
        <w:ind w:left="709" w:right="-2" w:hanging="709"/>
      </w:pPr>
      <w:bookmarkStart w:id="193" w:name="_Toc8913500"/>
      <w:bookmarkStart w:id="194" w:name="_Toc9428361"/>
      <w:bookmarkStart w:id="195" w:name="_Ref9850884"/>
      <w:bookmarkStart w:id="196" w:name="_Ref10556043"/>
      <w:bookmarkStart w:id="197" w:name="_Toc12020313"/>
      <w:bookmarkStart w:id="198" w:name="_Toc14790478"/>
      <w:bookmarkStart w:id="199" w:name="_Toc15478361"/>
      <w:bookmarkStart w:id="200" w:name="_Toc22627759"/>
      <w:r w:rsidRPr="004A3983">
        <w:t>NSW Police Force calculated persons’ reporting periods as being longer than legally permitted</w:t>
      </w:r>
      <w:bookmarkEnd w:id="193"/>
      <w:bookmarkEnd w:id="194"/>
      <w:bookmarkEnd w:id="195"/>
      <w:bookmarkEnd w:id="196"/>
      <w:bookmarkEnd w:id="197"/>
      <w:bookmarkEnd w:id="198"/>
      <w:bookmarkEnd w:id="199"/>
      <w:bookmarkEnd w:id="200"/>
      <w:r w:rsidRPr="004A3983">
        <w:t xml:space="preserve"> </w:t>
      </w:r>
    </w:p>
    <w:p w14:paraId="3C452A45" w14:textId="7B2CC6AA" w:rsidR="00A3183D" w:rsidRPr="004A3983" w:rsidRDefault="00A3183D" w:rsidP="000B620D">
      <w:pPr>
        <w:spacing w:after="160"/>
        <w:ind w:right="-2"/>
        <w:rPr>
          <w:rFonts w:ascii="Gotham Book" w:hAnsi="Gotham Book"/>
        </w:rPr>
      </w:pPr>
      <w:r w:rsidRPr="004A3983">
        <w:rPr>
          <w:rFonts w:ascii="Gotham Book" w:hAnsi="Gotham Book"/>
        </w:rPr>
        <w:t xml:space="preserve">The CPR case review identified 144 registrable persons whose reporting periods the NSW Police Force incorrectly calculated to be years longer than permitted under the CPOR Act. </w:t>
      </w:r>
    </w:p>
    <w:p w14:paraId="1C7C1AE9" w14:textId="505AFBF6" w:rsidR="00A3183D" w:rsidRPr="004A3983" w:rsidRDefault="00572170" w:rsidP="000B620D">
      <w:pPr>
        <w:spacing w:after="160"/>
        <w:ind w:right="-2"/>
        <w:rPr>
          <w:rFonts w:ascii="Gotham Book" w:hAnsi="Gotham Book"/>
        </w:rPr>
      </w:pPr>
      <w:r w:rsidRPr="004A3983">
        <w:rPr>
          <w:rFonts w:ascii="Gotham Book" w:hAnsi="Gotham Book"/>
        </w:rPr>
        <w:t xml:space="preserve">The Commission reviewed </w:t>
      </w:r>
      <w:r w:rsidR="00622436" w:rsidRPr="004A3983">
        <w:rPr>
          <w:rFonts w:ascii="Gotham Book" w:hAnsi="Gotham Book"/>
        </w:rPr>
        <w:t xml:space="preserve">five </w:t>
      </w:r>
      <w:r w:rsidR="00A3183D" w:rsidRPr="004A3983">
        <w:rPr>
          <w:rFonts w:ascii="Gotham Book" w:hAnsi="Gotham Book"/>
        </w:rPr>
        <w:t xml:space="preserve">cases of persons in this category. </w:t>
      </w:r>
      <w:r w:rsidR="00DF1EE6" w:rsidRPr="004A3983">
        <w:rPr>
          <w:rFonts w:ascii="Gotham Book" w:hAnsi="Gotham Book"/>
        </w:rPr>
        <w:t>We established that the</w:t>
      </w:r>
      <w:r w:rsidR="00A3183D" w:rsidRPr="004A3983">
        <w:rPr>
          <w:rFonts w:ascii="Gotham Book" w:hAnsi="Gotham Book"/>
        </w:rPr>
        <w:t xml:space="preserve"> incorrect calculations of reporting periods in some cases resulted in persons being subjected to unlawful reporting requirements, and having their homes unlawfully inspected. Some persons were also charged, convicted and sentenced for the offence of failure to comply with reporting obligations, when they no l</w:t>
      </w:r>
      <w:r w:rsidR="007728B9" w:rsidRPr="004A3983">
        <w:rPr>
          <w:rFonts w:ascii="Gotham Book" w:hAnsi="Gotham Book"/>
        </w:rPr>
        <w:t>onger had</w:t>
      </w:r>
      <w:r w:rsidR="00A3183D" w:rsidRPr="004A3983">
        <w:rPr>
          <w:rFonts w:ascii="Gotham Book" w:hAnsi="Gotham Book"/>
        </w:rPr>
        <w:t xml:space="preserve"> reporting obligations</w:t>
      </w:r>
      <w:r w:rsidR="007728B9" w:rsidRPr="004A3983">
        <w:rPr>
          <w:rFonts w:ascii="Gotham Book" w:hAnsi="Gotham Book"/>
        </w:rPr>
        <w:t xml:space="preserve"> under the CPOR Act</w:t>
      </w:r>
      <w:r w:rsidR="00A3183D" w:rsidRPr="004A3983">
        <w:rPr>
          <w:rFonts w:ascii="Gotham Book" w:hAnsi="Gotham Book"/>
        </w:rPr>
        <w:t>.</w:t>
      </w:r>
    </w:p>
    <w:p w14:paraId="55EAA2B9" w14:textId="188E2E41" w:rsidR="00D46C84" w:rsidRPr="004A3983" w:rsidRDefault="00A3183D" w:rsidP="000B620D">
      <w:pPr>
        <w:spacing w:after="160"/>
        <w:ind w:right="-2"/>
        <w:rPr>
          <w:rFonts w:ascii="Gotham Book" w:hAnsi="Gotham Book"/>
        </w:rPr>
      </w:pPr>
      <w:r w:rsidRPr="004A3983">
        <w:rPr>
          <w:rFonts w:ascii="Gotham Book" w:hAnsi="Gotham Book"/>
        </w:rPr>
        <w:t xml:space="preserve">In </w:t>
      </w:r>
      <w:r w:rsidR="007F27C6" w:rsidRPr="004A3983">
        <w:rPr>
          <w:rFonts w:ascii="Gotham Book" w:hAnsi="Gotham Book"/>
        </w:rPr>
        <w:t>Case Study</w:t>
      </w:r>
      <w:r w:rsidRPr="004A3983">
        <w:rPr>
          <w:rFonts w:ascii="Gotham Book" w:hAnsi="Gotham Book"/>
        </w:rPr>
        <w:t xml:space="preserve"> </w:t>
      </w:r>
      <w:r w:rsidR="008A6F63" w:rsidRPr="004A3983">
        <w:rPr>
          <w:rFonts w:ascii="Gotham Book" w:hAnsi="Gotham Book"/>
        </w:rPr>
        <w:t>6</w:t>
      </w:r>
      <w:r w:rsidRPr="004A3983">
        <w:rPr>
          <w:rFonts w:ascii="Gotham Book" w:hAnsi="Gotham Book"/>
        </w:rPr>
        <w:t xml:space="preserve"> we outline the details of Mr CC, a registrable person whose reporting period was incorrectly determined by the NSW Police Force to be longer than permitted under the CPOR Act. The NSW Police Force charged him on multiple occasions for breaching repo</w:t>
      </w:r>
      <w:r w:rsidR="007728B9" w:rsidRPr="004A3983">
        <w:rPr>
          <w:rFonts w:ascii="Gotham Book" w:hAnsi="Gotham Book"/>
        </w:rPr>
        <w:t>rting obligations that did not apply to him</w:t>
      </w:r>
      <w:r w:rsidRPr="004A3983">
        <w:rPr>
          <w:rFonts w:ascii="Gotham Book" w:hAnsi="Gotham Book"/>
        </w:rPr>
        <w:t>. He was convicted of these charges and spent more than 540 days in custody. In 2018 he initiated civil proceedings seeking</w:t>
      </w:r>
      <w:r w:rsidR="00DE7529" w:rsidRPr="004A3983">
        <w:rPr>
          <w:rFonts w:ascii="Gotham Book" w:hAnsi="Gotham Book"/>
        </w:rPr>
        <w:t xml:space="preserve"> damages from the S</w:t>
      </w:r>
      <w:r w:rsidR="00FE4654" w:rsidRPr="004A3983">
        <w:rPr>
          <w:rFonts w:ascii="Gotham Book" w:hAnsi="Gotham Book"/>
        </w:rPr>
        <w:t>tate of New South Wales</w:t>
      </w:r>
      <w:r w:rsidR="009E3886" w:rsidRPr="004A3983">
        <w:rPr>
          <w:rFonts w:ascii="Gotham Book" w:hAnsi="Gotham Book"/>
        </w:rPr>
        <w:t>.</w:t>
      </w:r>
    </w:p>
    <w:p w14:paraId="2514A864" w14:textId="2989F94B" w:rsidR="00FC56AA" w:rsidRPr="004A3983" w:rsidRDefault="00573D17" w:rsidP="000B620D">
      <w:pPr>
        <w:pStyle w:val="CaseStudyHeading"/>
        <w:spacing w:after="160" w:line="259" w:lineRule="auto"/>
        <w:ind w:right="-2"/>
        <w:rPr>
          <w:b w:val="0"/>
        </w:rPr>
      </w:pPr>
      <w:bookmarkStart w:id="201" w:name="_Toc22280904"/>
      <w:r w:rsidRPr="004A3983">
        <w:t>Registrable person wrongly imprisoned for over 540 days</w:t>
      </w:r>
      <w:bookmarkEnd w:id="201"/>
    </w:p>
    <w:p w14:paraId="718FFDAE" w14:textId="456B627F" w:rsidR="00D46C84" w:rsidRPr="004A3983" w:rsidRDefault="00D46C84" w:rsidP="000B620D">
      <w:pPr>
        <w:pStyle w:val="CaseStudyText"/>
        <w:spacing w:after="160"/>
        <w:ind w:right="-2"/>
      </w:pPr>
      <w:r w:rsidRPr="004A3983">
        <w:t>In February 2001 Mr CC</w:t>
      </w:r>
      <w:r w:rsidRPr="004A3983">
        <w:rPr>
          <w:rStyle w:val="FootnoteReference"/>
        </w:rPr>
        <w:footnoteReference w:id="126"/>
      </w:r>
      <w:r w:rsidRPr="004A3983">
        <w:t xml:space="preserve"> was sentenced for aggravated sexual assault against a victim under 16 and attempted sexual intercourse with a child under 10, both offences that he commit</w:t>
      </w:r>
      <w:r w:rsidR="00FE4654" w:rsidRPr="004A3983">
        <w:t xml:space="preserve">ted when he was under 18 years </w:t>
      </w:r>
      <w:r w:rsidRPr="004A3983">
        <w:t>old.</w:t>
      </w:r>
      <w:r w:rsidRPr="004A3983">
        <w:rPr>
          <w:vertAlign w:val="superscript"/>
        </w:rPr>
        <w:t xml:space="preserve"> </w:t>
      </w:r>
    </w:p>
    <w:p w14:paraId="7EA40F83" w14:textId="586169AF" w:rsidR="00D46C84" w:rsidRPr="004A3983" w:rsidRDefault="00D46C84" w:rsidP="000B620D">
      <w:pPr>
        <w:pStyle w:val="CaseStudyText"/>
        <w:spacing w:after="160"/>
        <w:ind w:right="-2"/>
      </w:pPr>
      <w:r w:rsidRPr="004A3983">
        <w:t>In around January 2002 the NSW Police Force determined that he was registrable under the CPOR Act, but incorrectly assumed that Mr CC was an adult at the time of his offending and therefore determined his reporting period was 15 years, rather than 7.5 years (for a juvenile offender).</w:t>
      </w:r>
      <w:r w:rsidRPr="004A3983">
        <w:rPr>
          <w:vertAlign w:val="superscript"/>
        </w:rPr>
        <w:t xml:space="preserve"> </w:t>
      </w:r>
    </w:p>
    <w:p w14:paraId="0BEB6BA3" w14:textId="43AFB092" w:rsidR="00D46C84" w:rsidRPr="004A3983" w:rsidRDefault="00D46C84" w:rsidP="000B620D">
      <w:pPr>
        <w:pStyle w:val="CaseStudyText"/>
        <w:spacing w:after="160"/>
        <w:ind w:right="-2"/>
      </w:pPr>
      <w:r w:rsidRPr="004A3983">
        <w:t xml:space="preserve">As he was a juvenile offender Mr CC’s reporting obligations under the CPOR Act ended in 2008. However, as a consequence of the error </w:t>
      </w:r>
      <w:r w:rsidR="00D12428" w:rsidRPr="004A3983">
        <w:t xml:space="preserve">made by the NSW Police </w:t>
      </w:r>
      <w:r w:rsidR="00D12428" w:rsidRPr="004A3983">
        <w:lastRenderedPageBreak/>
        <w:t xml:space="preserve">Force </w:t>
      </w:r>
      <w:r w:rsidR="002D0180" w:rsidRPr="004A3983">
        <w:t>when</w:t>
      </w:r>
      <w:r w:rsidRPr="004A3983">
        <w:t xml:space="preserve"> calculating his reporting period, Mr CC was charged, convicted and sentenced for offences under the CPOR Act on multiple occasions after 2008. </w:t>
      </w:r>
    </w:p>
    <w:p w14:paraId="7BF75B6A" w14:textId="6DB9BF4F" w:rsidR="00D46C84" w:rsidRPr="004A3983" w:rsidRDefault="00D46C84" w:rsidP="000B620D">
      <w:pPr>
        <w:pStyle w:val="CaseStudyText"/>
        <w:spacing w:after="160"/>
        <w:ind w:right="-2"/>
      </w:pPr>
      <w:r w:rsidRPr="004A3983">
        <w:t xml:space="preserve">Between January 2010 </w:t>
      </w:r>
      <w:r w:rsidR="00B1237F" w:rsidRPr="004A3983">
        <w:t>and April 2016 Mr CC</w:t>
      </w:r>
      <w:r w:rsidRPr="004A3983">
        <w:t xml:space="preserve"> was wron</w:t>
      </w:r>
      <w:r w:rsidR="007941F0" w:rsidRPr="004A3983">
        <w:t>g</w:t>
      </w:r>
      <w:r w:rsidR="009D7237" w:rsidRPr="004A3983">
        <w:t xml:space="preserve">ly </w:t>
      </w:r>
      <w:r w:rsidR="00226B8C" w:rsidRPr="004A3983">
        <w:t xml:space="preserve">arrested and </w:t>
      </w:r>
      <w:r w:rsidR="009D7237" w:rsidRPr="004A3983">
        <w:t>charged on six occasions for</w:t>
      </w:r>
      <w:r w:rsidR="007941F0" w:rsidRPr="004A3983">
        <w:t xml:space="preserve"> </w:t>
      </w:r>
      <w:r w:rsidRPr="004A3983">
        <w:t>failure to comply with reporting obligations under s 17 of the CPOR Act</w:t>
      </w:r>
      <w:r w:rsidR="009F3D6A" w:rsidRPr="004A3983">
        <w:t>, and was convicted of</w:t>
      </w:r>
      <w:r w:rsidR="00FA237E" w:rsidRPr="004A3983">
        <w:t xml:space="preserve"> all of these charges</w:t>
      </w:r>
      <w:r w:rsidRPr="004A3983">
        <w:t xml:space="preserve">. He was also convicted and sentenced for an offence of providing misleading information, contrary to s 18 of that Act. As a result of these wrongful convictions, he spent a total of </w:t>
      </w:r>
      <w:r w:rsidR="00FE4654" w:rsidRPr="004A3983">
        <w:t>545</w:t>
      </w:r>
      <w:r w:rsidRPr="004A3983">
        <w:t xml:space="preserve"> days in custody.</w:t>
      </w:r>
      <w:r w:rsidR="00693A84" w:rsidRPr="004A3983">
        <w:t xml:space="preserve"> </w:t>
      </w:r>
    </w:p>
    <w:p w14:paraId="5B7AE92B" w14:textId="6A3E7EF1" w:rsidR="00D46C84" w:rsidRPr="004A3983" w:rsidRDefault="00D46C84" w:rsidP="000B620D">
      <w:pPr>
        <w:pStyle w:val="CaseStudyText"/>
        <w:spacing w:after="160"/>
        <w:ind w:right="-2"/>
      </w:pPr>
      <w:r w:rsidRPr="004A3983">
        <w:t>In May 2016 legal representatives for Mr CC, and the NSW Police Force, became aware that an error may have been made</w:t>
      </w:r>
      <w:r w:rsidR="002D0180" w:rsidRPr="004A3983">
        <w:t xml:space="preserve"> by the NSW Police when calculating</w:t>
      </w:r>
      <w:r w:rsidRPr="004A3983">
        <w:t xml:space="preserve"> Mr CC’s reporting period.</w:t>
      </w:r>
      <w:r w:rsidRPr="004A3983">
        <w:rPr>
          <w:vertAlign w:val="superscript"/>
        </w:rPr>
        <w:t xml:space="preserve"> </w:t>
      </w:r>
    </w:p>
    <w:p w14:paraId="154FF39C" w14:textId="0D5C8303" w:rsidR="00D46C84" w:rsidRPr="004A3983" w:rsidRDefault="00D46C84" w:rsidP="000B620D">
      <w:pPr>
        <w:pStyle w:val="CaseStudyText"/>
        <w:spacing w:after="160"/>
        <w:ind w:right="-2"/>
      </w:pPr>
      <w:r w:rsidRPr="004A3983">
        <w:t xml:space="preserve">On 11 August 2016, the Registry sought advice from </w:t>
      </w:r>
      <w:r w:rsidR="00DA2BAF" w:rsidRPr="004A3983">
        <w:t xml:space="preserve">the </w:t>
      </w:r>
      <w:r w:rsidRPr="004A3983">
        <w:t xml:space="preserve">NSW Police Force Office of </w:t>
      </w:r>
      <w:r w:rsidR="0059782D" w:rsidRPr="004A3983">
        <w:t xml:space="preserve">the </w:t>
      </w:r>
      <w:r w:rsidRPr="004A3983">
        <w:t>General Counsel regarding the annulment of convictions and sentences imposed on Mr CC, noting that a ‘fundamental error’ had been made in calculating his reporting period.</w:t>
      </w:r>
    </w:p>
    <w:p w14:paraId="63B6D6EE" w14:textId="2C7DBEB7" w:rsidR="00D46C84" w:rsidRPr="004A3983" w:rsidRDefault="00D46C84" w:rsidP="000B620D">
      <w:pPr>
        <w:pStyle w:val="CaseStudyText"/>
        <w:spacing w:after="160"/>
        <w:ind w:right="-2"/>
      </w:pPr>
      <w:r w:rsidRPr="004A3983">
        <w:t xml:space="preserve">In March 2017 an application was listed with the Local Court for annulments of Mr </w:t>
      </w:r>
      <w:r w:rsidR="002162B4" w:rsidRPr="004A3983">
        <w:t>CC</w:t>
      </w:r>
      <w:r w:rsidRPr="004A3983">
        <w:t xml:space="preserve">’s </w:t>
      </w:r>
      <w:r w:rsidR="008A08E3" w:rsidRPr="004A3983">
        <w:t xml:space="preserve">convictions for </w:t>
      </w:r>
      <w:r w:rsidRPr="004A3983">
        <w:t>offences under the CPOR Act between May 2010 and November 2015. The NSW Police Force appeared in that application. Thes</w:t>
      </w:r>
      <w:r w:rsidR="005935D7" w:rsidRPr="004A3983">
        <w:t xml:space="preserve">e annulments were granted in </w:t>
      </w:r>
      <w:r w:rsidRPr="004A3983">
        <w:t>April 2017.</w:t>
      </w:r>
    </w:p>
    <w:p w14:paraId="00C203BE" w14:textId="4530AEE4" w:rsidR="00813BFB" w:rsidRPr="004A3983" w:rsidRDefault="00D46C84" w:rsidP="000B620D">
      <w:pPr>
        <w:pStyle w:val="CaseStudyText"/>
        <w:spacing w:after="360"/>
        <w:ind w:right="-2"/>
      </w:pPr>
      <w:r w:rsidRPr="004A3983">
        <w:t>In April 2018, Mr CC’s legal representatives filed a Statement of Claim in the Supreme Court, seeking damages. Mr CC claimed that as a result of the Commissioner of Police’s negligence in not ensuring the accuracy of his reporting period, Mr CC was unlawfully imprisoned for a total of 545 days.</w:t>
      </w:r>
      <w:r w:rsidR="0000664D" w:rsidRPr="004A3983">
        <w:t xml:space="preserve"> I</w:t>
      </w:r>
      <w:r w:rsidR="00C32D86" w:rsidRPr="004A3983">
        <w:t xml:space="preserve">n November 2018 </w:t>
      </w:r>
      <w:r w:rsidR="007262C6" w:rsidRPr="004A3983">
        <w:t xml:space="preserve">the State of NSW filed </w:t>
      </w:r>
      <w:r w:rsidR="00FE4654" w:rsidRPr="004A3983">
        <w:t>a d</w:t>
      </w:r>
      <w:r w:rsidRPr="004A3983">
        <w:t xml:space="preserve">efence </w:t>
      </w:r>
      <w:r w:rsidR="007262C6" w:rsidRPr="004A3983">
        <w:t>admitting</w:t>
      </w:r>
      <w:r w:rsidRPr="004A3983">
        <w:t xml:space="preserve"> that an error had been made in calculating Mr C</w:t>
      </w:r>
      <w:r w:rsidR="007262C6" w:rsidRPr="004A3983">
        <w:t>C’s reporting period, but denying</w:t>
      </w:r>
      <w:r w:rsidRPr="004A3983">
        <w:t xml:space="preserve"> any liability.</w:t>
      </w:r>
      <w:r w:rsidRPr="004A3983">
        <w:rPr>
          <w:vertAlign w:val="superscript"/>
        </w:rPr>
        <w:t xml:space="preserve"> </w:t>
      </w:r>
      <w:r w:rsidRPr="004A3983">
        <w:t>It appears that in December 2018 the matter was settled.</w:t>
      </w:r>
      <w:r w:rsidR="00E62314" w:rsidRPr="004A3983">
        <w:t xml:space="preserve"> </w:t>
      </w:r>
    </w:p>
    <w:p w14:paraId="5FF2C332" w14:textId="0BD97AF4" w:rsidR="002E21D7" w:rsidRPr="004A3983" w:rsidRDefault="00813BFB" w:rsidP="000B620D">
      <w:pPr>
        <w:spacing w:after="160"/>
        <w:ind w:right="-2"/>
        <w:rPr>
          <w:rFonts w:ascii="Gotham Book" w:hAnsi="Gotham Book"/>
        </w:rPr>
      </w:pPr>
      <w:r w:rsidRPr="004A3983">
        <w:rPr>
          <w:rFonts w:ascii="Gotham Book" w:hAnsi="Gotham Book"/>
        </w:rPr>
        <w:t xml:space="preserve">In </w:t>
      </w:r>
      <w:r w:rsidR="007F27C6" w:rsidRPr="004A3983">
        <w:rPr>
          <w:rFonts w:ascii="Gotham Book" w:hAnsi="Gotham Book"/>
        </w:rPr>
        <w:t>Case Study</w:t>
      </w:r>
      <w:r w:rsidRPr="004A3983">
        <w:rPr>
          <w:rFonts w:ascii="Gotham Book" w:hAnsi="Gotham Book"/>
        </w:rPr>
        <w:t xml:space="preserve"> </w:t>
      </w:r>
      <w:r w:rsidR="008A6F63" w:rsidRPr="004A3983">
        <w:rPr>
          <w:rFonts w:ascii="Gotham Book" w:hAnsi="Gotham Book"/>
        </w:rPr>
        <w:t>7</w:t>
      </w:r>
      <w:r w:rsidRPr="004A3983">
        <w:rPr>
          <w:rFonts w:ascii="Gotham Book" w:hAnsi="Gotham Book"/>
        </w:rPr>
        <w:t xml:space="preserve"> the NSW Pol</w:t>
      </w:r>
      <w:r w:rsidR="00B10CF8" w:rsidRPr="004A3983">
        <w:rPr>
          <w:rFonts w:ascii="Gotham Book" w:hAnsi="Gotham Book"/>
        </w:rPr>
        <w:t>ice Force incorrectly calculated</w:t>
      </w:r>
      <w:r w:rsidRPr="004A3983">
        <w:rPr>
          <w:rFonts w:ascii="Gotham Book" w:hAnsi="Gotham Book"/>
        </w:rPr>
        <w:t xml:space="preserve"> Mr YY’s reporting period to be four years longer than permitted under the CPOR Act. During those four years police officers unlawfully required him to attend police stations to report and update his personal information on multiple occasions, and conducted two separate inspections of his home to verify this information. He was charged on multiple occasions with o</w:t>
      </w:r>
      <w:r w:rsidR="00FE6AFB" w:rsidRPr="004A3983">
        <w:rPr>
          <w:rFonts w:ascii="Gotham Book" w:hAnsi="Gotham Book"/>
        </w:rPr>
        <w:t xml:space="preserve">ffences under the CPOR Act, </w:t>
      </w:r>
      <w:r w:rsidRPr="004A3983">
        <w:rPr>
          <w:rFonts w:ascii="Gotham Book" w:hAnsi="Gotham Book"/>
        </w:rPr>
        <w:t xml:space="preserve">was wrongly convicted, and spent </w:t>
      </w:r>
      <w:r w:rsidR="00FE4654" w:rsidRPr="004A3983">
        <w:rPr>
          <w:rFonts w:ascii="Gotham Book" w:hAnsi="Gotham Book"/>
        </w:rPr>
        <w:t>183</w:t>
      </w:r>
      <w:r w:rsidRPr="004A3983">
        <w:rPr>
          <w:rFonts w:ascii="Gotham Book" w:hAnsi="Gotham Book"/>
        </w:rPr>
        <w:t xml:space="preserve"> days in custody. </w:t>
      </w:r>
    </w:p>
    <w:p w14:paraId="492DFDBF" w14:textId="0F28EF54" w:rsidR="00D46C84" w:rsidRPr="004A3983" w:rsidRDefault="0057769F" w:rsidP="000B620D">
      <w:pPr>
        <w:pStyle w:val="CaseStudyHeading"/>
        <w:spacing w:after="160" w:line="259" w:lineRule="auto"/>
        <w:ind w:right="-2"/>
        <w:rPr>
          <w:b w:val="0"/>
        </w:rPr>
      </w:pPr>
      <w:bookmarkStart w:id="202" w:name="_Toc22280905"/>
      <w:r w:rsidRPr="004A3983">
        <w:t>Registrable person subjected to unlawful home inspections</w:t>
      </w:r>
      <w:bookmarkEnd w:id="202"/>
    </w:p>
    <w:p w14:paraId="5AF54D08" w14:textId="0D764585" w:rsidR="005760B1" w:rsidRPr="004A3983" w:rsidRDefault="005760B1" w:rsidP="000B620D">
      <w:pPr>
        <w:pStyle w:val="CaseStudyText"/>
        <w:spacing w:after="160"/>
        <w:ind w:right="-2"/>
      </w:pPr>
      <w:r w:rsidRPr="004A3983">
        <w:t>In November 2005 Mr YY</w:t>
      </w:r>
      <w:r w:rsidR="0041783B" w:rsidRPr="004A3983">
        <w:rPr>
          <w:rStyle w:val="FootnoteReference"/>
        </w:rPr>
        <w:footnoteReference w:id="127"/>
      </w:r>
      <w:r w:rsidRPr="004A3983">
        <w:t xml:space="preserve"> was convicted of two counts of assault with an act of indecency.</w:t>
      </w:r>
      <w:r w:rsidRPr="004A3983">
        <w:rPr>
          <w:vertAlign w:val="superscript"/>
        </w:rPr>
        <w:t xml:space="preserve"> </w:t>
      </w:r>
      <w:r w:rsidRPr="004A3983">
        <w:t>One of Mr YY’s assaults was committed against a child, the other was committed against an adult.</w:t>
      </w:r>
      <w:r w:rsidR="00BB69ED" w:rsidRPr="004A3983">
        <w:t xml:space="preserve"> </w:t>
      </w:r>
    </w:p>
    <w:p w14:paraId="7C44C4A4" w14:textId="63AF1B0D" w:rsidR="005760B1" w:rsidRPr="004A3983" w:rsidRDefault="005760B1" w:rsidP="000B620D">
      <w:pPr>
        <w:pStyle w:val="CaseStudyText"/>
        <w:spacing w:after="160"/>
        <w:ind w:right="-2"/>
      </w:pPr>
      <w:r w:rsidRPr="004A3983">
        <w:lastRenderedPageBreak/>
        <w:t xml:space="preserve">The NSW Police Force determined Mr YY was a registrable person under the CPOR Act, but incorrectly calculated his reporting period on the basis that both offences had been committed against a child. His reporting period was </w:t>
      </w:r>
      <w:r w:rsidR="00AA4E25" w:rsidRPr="004A3983">
        <w:t xml:space="preserve">therefore calculated as ending in </w:t>
      </w:r>
      <w:r w:rsidRPr="004A3983">
        <w:t>November 2017, when in fact his reporting period under the Act ended four years earlier,</w:t>
      </w:r>
      <w:r w:rsidR="00AA4E25" w:rsidRPr="004A3983">
        <w:t xml:space="preserve"> in </w:t>
      </w:r>
      <w:r w:rsidRPr="004A3983">
        <w:t>November 2013.</w:t>
      </w:r>
      <w:r w:rsidR="00BB69ED" w:rsidRPr="004A3983">
        <w:t xml:space="preserve"> </w:t>
      </w:r>
    </w:p>
    <w:p w14:paraId="1F1E4C5A" w14:textId="15A7F3B3" w:rsidR="005760B1" w:rsidRPr="004A3983" w:rsidRDefault="005760B1" w:rsidP="000B620D">
      <w:pPr>
        <w:pStyle w:val="CaseStudyText"/>
        <w:spacing w:after="160"/>
        <w:ind w:right="-2"/>
      </w:pPr>
      <w:r w:rsidRPr="004A3983">
        <w:t>Due to the error in calculating his reporting period, in COPS his reporting obligations were recorded as continuing for years after November 2013. As a consequence:</w:t>
      </w:r>
    </w:p>
    <w:p w14:paraId="568C4D22" w14:textId="3EF6C0FF" w:rsidR="001D2592" w:rsidRPr="004A3983" w:rsidRDefault="00B33231" w:rsidP="00864C5D">
      <w:pPr>
        <w:pStyle w:val="ListBullet"/>
        <w:ind w:left="1080"/>
      </w:pPr>
      <w:r w:rsidRPr="004A3983">
        <w:t>In</w:t>
      </w:r>
      <w:r w:rsidR="005760B1" w:rsidRPr="004A3983">
        <w:t xml:space="preserve"> April 2014, when Mr YY rang the NSW Police Force to advise them he was moving to a new address, he was informed that he would need to attend a police st</w:t>
      </w:r>
      <w:r w:rsidR="00AA4E25" w:rsidRPr="004A3983">
        <w:t>ation in person to report this</w:t>
      </w:r>
      <w:r w:rsidR="005760B1" w:rsidRPr="004A3983">
        <w:t>. Mr YY did not attend a poli</w:t>
      </w:r>
      <w:r w:rsidRPr="004A3983">
        <w:t>ce station until</w:t>
      </w:r>
      <w:r w:rsidR="005760B1" w:rsidRPr="004A3983">
        <w:t xml:space="preserve"> August 2014. </w:t>
      </w:r>
    </w:p>
    <w:p w14:paraId="33039491" w14:textId="3EF17B97" w:rsidR="005760B1" w:rsidRPr="004A3983" w:rsidRDefault="00E94AA0" w:rsidP="00864C5D">
      <w:pPr>
        <w:pStyle w:val="ListBullet"/>
        <w:ind w:left="1080"/>
      </w:pPr>
      <w:r w:rsidRPr="004A3983">
        <w:t>W</w:t>
      </w:r>
      <w:r w:rsidR="001D2592" w:rsidRPr="004A3983">
        <w:t>hen Mr YY</w:t>
      </w:r>
      <w:r w:rsidRPr="004A3983">
        <w:t xml:space="preserve"> did attend</w:t>
      </w:r>
      <w:r w:rsidR="001D2592" w:rsidRPr="004A3983">
        <w:t xml:space="preserve"> a police station in August 2014</w:t>
      </w:r>
      <w:r w:rsidRPr="004A3983">
        <w:t>, p</w:t>
      </w:r>
      <w:r w:rsidR="005760B1" w:rsidRPr="004A3983">
        <w:t xml:space="preserve">olice questioned him about his current residential address. He informed them he had been residing at a particular address for a month, with a woman and a 17 year old. </w:t>
      </w:r>
      <w:r w:rsidR="00B33231" w:rsidRPr="004A3983">
        <w:t>He</w:t>
      </w:r>
      <w:r w:rsidR="005760B1" w:rsidRPr="004A3983">
        <w:t xml:space="preserve"> was charged with two counts of failure to comply with reporting obligations and one count of providing false/misleading information, in relation to not keeping his address up to date with police. </w:t>
      </w:r>
    </w:p>
    <w:p w14:paraId="34DB8739" w14:textId="114B15C1" w:rsidR="005760B1" w:rsidRPr="004A3983" w:rsidRDefault="00A12F25" w:rsidP="00864C5D">
      <w:pPr>
        <w:pStyle w:val="ListBullet"/>
        <w:ind w:left="1080"/>
      </w:pPr>
      <w:r w:rsidRPr="004A3983">
        <w:t xml:space="preserve">In </w:t>
      </w:r>
      <w:r w:rsidR="005760B1" w:rsidRPr="004A3983">
        <w:t>November 2014 police con</w:t>
      </w:r>
      <w:r w:rsidR="0037376C" w:rsidRPr="004A3983">
        <w:t xml:space="preserve">ducted an unannounced inspection of Mr YY’s home </w:t>
      </w:r>
      <w:r w:rsidR="005760B1" w:rsidRPr="004A3983">
        <w:t>for the purpose of verifying his personal information, on the mistaken belief that s 16C of the CPOR Act empowered them to do so. The officers conducted a visual inspection of his premises and located a mobile phone that he had not reported to the police.</w:t>
      </w:r>
    </w:p>
    <w:p w14:paraId="640C31D5" w14:textId="3807F137" w:rsidR="005760B1" w:rsidRPr="004A3983" w:rsidRDefault="00E248BF" w:rsidP="00864C5D">
      <w:pPr>
        <w:pStyle w:val="ListBullet"/>
        <w:ind w:left="1080"/>
      </w:pPr>
      <w:r w:rsidRPr="004A3983">
        <w:t xml:space="preserve">In </w:t>
      </w:r>
      <w:r w:rsidR="005760B1" w:rsidRPr="004A3983">
        <w:t>January 2015 Mr YY attended a police station and participated in an interview where he admitted to having owned the phone for at least 12 months.</w:t>
      </w:r>
      <w:r w:rsidRPr="004A3983">
        <w:t xml:space="preserve"> He</w:t>
      </w:r>
      <w:r w:rsidR="005760B1" w:rsidRPr="004A3983">
        <w:t xml:space="preserve"> was charged with one count of failure to comply with reporting obligations, for the failure to inform the police about his mobile phone.</w:t>
      </w:r>
    </w:p>
    <w:p w14:paraId="3C815E14" w14:textId="4C348A91" w:rsidR="005760B1" w:rsidRPr="004A3983" w:rsidRDefault="00CF7AAB" w:rsidP="00864C5D">
      <w:pPr>
        <w:pStyle w:val="ListBullet"/>
        <w:ind w:left="1080"/>
      </w:pPr>
      <w:r w:rsidRPr="004A3983">
        <w:t xml:space="preserve">In </w:t>
      </w:r>
      <w:r w:rsidR="005760B1" w:rsidRPr="004A3983">
        <w:t xml:space="preserve">March 2015 Mr YY was convicted </w:t>
      </w:r>
      <w:r w:rsidR="003359C1" w:rsidRPr="004A3983">
        <w:t>of</w:t>
      </w:r>
      <w:r w:rsidR="005760B1" w:rsidRPr="004A3983">
        <w:t xml:space="preserve"> all of the CPOR Act offences charged in August 2014 and January 2015, and sentenced to </w:t>
      </w:r>
      <w:r w:rsidR="003359C1" w:rsidRPr="004A3983">
        <w:t>nine</w:t>
      </w:r>
      <w:r w:rsidR="00FE4654" w:rsidRPr="004A3983">
        <w:t xml:space="preserve"> months</w:t>
      </w:r>
      <w:r w:rsidR="00E31C12" w:rsidRPr="004A3983">
        <w:t>’</w:t>
      </w:r>
      <w:r w:rsidR="005F02F1" w:rsidRPr="004A3983">
        <w:t xml:space="preserve"> imprisonment, with a six</w:t>
      </w:r>
      <w:r w:rsidR="005760B1" w:rsidRPr="004A3983">
        <w:t xml:space="preserve"> month non-paro</w:t>
      </w:r>
      <w:r w:rsidR="00865B78" w:rsidRPr="004A3983">
        <w:t xml:space="preserve">le period. He was released in </w:t>
      </w:r>
      <w:r w:rsidR="005760B1" w:rsidRPr="004A3983">
        <w:t>September 2015, having spent 183 days in custody.</w:t>
      </w:r>
    </w:p>
    <w:p w14:paraId="6C6C89BC" w14:textId="17589079" w:rsidR="005760B1" w:rsidRPr="004A3983" w:rsidRDefault="005760B1" w:rsidP="00864C5D">
      <w:pPr>
        <w:pStyle w:val="ListBullet"/>
        <w:ind w:left="1080"/>
      </w:pPr>
      <w:r w:rsidRPr="004A3983">
        <w:t>Mr YY was informed by Corrective Services NSW that he was required to report to a police station no later than 9 September 2015. He failed to report in that time.</w:t>
      </w:r>
    </w:p>
    <w:p w14:paraId="0AB25E99" w14:textId="2C3B5942" w:rsidR="005760B1" w:rsidRPr="004A3983" w:rsidRDefault="00E858E4" w:rsidP="00864C5D">
      <w:pPr>
        <w:pStyle w:val="ListBullet"/>
        <w:ind w:left="1080"/>
      </w:pPr>
      <w:r w:rsidRPr="004A3983">
        <w:t xml:space="preserve">In </w:t>
      </w:r>
      <w:r w:rsidR="005760B1" w:rsidRPr="004A3983">
        <w:t>December 2015 Mr YY was arrested and charged with failure to comply with reporting obligations.</w:t>
      </w:r>
      <w:r w:rsidRPr="004A3983">
        <w:t xml:space="preserve">  He was sentenced </w:t>
      </w:r>
      <w:r w:rsidR="005F02F1" w:rsidRPr="004A3983">
        <w:t>to seven</w:t>
      </w:r>
      <w:r w:rsidR="00FE4654" w:rsidRPr="004A3983">
        <w:t xml:space="preserve"> month</w:t>
      </w:r>
      <w:r w:rsidR="00BF10FF" w:rsidRPr="004A3983">
        <w:t>s</w:t>
      </w:r>
      <w:r w:rsidR="00E31C12" w:rsidRPr="004A3983">
        <w:t>’</w:t>
      </w:r>
      <w:r w:rsidR="00BF10FF" w:rsidRPr="004A3983">
        <w:t xml:space="preserve"> imprisonment</w:t>
      </w:r>
      <w:r w:rsidR="005760B1" w:rsidRPr="004A3983">
        <w:t xml:space="preserve"> with a one week non-parole period, </w:t>
      </w:r>
      <w:r w:rsidR="000168EC" w:rsidRPr="004A3983">
        <w:t xml:space="preserve">and </w:t>
      </w:r>
      <w:r w:rsidR="005760B1" w:rsidRPr="004A3983">
        <w:t>was released</w:t>
      </w:r>
      <w:r w:rsidR="000168EC" w:rsidRPr="004A3983">
        <w:t>,</w:t>
      </w:r>
      <w:r w:rsidR="005760B1" w:rsidRPr="004A3983">
        <w:t xml:space="preserve"> </w:t>
      </w:r>
      <w:r w:rsidR="003B7168" w:rsidRPr="004A3983">
        <w:t>having spent six</w:t>
      </w:r>
      <w:r w:rsidR="005760B1" w:rsidRPr="004A3983">
        <w:t xml:space="preserve"> days in custody.</w:t>
      </w:r>
      <w:r w:rsidR="0024425C" w:rsidRPr="004A3983">
        <w:t xml:space="preserve"> </w:t>
      </w:r>
    </w:p>
    <w:p w14:paraId="79F369A0" w14:textId="54C78962" w:rsidR="005760B1" w:rsidRPr="004A3983" w:rsidRDefault="00446FA4" w:rsidP="00864C5D">
      <w:pPr>
        <w:pStyle w:val="ListBullet"/>
        <w:ind w:left="1080"/>
      </w:pPr>
      <w:r w:rsidRPr="004A3983">
        <w:t xml:space="preserve">In </w:t>
      </w:r>
      <w:r w:rsidR="005760B1" w:rsidRPr="004A3983">
        <w:t xml:space="preserve">June 2016 police conducted another </w:t>
      </w:r>
      <w:r w:rsidR="0037376C" w:rsidRPr="004A3983">
        <w:t xml:space="preserve">inspection of Mr YY’s </w:t>
      </w:r>
      <w:r w:rsidR="005760B1" w:rsidRPr="004A3983">
        <w:t xml:space="preserve">home in purported reliance on s 16C of the CPOR Act. The officers checked Mr YY’s </w:t>
      </w:r>
      <w:r w:rsidR="005760B1" w:rsidRPr="004A3983">
        <w:lastRenderedPageBreak/>
        <w:t>mobile phone and laptop, and asked him a series of questions about any changes to his personal information.</w:t>
      </w:r>
    </w:p>
    <w:p w14:paraId="3E2483D6" w14:textId="21132D9E" w:rsidR="005760B1" w:rsidRPr="004A3983" w:rsidRDefault="005760B1" w:rsidP="000B620D">
      <w:pPr>
        <w:pStyle w:val="CaseStudyText"/>
        <w:spacing w:after="160"/>
        <w:ind w:right="-2"/>
      </w:pPr>
      <w:r w:rsidRPr="004A3983">
        <w:rPr>
          <w:rFonts w:cs="Arial"/>
        </w:rPr>
        <w:t>Between July and August 2016 the NSW Police Force became aware that Mr YY had been wrongly convicted and sentenced to imprisonment for offences under the CPOR Act after his reporting period ended in 2013.</w:t>
      </w:r>
      <w:r w:rsidRPr="004A3983">
        <w:t xml:space="preserve"> </w:t>
      </w:r>
    </w:p>
    <w:p w14:paraId="19E27279" w14:textId="218403A7" w:rsidR="005760B1" w:rsidRPr="004A3983" w:rsidRDefault="005760B1" w:rsidP="000B620D">
      <w:pPr>
        <w:pStyle w:val="CaseStudyText"/>
        <w:spacing w:after="360"/>
        <w:ind w:right="-2"/>
      </w:pPr>
      <w:r w:rsidRPr="004A3983">
        <w:t>In December 2018, following a query from the Commission about Mr YY’s case, the NSW Police Force wrote to the Department of Justice requesting it apply for</w:t>
      </w:r>
      <w:r w:rsidR="00864C5D">
        <w:t> </w:t>
      </w:r>
      <w:r w:rsidRPr="004A3983">
        <w:t>annulments of his convictions under the CPOR Act.</w:t>
      </w:r>
      <w:r w:rsidR="007E34FB" w:rsidRPr="004A3983">
        <w:t xml:space="preserve"> In </w:t>
      </w:r>
      <w:r w:rsidR="00196608" w:rsidRPr="004A3983">
        <w:t xml:space="preserve">July 2019 the Local Court annulled all five of Mr YY’s wrongful convictions for offences against the CPOR Act. </w:t>
      </w:r>
      <w:r w:rsidRPr="004A3983">
        <w:t xml:space="preserve"> </w:t>
      </w:r>
    </w:p>
    <w:p w14:paraId="5C696CAD" w14:textId="2B743E85" w:rsidR="00AA480D" w:rsidRPr="004A3983" w:rsidRDefault="00AA480D" w:rsidP="000B620D">
      <w:pPr>
        <w:pStyle w:val="Heading2"/>
        <w:spacing w:after="160"/>
        <w:ind w:right="-2"/>
      </w:pPr>
      <w:bookmarkStart w:id="203" w:name="_Toc22627760"/>
      <w:bookmarkStart w:id="204" w:name="_Ref8657794"/>
      <w:r w:rsidRPr="004A3983">
        <w:t>Conclusions as to the extent, nature and impact of errors in the Register</w:t>
      </w:r>
      <w:bookmarkEnd w:id="203"/>
      <w:r w:rsidRPr="004A3983">
        <w:t xml:space="preserve"> </w:t>
      </w:r>
      <w:bookmarkEnd w:id="204"/>
    </w:p>
    <w:p w14:paraId="4A28A7E6" w14:textId="01EB53D0" w:rsidR="00966550" w:rsidRPr="004A3983" w:rsidRDefault="00AA480D" w:rsidP="000B620D">
      <w:pPr>
        <w:spacing w:after="160"/>
        <w:ind w:right="-2"/>
        <w:rPr>
          <w:rFonts w:ascii="Gotham Book" w:hAnsi="Gotham Book"/>
        </w:rPr>
      </w:pPr>
      <w:r w:rsidRPr="004A3983">
        <w:rPr>
          <w:rFonts w:ascii="Gotham Book" w:hAnsi="Gotham Book"/>
        </w:rPr>
        <w:t xml:space="preserve">It is clear from the CPR case review and our review of Register cases that the errors that have occurred in the Register include hundreds of occasions on which the NSW Police Force has made incorrect decisions that certain individuals were registrable persons under the CPOR Act, or about the length of registrable persons’ reporting periods. </w:t>
      </w:r>
    </w:p>
    <w:p w14:paraId="7B393309" w14:textId="30955368" w:rsidR="00966550" w:rsidRPr="004A3983" w:rsidRDefault="00966550" w:rsidP="000B620D">
      <w:pPr>
        <w:spacing w:after="160"/>
        <w:ind w:right="-2"/>
        <w:rPr>
          <w:rFonts w:ascii="Gotham Book" w:hAnsi="Gotham Book"/>
        </w:rPr>
      </w:pPr>
      <w:r w:rsidRPr="004A3983">
        <w:rPr>
          <w:rFonts w:ascii="Gotham Book" w:hAnsi="Gotham Book"/>
        </w:rPr>
        <w:t>The CPR case review also identified 89 Register cases in which the reporting period</w:t>
      </w:r>
      <w:r w:rsidR="00316E99" w:rsidRPr="004A3983">
        <w:rPr>
          <w:rFonts w:ascii="Gotham Book" w:hAnsi="Gotham Book"/>
        </w:rPr>
        <w:t>s</w:t>
      </w:r>
      <w:r w:rsidRPr="004A3983">
        <w:rPr>
          <w:rFonts w:ascii="Gotham Book" w:hAnsi="Gotham Book"/>
        </w:rPr>
        <w:t xml:space="preserve"> recorded by the NSW Police Force </w:t>
      </w:r>
      <w:r w:rsidR="00316E99" w:rsidRPr="004A3983">
        <w:rPr>
          <w:rFonts w:ascii="Gotham Book" w:hAnsi="Gotham Book"/>
        </w:rPr>
        <w:t>were</w:t>
      </w:r>
      <w:r w:rsidRPr="004A3983">
        <w:rPr>
          <w:rFonts w:ascii="Gotham Book" w:hAnsi="Gotham Book"/>
        </w:rPr>
        <w:t xml:space="preserve"> incorrect because they had not been updated to reflect amendments to the Queensland </w:t>
      </w:r>
      <w:r w:rsidRPr="004A3983">
        <w:rPr>
          <w:rFonts w:ascii="Gotham Book" w:hAnsi="Gotham Book"/>
          <w:i/>
        </w:rPr>
        <w:t xml:space="preserve">Child Protection (Offender Reporting) Act 2004 </w:t>
      </w:r>
      <w:r w:rsidRPr="004A3983">
        <w:rPr>
          <w:rFonts w:ascii="Gotham Book" w:hAnsi="Gotham Book"/>
        </w:rPr>
        <w:t>in 2014.</w:t>
      </w:r>
      <w:r w:rsidRPr="004A3983">
        <w:rPr>
          <w:rStyle w:val="FootnoteReference"/>
          <w:rFonts w:ascii="Gotham Book" w:hAnsi="Gotham Book"/>
        </w:rPr>
        <w:footnoteReference w:id="128"/>
      </w:r>
      <w:r w:rsidR="009749A7" w:rsidRPr="004A3983">
        <w:rPr>
          <w:rFonts w:ascii="Gotham Book" w:hAnsi="Gotham Book"/>
        </w:rPr>
        <w:t xml:space="preserve"> The Commission reviewed two Register case files in which this had occurred.</w:t>
      </w:r>
      <w:r w:rsidR="009749A7" w:rsidRPr="004A3983">
        <w:rPr>
          <w:rStyle w:val="FootnoteReference"/>
          <w:rFonts w:ascii="Gotham Book" w:hAnsi="Gotham Book"/>
        </w:rPr>
        <w:footnoteReference w:id="129"/>
      </w:r>
      <w:r w:rsidR="007327D7" w:rsidRPr="004A3983">
        <w:rPr>
          <w:rFonts w:ascii="Gotham Book" w:hAnsi="Gotham Book"/>
        </w:rPr>
        <w:t xml:space="preserve"> </w:t>
      </w:r>
    </w:p>
    <w:p w14:paraId="51502077" w14:textId="51D4E15D" w:rsidR="00AA480D" w:rsidRPr="004A3983" w:rsidRDefault="001B4813" w:rsidP="000B620D">
      <w:pPr>
        <w:spacing w:after="160"/>
        <w:ind w:right="-2"/>
      </w:pPr>
      <w:r w:rsidRPr="004A3983">
        <w:t>T</w:t>
      </w:r>
      <w:r w:rsidR="00AA480D" w:rsidRPr="004A3983">
        <w:t>he NSW Police Force has also identified</w:t>
      </w:r>
      <w:r w:rsidR="00BB7FE9" w:rsidRPr="004A3983">
        <w:t xml:space="preserve"> a total of</w:t>
      </w:r>
      <w:r w:rsidR="00AA480D" w:rsidRPr="004A3983">
        <w:t xml:space="preserve"> </w:t>
      </w:r>
      <w:r w:rsidR="0065112D" w:rsidRPr="004A3983">
        <w:t>96</w:t>
      </w:r>
      <w:r w:rsidR="00AA480D" w:rsidRPr="004A3983">
        <w:t xml:space="preserve"> persons who it </w:t>
      </w:r>
      <w:r w:rsidR="00DD2FE1" w:rsidRPr="004A3983">
        <w:t xml:space="preserve">had </w:t>
      </w:r>
      <w:r w:rsidR="00AA480D" w:rsidRPr="004A3983">
        <w:t>incorrectly determined were not registrable</w:t>
      </w:r>
      <w:r w:rsidR="00DD2FE1" w:rsidRPr="004A3983">
        <w:t xml:space="preserve"> persons</w:t>
      </w:r>
      <w:r w:rsidR="00D55F2E" w:rsidRPr="004A3983">
        <w:t xml:space="preserve"> (95 of whom </w:t>
      </w:r>
      <w:r w:rsidR="00897E3A" w:rsidRPr="004A3983">
        <w:t>were</w:t>
      </w:r>
      <w:r w:rsidR="00D55F2E" w:rsidRPr="004A3983">
        <w:t xml:space="preserve"> identified as a result of Operation Tusket)</w:t>
      </w:r>
      <w:r w:rsidR="00AA480D" w:rsidRPr="004A3983">
        <w:t>.</w:t>
      </w:r>
      <w:r w:rsidR="0065112D" w:rsidRPr="004A3983">
        <w:t xml:space="preserve"> </w:t>
      </w:r>
    </w:p>
    <w:p w14:paraId="4A8A553E" w14:textId="213F9EC3" w:rsidR="003D761A" w:rsidRPr="004A3983" w:rsidRDefault="00AA480D" w:rsidP="000B620D">
      <w:pPr>
        <w:spacing w:after="160"/>
        <w:ind w:right="-2"/>
      </w:pPr>
      <w:r w:rsidRPr="004A3983">
        <w:t xml:space="preserve">The impact of these </w:t>
      </w:r>
      <w:r w:rsidR="00C602D5" w:rsidRPr="004A3983">
        <w:t>errors</w:t>
      </w:r>
      <w:r w:rsidRPr="004A3983">
        <w:t xml:space="preserve"> has been significant. </w:t>
      </w:r>
      <w:r w:rsidR="003D761A" w:rsidRPr="004A3983">
        <w:t xml:space="preserve">The incorrect decisions </w:t>
      </w:r>
      <w:r w:rsidR="004A1E57" w:rsidRPr="004A3983">
        <w:t xml:space="preserve">of the NSW Police Force </w:t>
      </w:r>
      <w:r w:rsidR="003D761A" w:rsidRPr="004A3983">
        <w:t xml:space="preserve">have in some cases resulted in registrable </w:t>
      </w:r>
      <w:r w:rsidR="00FE4654" w:rsidRPr="004A3983">
        <w:t>persons</w:t>
      </w:r>
      <w:r w:rsidR="003D761A" w:rsidRPr="004A3983">
        <w:t xml:space="preserve"> being in the community for a number of years without being required by the NSW Police Force to comply with their reporting obligations under the CPOR Act</w:t>
      </w:r>
      <w:r w:rsidR="00B406D8" w:rsidRPr="004A3983">
        <w:t>. This is illustrated by Case S</w:t>
      </w:r>
      <w:r w:rsidR="003D761A" w:rsidRPr="004A3983">
        <w:t>tudies 1, 2, and 3.</w:t>
      </w:r>
    </w:p>
    <w:p w14:paraId="6F65C6E0" w14:textId="46D62FD6" w:rsidR="003D761A" w:rsidRPr="004A3983" w:rsidRDefault="00AA480D" w:rsidP="000B620D">
      <w:pPr>
        <w:spacing w:after="160"/>
        <w:ind w:right="-2"/>
      </w:pPr>
      <w:r w:rsidRPr="004A3983">
        <w:t xml:space="preserve">In other cases the NSW Police Force acted on incorrect information in the Register </w:t>
      </w:r>
      <w:r w:rsidR="00FD6FB3" w:rsidRPr="004A3983">
        <w:t>and required</w:t>
      </w:r>
      <w:r w:rsidRPr="004A3983">
        <w:t xml:space="preserve"> </w:t>
      </w:r>
      <w:r w:rsidR="00FD6FB3" w:rsidRPr="004A3983">
        <w:t xml:space="preserve">people to report their personal information to police </w:t>
      </w:r>
      <w:r w:rsidR="009F17EF" w:rsidRPr="004A3983">
        <w:t xml:space="preserve">for years </w:t>
      </w:r>
      <w:r w:rsidRPr="004A3983">
        <w:t xml:space="preserve">when the CPOR Act did not provide any lawful basis for the NSW Police Force to do so. This is illustrated by </w:t>
      </w:r>
      <w:r w:rsidR="001D2128" w:rsidRPr="004A3983">
        <w:t>Case S</w:t>
      </w:r>
      <w:r w:rsidRPr="004A3983">
        <w:t xml:space="preserve">tudies </w:t>
      </w:r>
      <w:r w:rsidR="00B6537D" w:rsidRPr="004A3983">
        <w:t>4</w:t>
      </w:r>
      <w:r w:rsidR="0037664A" w:rsidRPr="004A3983">
        <w:t>, 5, 6 and 7</w:t>
      </w:r>
      <w:r w:rsidR="003546A7" w:rsidRPr="004A3983">
        <w:t>.</w:t>
      </w:r>
      <w:r w:rsidR="003239BD" w:rsidRPr="004A3983">
        <w:t xml:space="preserve"> </w:t>
      </w:r>
      <w:r w:rsidR="003D761A" w:rsidRPr="004A3983">
        <w:t xml:space="preserve">For example, the error in the calculation of Mr CC’s reporting period (Case Study 6) was made in 2002, but was not detected for 14 years. As a result, </w:t>
      </w:r>
      <w:r w:rsidR="00DF28EB" w:rsidRPr="004A3983">
        <w:t>police</w:t>
      </w:r>
      <w:r w:rsidR="003D761A" w:rsidRPr="004A3983">
        <w:t xml:space="preserve"> officers arrested and charged him with offences under the CPOR Act in 2010, 2011, 2012, 2013, 2015 and 2016, when he no longer had any obligations to report under that Act. </w:t>
      </w:r>
    </w:p>
    <w:p w14:paraId="6378ED1E" w14:textId="417C79A8" w:rsidR="00AA480D" w:rsidRPr="004A3983" w:rsidRDefault="00AA480D" w:rsidP="000B620D">
      <w:pPr>
        <w:spacing w:after="160"/>
        <w:ind w:right="-2"/>
        <w:rPr>
          <w:rFonts w:ascii="Gotham Book" w:hAnsi="Gotham Book" w:cs="Arial"/>
        </w:rPr>
      </w:pPr>
      <w:r w:rsidRPr="004A3983">
        <w:rPr>
          <w:rFonts w:ascii="Gotham Book" w:hAnsi="Gotham Book"/>
        </w:rPr>
        <w:lastRenderedPageBreak/>
        <w:t xml:space="preserve">In our review of </w:t>
      </w:r>
      <w:r w:rsidR="00480D90" w:rsidRPr="004A3983">
        <w:rPr>
          <w:rFonts w:ascii="Gotham Book" w:hAnsi="Gotham Book"/>
        </w:rPr>
        <w:t>documentation provided by the NSW Police Force,</w:t>
      </w:r>
      <w:r w:rsidRPr="004A3983">
        <w:rPr>
          <w:rFonts w:ascii="Gotham Book" w:hAnsi="Gotham Book"/>
        </w:rPr>
        <w:t xml:space="preserve"> the Commission identified eight persons who had been unlawful</w:t>
      </w:r>
      <w:r w:rsidR="004D258D" w:rsidRPr="004A3983">
        <w:rPr>
          <w:rFonts w:ascii="Gotham Book" w:hAnsi="Gotham Book"/>
        </w:rPr>
        <w:t>ly</w:t>
      </w:r>
      <w:r w:rsidRPr="004A3983">
        <w:rPr>
          <w:rFonts w:ascii="Gotham Book" w:hAnsi="Gotham Book"/>
        </w:rPr>
        <w:t xml:space="preserve"> </w:t>
      </w:r>
      <w:r w:rsidR="00FD6FB3" w:rsidRPr="004A3983">
        <w:rPr>
          <w:rFonts w:ascii="Gotham Book" w:hAnsi="Gotham Book"/>
        </w:rPr>
        <w:t>re</w:t>
      </w:r>
      <w:r w:rsidR="004D258D" w:rsidRPr="004A3983">
        <w:rPr>
          <w:rFonts w:ascii="Gotham Book" w:hAnsi="Gotham Book"/>
        </w:rPr>
        <w:t>quired</w:t>
      </w:r>
      <w:r w:rsidRPr="004A3983">
        <w:rPr>
          <w:rFonts w:ascii="Gotham Book" w:hAnsi="Gotham Book"/>
        </w:rPr>
        <w:t xml:space="preserve"> to report their personal information to police</w:t>
      </w:r>
      <w:r w:rsidR="00A51B70" w:rsidRPr="004A3983">
        <w:rPr>
          <w:rFonts w:ascii="Gotham Book" w:hAnsi="Gotham Book"/>
        </w:rPr>
        <w:t xml:space="preserve"> for a number of years</w:t>
      </w:r>
      <w:r w:rsidRPr="004A3983">
        <w:rPr>
          <w:rFonts w:ascii="Gotham Book" w:hAnsi="Gotham Book"/>
        </w:rPr>
        <w:t>.</w:t>
      </w:r>
      <w:r w:rsidRPr="004A3983">
        <w:rPr>
          <w:rStyle w:val="FootnoteReference"/>
          <w:rFonts w:ascii="Gotham Book" w:hAnsi="Gotham Book"/>
        </w:rPr>
        <w:footnoteReference w:id="130"/>
      </w:r>
      <w:r w:rsidR="00A51B70" w:rsidRPr="004A3983">
        <w:rPr>
          <w:rFonts w:ascii="Gotham Book" w:hAnsi="Gotham Book"/>
        </w:rPr>
        <w:t xml:space="preserve"> </w:t>
      </w:r>
      <w:r w:rsidR="008D7FB0" w:rsidRPr="004A3983">
        <w:rPr>
          <w:rFonts w:ascii="Gotham Book" w:hAnsi="Gotham Book"/>
        </w:rPr>
        <w:t>Two of those persons had been unlawfully required by the NSW Police Force to re</w:t>
      </w:r>
      <w:r w:rsidR="00ED13DA" w:rsidRPr="004A3983">
        <w:rPr>
          <w:rFonts w:ascii="Gotham Book" w:hAnsi="Gotham Book"/>
        </w:rPr>
        <w:t>port their personal information</w:t>
      </w:r>
      <w:r w:rsidR="00FD2898" w:rsidRPr="004A3983">
        <w:rPr>
          <w:rFonts w:ascii="Gotham Book" w:hAnsi="Gotham Book"/>
        </w:rPr>
        <w:t xml:space="preserve"> </w:t>
      </w:r>
      <w:r w:rsidR="008D7FB0" w:rsidRPr="004A3983">
        <w:rPr>
          <w:rFonts w:ascii="Gotham Book" w:hAnsi="Gotham Book"/>
        </w:rPr>
        <w:t>for over 10 years.</w:t>
      </w:r>
      <w:r w:rsidR="008D7FB0" w:rsidRPr="004A3983">
        <w:rPr>
          <w:rStyle w:val="FootnoteReference"/>
          <w:rFonts w:ascii="Gotham Book" w:hAnsi="Gotham Book"/>
        </w:rPr>
        <w:footnoteReference w:id="131"/>
      </w:r>
    </w:p>
    <w:p w14:paraId="3914DE73" w14:textId="7FA795AF" w:rsidR="00AA480D" w:rsidRPr="004A3983" w:rsidRDefault="00AA480D" w:rsidP="000B620D">
      <w:pPr>
        <w:spacing w:after="160"/>
        <w:ind w:right="-2"/>
        <w:rPr>
          <w:rFonts w:ascii="Gotham Book" w:hAnsi="Gotham Book"/>
        </w:rPr>
      </w:pPr>
      <w:r w:rsidRPr="004A3983">
        <w:rPr>
          <w:rFonts w:ascii="Gotham Book" w:hAnsi="Gotham Book"/>
        </w:rPr>
        <w:t>In cases where the NSW Police Force unlawful</w:t>
      </w:r>
      <w:r w:rsidR="00DE5C71" w:rsidRPr="004A3983">
        <w:rPr>
          <w:rFonts w:ascii="Gotham Book" w:hAnsi="Gotham Book"/>
        </w:rPr>
        <w:t>ly</w:t>
      </w:r>
      <w:r w:rsidRPr="004A3983">
        <w:rPr>
          <w:rFonts w:ascii="Gotham Book" w:hAnsi="Gotham Book"/>
        </w:rPr>
        <w:t xml:space="preserve"> </w:t>
      </w:r>
      <w:r w:rsidR="00DE5C71" w:rsidRPr="004A3983">
        <w:rPr>
          <w:rFonts w:ascii="Gotham Book" w:hAnsi="Gotham Book"/>
        </w:rPr>
        <w:t xml:space="preserve">required </w:t>
      </w:r>
      <w:r w:rsidRPr="004A3983">
        <w:rPr>
          <w:rFonts w:ascii="Gotham Book" w:hAnsi="Gotham Book"/>
        </w:rPr>
        <w:t xml:space="preserve">persons </w:t>
      </w:r>
      <w:r w:rsidR="00DE5C71" w:rsidRPr="004A3983">
        <w:rPr>
          <w:rFonts w:ascii="Gotham Book" w:hAnsi="Gotham Book"/>
        </w:rPr>
        <w:t>to report their personal information</w:t>
      </w:r>
      <w:r w:rsidRPr="004A3983">
        <w:rPr>
          <w:rFonts w:ascii="Gotham Book" w:hAnsi="Gotham Book"/>
        </w:rPr>
        <w:t xml:space="preserve">, further consequences could follow. </w:t>
      </w:r>
    </w:p>
    <w:p w14:paraId="4938D9E5" w14:textId="74E4A6AB" w:rsidR="00AA480D" w:rsidRPr="004A3983" w:rsidRDefault="00AA480D" w:rsidP="000B620D">
      <w:pPr>
        <w:spacing w:after="160"/>
        <w:ind w:right="-2"/>
        <w:rPr>
          <w:rFonts w:ascii="Gotham Book" w:hAnsi="Gotham Book"/>
        </w:rPr>
      </w:pPr>
      <w:r w:rsidRPr="004A3983">
        <w:rPr>
          <w:rFonts w:ascii="Gotham Book" w:hAnsi="Gotham Book" w:cs="Arial"/>
        </w:rPr>
        <w:t xml:space="preserve">Under s 16C of the CPOR Act the NSW Police Force has the power to conduct unannounced inspections of registrable persons’ homes, for the purpose of </w:t>
      </w:r>
      <w:r w:rsidRPr="004A3983">
        <w:rPr>
          <w:rFonts w:ascii="Gotham Book" w:hAnsi="Gotham Book"/>
        </w:rPr>
        <w:t xml:space="preserve">verifying the personal information they are required to report to police. It is implied from the language in s 16C that </w:t>
      </w:r>
      <w:r w:rsidR="00F53536" w:rsidRPr="004A3983">
        <w:rPr>
          <w:rFonts w:ascii="Gotham Book" w:hAnsi="Gotham Book"/>
        </w:rPr>
        <w:t>the</w:t>
      </w:r>
      <w:r w:rsidRPr="004A3983">
        <w:rPr>
          <w:rFonts w:ascii="Gotham Book" w:hAnsi="Gotham Book"/>
        </w:rPr>
        <w:t xml:space="preserve"> inspection power can only be exercised in relation </w:t>
      </w:r>
      <w:r w:rsidR="005A4EEF" w:rsidRPr="004A3983">
        <w:rPr>
          <w:rFonts w:ascii="Gotham Book" w:hAnsi="Gotham Book"/>
        </w:rPr>
        <w:t>to a registrable person who is required to make reports</w:t>
      </w:r>
      <w:r w:rsidRPr="004A3983">
        <w:rPr>
          <w:rFonts w:ascii="Gotham Book" w:hAnsi="Gotham Book"/>
        </w:rPr>
        <w:t xml:space="preserve"> under the CPOR Act</w:t>
      </w:r>
      <w:r w:rsidRPr="004A3983">
        <w:rPr>
          <w:rFonts w:ascii="Gotham Book" w:hAnsi="Gotham Book" w:cs="Arial"/>
        </w:rPr>
        <w:t>.</w:t>
      </w:r>
      <w:r w:rsidRPr="004A3983">
        <w:rPr>
          <w:rStyle w:val="FootnoteReference"/>
          <w:rFonts w:ascii="Gotham Book" w:hAnsi="Gotham Book" w:cs="Arial"/>
        </w:rPr>
        <w:footnoteReference w:id="132"/>
      </w:r>
    </w:p>
    <w:p w14:paraId="59C2F50F" w14:textId="5E6FB65E" w:rsidR="00AA480D" w:rsidRPr="004A3983" w:rsidRDefault="00AA480D" w:rsidP="000B620D">
      <w:pPr>
        <w:spacing w:after="160"/>
        <w:ind w:right="-2"/>
        <w:rPr>
          <w:rFonts w:ascii="Gotham Book" w:hAnsi="Gotham Book"/>
        </w:rPr>
      </w:pPr>
      <w:r w:rsidRPr="004A3983">
        <w:rPr>
          <w:rFonts w:ascii="Gotham Book" w:hAnsi="Gotham Book"/>
        </w:rPr>
        <w:t>In the eight cases reviewed by the Commission in which the NSW Police Force unlawful</w:t>
      </w:r>
      <w:r w:rsidR="000E0885" w:rsidRPr="004A3983">
        <w:rPr>
          <w:rFonts w:ascii="Gotham Book" w:hAnsi="Gotham Book"/>
        </w:rPr>
        <w:t>ly</w:t>
      </w:r>
      <w:r w:rsidRPr="004A3983">
        <w:rPr>
          <w:rFonts w:ascii="Gotham Book" w:hAnsi="Gotham Book"/>
        </w:rPr>
        <w:t xml:space="preserve"> </w:t>
      </w:r>
      <w:r w:rsidR="000E0885" w:rsidRPr="004A3983">
        <w:rPr>
          <w:rFonts w:ascii="Gotham Book" w:hAnsi="Gotham Book"/>
        </w:rPr>
        <w:t>required persons to make reports</w:t>
      </w:r>
      <w:r w:rsidRPr="004A3983">
        <w:rPr>
          <w:rFonts w:ascii="Gotham Book" w:hAnsi="Gotham Book"/>
        </w:rPr>
        <w:t xml:space="preserve">, </w:t>
      </w:r>
      <w:r w:rsidR="00E9410C" w:rsidRPr="004A3983">
        <w:rPr>
          <w:rFonts w:ascii="Gotham Book" w:hAnsi="Gotham Book" w:cs="Arial"/>
        </w:rPr>
        <w:t xml:space="preserve">it appeared that </w:t>
      </w:r>
      <w:r w:rsidRPr="004A3983">
        <w:rPr>
          <w:rFonts w:ascii="Gotham Book" w:hAnsi="Gotham Book" w:cs="Arial"/>
        </w:rPr>
        <w:t xml:space="preserve">police officers </w:t>
      </w:r>
      <w:r w:rsidR="00D3153F" w:rsidRPr="004A3983">
        <w:rPr>
          <w:rFonts w:ascii="Gotham Book" w:hAnsi="Gotham Book" w:cs="Arial"/>
        </w:rPr>
        <w:t xml:space="preserve">also </w:t>
      </w:r>
      <w:r w:rsidRPr="004A3983">
        <w:rPr>
          <w:rFonts w:ascii="Gotham Book" w:hAnsi="Gotham Book" w:cs="Arial"/>
        </w:rPr>
        <w:t xml:space="preserve">conducted inspections of </w:t>
      </w:r>
      <w:r w:rsidR="00D3153F" w:rsidRPr="004A3983">
        <w:rPr>
          <w:rFonts w:ascii="Gotham Book" w:hAnsi="Gotham Book" w:cs="Arial"/>
        </w:rPr>
        <w:t xml:space="preserve">those </w:t>
      </w:r>
      <w:r w:rsidR="00485843" w:rsidRPr="004A3983">
        <w:rPr>
          <w:rFonts w:ascii="Gotham Book" w:hAnsi="Gotham Book" w:cs="Arial"/>
        </w:rPr>
        <w:t>person</w:t>
      </w:r>
      <w:r w:rsidR="00435B45" w:rsidRPr="004A3983">
        <w:rPr>
          <w:rFonts w:ascii="Gotham Book" w:hAnsi="Gotham Book" w:cs="Arial"/>
        </w:rPr>
        <w:t>s</w:t>
      </w:r>
      <w:r w:rsidR="00485843" w:rsidRPr="004A3983">
        <w:rPr>
          <w:rFonts w:ascii="Gotham Book" w:hAnsi="Gotham Book" w:cs="Arial"/>
        </w:rPr>
        <w:t>’</w:t>
      </w:r>
      <w:r w:rsidR="00435B45" w:rsidRPr="004A3983">
        <w:rPr>
          <w:rFonts w:ascii="Gotham Book" w:hAnsi="Gotham Book" w:cs="Arial"/>
        </w:rPr>
        <w:t xml:space="preserve"> homes</w:t>
      </w:r>
      <w:r w:rsidR="00E9410C" w:rsidRPr="004A3983">
        <w:rPr>
          <w:rFonts w:ascii="Gotham Book" w:hAnsi="Gotham Book" w:cs="Arial"/>
        </w:rPr>
        <w:t xml:space="preserve"> on </w:t>
      </w:r>
      <w:r w:rsidR="00EA365B" w:rsidRPr="004A3983">
        <w:rPr>
          <w:rFonts w:ascii="Gotham Book" w:hAnsi="Gotham Book" w:cs="Arial"/>
        </w:rPr>
        <w:t xml:space="preserve">at least </w:t>
      </w:r>
      <w:r w:rsidR="00792054" w:rsidRPr="004A3983">
        <w:rPr>
          <w:rFonts w:ascii="Gotham Book" w:hAnsi="Gotham Book" w:cs="Arial"/>
        </w:rPr>
        <w:t>six</w:t>
      </w:r>
      <w:r w:rsidR="00E9410C" w:rsidRPr="004A3983">
        <w:rPr>
          <w:rFonts w:ascii="Gotham Book" w:hAnsi="Gotham Book" w:cs="Arial"/>
        </w:rPr>
        <w:t xml:space="preserve"> occasions,</w:t>
      </w:r>
      <w:r w:rsidRPr="004A3983">
        <w:rPr>
          <w:rFonts w:ascii="Gotham Book" w:hAnsi="Gotham Book" w:cs="Arial"/>
        </w:rPr>
        <w:t xml:space="preserve"> in purpo</w:t>
      </w:r>
      <w:r w:rsidR="008C358D" w:rsidRPr="004A3983">
        <w:rPr>
          <w:rFonts w:ascii="Gotham Book" w:hAnsi="Gotham Book" w:cs="Arial"/>
        </w:rPr>
        <w:t>rted reliance on the power in s </w:t>
      </w:r>
      <w:r w:rsidR="00D3153F" w:rsidRPr="004A3983">
        <w:rPr>
          <w:rFonts w:ascii="Gotham Book" w:hAnsi="Gotham Book" w:cs="Arial"/>
        </w:rPr>
        <w:t>16C</w:t>
      </w:r>
      <w:r w:rsidRPr="004A3983">
        <w:rPr>
          <w:rFonts w:ascii="Gotham Book" w:hAnsi="Gotham Book" w:cs="Arial"/>
        </w:rPr>
        <w:t>.</w:t>
      </w:r>
      <w:r w:rsidRPr="004A3983">
        <w:rPr>
          <w:rStyle w:val="FootnoteReference"/>
          <w:rFonts w:ascii="Gotham Book" w:hAnsi="Gotham Book" w:cs="Arial"/>
        </w:rPr>
        <w:t xml:space="preserve"> </w:t>
      </w:r>
      <w:r w:rsidRPr="004A3983">
        <w:rPr>
          <w:rStyle w:val="FootnoteReference"/>
          <w:rFonts w:ascii="Gotham Book" w:hAnsi="Gotham Book" w:cs="Arial"/>
        </w:rPr>
        <w:footnoteReference w:id="133"/>
      </w:r>
      <w:r w:rsidRPr="004A3983">
        <w:rPr>
          <w:rFonts w:ascii="Gotham Book" w:hAnsi="Gotham Book" w:cs="Arial"/>
        </w:rPr>
        <w:t xml:space="preserve"> This is illustrated in </w:t>
      </w:r>
      <w:r w:rsidR="007F27C6" w:rsidRPr="004A3983">
        <w:rPr>
          <w:rFonts w:ascii="Gotham Book" w:hAnsi="Gotham Book"/>
        </w:rPr>
        <w:t>Case Study</w:t>
      </w:r>
      <w:r w:rsidRPr="004A3983">
        <w:rPr>
          <w:rFonts w:ascii="Gotham Book" w:hAnsi="Gotham Book"/>
        </w:rPr>
        <w:t xml:space="preserve"> </w:t>
      </w:r>
      <w:r w:rsidR="00B6537D" w:rsidRPr="004A3983">
        <w:rPr>
          <w:rFonts w:ascii="Gotham Book" w:hAnsi="Gotham Book"/>
        </w:rPr>
        <w:t>7</w:t>
      </w:r>
      <w:r w:rsidRPr="004A3983">
        <w:rPr>
          <w:rFonts w:ascii="Gotham Book" w:hAnsi="Gotham Book"/>
        </w:rPr>
        <w:t>.</w:t>
      </w:r>
    </w:p>
    <w:p w14:paraId="61CD1416" w14:textId="346863A5" w:rsidR="00AA480D" w:rsidRPr="004A3983" w:rsidRDefault="00AA480D" w:rsidP="000B620D">
      <w:pPr>
        <w:spacing w:after="160"/>
        <w:ind w:right="-2"/>
        <w:rPr>
          <w:rFonts w:ascii="Gotham Book" w:hAnsi="Gotham Book"/>
        </w:rPr>
      </w:pPr>
      <w:r w:rsidRPr="004A3983">
        <w:rPr>
          <w:rFonts w:ascii="Gotham Book" w:hAnsi="Gotham Book"/>
        </w:rPr>
        <w:t>Our investigation also revealed that in some cases in which the NSW Police Force unlawful</w:t>
      </w:r>
      <w:r w:rsidR="00E213EF" w:rsidRPr="004A3983">
        <w:rPr>
          <w:rFonts w:ascii="Gotham Book" w:hAnsi="Gotham Book"/>
        </w:rPr>
        <w:t>ly required p</w:t>
      </w:r>
      <w:r w:rsidR="00485843" w:rsidRPr="004A3983">
        <w:rPr>
          <w:rFonts w:ascii="Gotham Book" w:hAnsi="Gotham Book"/>
        </w:rPr>
        <w:t>ersons</w:t>
      </w:r>
      <w:r w:rsidR="00E213EF" w:rsidRPr="004A3983">
        <w:rPr>
          <w:rFonts w:ascii="Gotham Book" w:hAnsi="Gotham Book"/>
        </w:rPr>
        <w:t xml:space="preserve"> to make reports</w:t>
      </w:r>
      <w:r w:rsidRPr="004A3983">
        <w:rPr>
          <w:rFonts w:ascii="Gotham Book" w:hAnsi="Gotham Book"/>
        </w:rPr>
        <w:t xml:space="preserve">, it </w:t>
      </w:r>
      <w:r w:rsidR="0083774C" w:rsidRPr="004A3983">
        <w:rPr>
          <w:rFonts w:ascii="Gotham Book" w:hAnsi="Gotham Book"/>
        </w:rPr>
        <w:t>charged</w:t>
      </w:r>
      <w:r w:rsidR="00993D81" w:rsidRPr="004A3983">
        <w:rPr>
          <w:rFonts w:ascii="Gotham Book" w:hAnsi="Gotham Book"/>
        </w:rPr>
        <w:t xml:space="preserve"> persons with </w:t>
      </w:r>
      <w:r w:rsidRPr="004A3983">
        <w:rPr>
          <w:rFonts w:ascii="Gotham Book" w:hAnsi="Gotham Book"/>
        </w:rPr>
        <w:t>offence</w:t>
      </w:r>
      <w:r w:rsidR="00222934" w:rsidRPr="004A3983">
        <w:rPr>
          <w:rFonts w:ascii="Gotham Book" w:hAnsi="Gotham Book"/>
        </w:rPr>
        <w:t>s</w:t>
      </w:r>
      <w:r w:rsidRPr="004A3983">
        <w:rPr>
          <w:rFonts w:ascii="Gotham Book" w:hAnsi="Gotham Book"/>
        </w:rPr>
        <w:t xml:space="preserve"> under </w:t>
      </w:r>
      <w:r w:rsidRPr="004A3983">
        <w:rPr>
          <w:rFonts w:ascii="Gotham Book" w:hAnsi="Gotham Book"/>
        </w:rPr>
        <w:lastRenderedPageBreak/>
        <w:t>the CPOR Act</w:t>
      </w:r>
      <w:r w:rsidR="0083774C" w:rsidRPr="004A3983">
        <w:rPr>
          <w:rFonts w:ascii="Gotham Book" w:hAnsi="Gotham Book"/>
        </w:rPr>
        <w:t xml:space="preserve"> if they did not comply with these unlawful requirements</w:t>
      </w:r>
      <w:r w:rsidR="00DF1A6E">
        <w:rPr>
          <w:rFonts w:ascii="Gotham Book" w:hAnsi="Gotham Book"/>
        </w:rPr>
        <w:t xml:space="preserve">. </w:t>
      </w:r>
      <w:r w:rsidRPr="004A3983">
        <w:rPr>
          <w:rFonts w:ascii="Gotham Book" w:hAnsi="Gotham Book"/>
        </w:rPr>
        <w:t xml:space="preserve">The Commission reviewed </w:t>
      </w:r>
      <w:r w:rsidR="00A26A81" w:rsidRPr="004A3983">
        <w:rPr>
          <w:rFonts w:ascii="Gotham Book" w:hAnsi="Gotham Book"/>
        </w:rPr>
        <w:t>the case</w:t>
      </w:r>
      <w:r w:rsidR="00B863E3" w:rsidRPr="004A3983">
        <w:rPr>
          <w:rFonts w:ascii="Gotham Book" w:hAnsi="Gotham Book"/>
        </w:rPr>
        <w:t>s</w:t>
      </w:r>
      <w:r w:rsidR="00A26A81" w:rsidRPr="004A3983">
        <w:rPr>
          <w:rFonts w:ascii="Gotham Book" w:hAnsi="Gotham Book"/>
        </w:rPr>
        <w:t xml:space="preserve"> of </w:t>
      </w:r>
      <w:r w:rsidRPr="004A3983">
        <w:rPr>
          <w:rFonts w:ascii="Gotham Book" w:hAnsi="Gotham Book"/>
        </w:rPr>
        <w:t xml:space="preserve">seven </w:t>
      </w:r>
      <w:r w:rsidR="00A26A81" w:rsidRPr="004A3983">
        <w:rPr>
          <w:rFonts w:ascii="Gotham Book" w:hAnsi="Gotham Book"/>
        </w:rPr>
        <w:t>persons who had been charged by</w:t>
      </w:r>
      <w:r w:rsidRPr="004A3983">
        <w:rPr>
          <w:rFonts w:ascii="Gotham Book" w:hAnsi="Gotham Book"/>
        </w:rPr>
        <w:t xml:space="preserve"> </w:t>
      </w:r>
      <w:r w:rsidR="00A26A81" w:rsidRPr="004A3983">
        <w:rPr>
          <w:rFonts w:ascii="Gotham Book" w:hAnsi="Gotham Book"/>
        </w:rPr>
        <w:t>the</w:t>
      </w:r>
      <w:r w:rsidRPr="004A3983">
        <w:rPr>
          <w:rFonts w:ascii="Gotham Book" w:hAnsi="Gotham Book"/>
        </w:rPr>
        <w:t xml:space="preserve"> NSW Police Force </w:t>
      </w:r>
      <w:r w:rsidR="00D0203B" w:rsidRPr="004A3983">
        <w:rPr>
          <w:rFonts w:ascii="Gotham Book" w:hAnsi="Gotham Book"/>
        </w:rPr>
        <w:t>with</w:t>
      </w:r>
      <w:r w:rsidRPr="004A3983">
        <w:rPr>
          <w:rFonts w:ascii="Gotham Book" w:hAnsi="Gotham Book"/>
        </w:rPr>
        <w:t xml:space="preserve"> failing to comply with reporting obligations </w:t>
      </w:r>
      <w:r w:rsidR="00D0203B" w:rsidRPr="004A3983">
        <w:rPr>
          <w:rFonts w:ascii="Gotham Book" w:hAnsi="Gotham Book"/>
        </w:rPr>
        <w:t>(</w:t>
      </w:r>
      <w:r w:rsidRPr="004A3983">
        <w:rPr>
          <w:rFonts w:ascii="Gotham Book" w:hAnsi="Gotham Book"/>
        </w:rPr>
        <w:t>under</w:t>
      </w:r>
      <w:r w:rsidR="00222934" w:rsidRPr="004A3983">
        <w:rPr>
          <w:rFonts w:ascii="Gotham Book" w:hAnsi="Gotham Book"/>
        </w:rPr>
        <w:t xml:space="preserve"> s 17</w:t>
      </w:r>
      <w:r w:rsidR="00485843" w:rsidRPr="004A3983">
        <w:rPr>
          <w:rFonts w:ascii="Gotham Book" w:hAnsi="Gotham Book"/>
        </w:rPr>
        <w:t xml:space="preserve"> of the CPOR Act</w:t>
      </w:r>
      <w:r w:rsidR="00D0203B" w:rsidRPr="004A3983">
        <w:rPr>
          <w:rFonts w:ascii="Gotham Book" w:hAnsi="Gotham Book"/>
        </w:rPr>
        <w:t>)</w:t>
      </w:r>
      <w:r w:rsidR="00222934" w:rsidRPr="004A3983">
        <w:rPr>
          <w:rFonts w:ascii="Gotham Book" w:hAnsi="Gotham Book"/>
        </w:rPr>
        <w:t xml:space="preserve">, or providing false or misleading information </w:t>
      </w:r>
      <w:r w:rsidR="00D76590" w:rsidRPr="004A3983">
        <w:rPr>
          <w:rFonts w:ascii="Gotham Book" w:hAnsi="Gotham Book"/>
        </w:rPr>
        <w:t xml:space="preserve">while purporting to report </w:t>
      </w:r>
      <w:r w:rsidR="00D0203B" w:rsidRPr="004A3983">
        <w:rPr>
          <w:rFonts w:ascii="Gotham Book" w:hAnsi="Gotham Book"/>
        </w:rPr>
        <w:t>(</w:t>
      </w:r>
      <w:r w:rsidR="00222934" w:rsidRPr="004A3983">
        <w:rPr>
          <w:rFonts w:ascii="Gotham Book" w:hAnsi="Gotham Book"/>
        </w:rPr>
        <w:t>under s 18</w:t>
      </w:r>
      <w:r w:rsidR="00485843" w:rsidRPr="004A3983">
        <w:rPr>
          <w:rFonts w:ascii="Gotham Book" w:hAnsi="Gotham Book"/>
        </w:rPr>
        <w:t xml:space="preserve"> of the CPOR Act)</w:t>
      </w:r>
      <w:r w:rsidRPr="004A3983">
        <w:rPr>
          <w:rFonts w:ascii="Gotham Book" w:hAnsi="Gotham Book"/>
        </w:rPr>
        <w:t xml:space="preserve">, when they </w:t>
      </w:r>
      <w:r w:rsidR="0039018A" w:rsidRPr="004A3983">
        <w:rPr>
          <w:rFonts w:ascii="Gotham Book" w:hAnsi="Gotham Book"/>
        </w:rPr>
        <w:t>were not under any</w:t>
      </w:r>
      <w:r w:rsidRPr="004A3983">
        <w:rPr>
          <w:rFonts w:ascii="Gotham Book" w:hAnsi="Gotham Book"/>
        </w:rPr>
        <w:t xml:space="preserve"> </w:t>
      </w:r>
      <w:r w:rsidR="001F13D7" w:rsidRPr="004A3983">
        <w:rPr>
          <w:rFonts w:ascii="Gotham Book" w:hAnsi="Gotham Book"/>
        </w:rPr>
        <w:t xml:space="preserve">legal </w:t>
      </w:r>
      <w:r w:rsidR="0039018A" w:rsidRPr="004A3983">
        <w:rPr>
          <w:rFonts w:ascii="Gotham Book" w:hAnsi="Gotham Book"/>
        </w:rPr>
        <w:t>obligations to report</w:t>
      </w:r>
      <w:r w:rsidRPr="004A3983">
        <w:rPr>
          <w:rFonts w:ascii="Gotham Book" w:hAnsi="Gotham Book"/>
        </w:rPr>
        <w:t xml:space="preserve"> at the relevant time.</w:t>
      </w:r>
      <w:r w:rsidRPr="004A3983">
        <w:rPr>
          <w:rStyle w:val="FootnoteReference"/>
          <w:rFonts w:ascii="Gotham Book" w:hAnsi="Gotham Book"/>
        </w:rPr>
        <w:footnoteReference w:id="134"/>
      </w:r>
      <w:r w:rsidRPr="004A3983">
        <w:rPr>
          <w:rFonts w:ascii="Gotham Book" w:hAnsi="Gotham Book"/>
        </w:rPr>
        <w:t xml:space="preserve"> </w:t>
      </w:r>
      <w:r w:rsidR="00B863E3" w:rsidRPr="004A3983">
        <w:rPr>
          <w:rFonts w:ascii="Gotham Book" w:hAnsi="Gotham Book"/>
        </w:rPr>
        <w:t>Within the seven cases reviewed, t</w:t>
      </w:r>
      <w:r w:rsidR="005D0602" w:rsidRPr="004A3983">
        <w:rPr>
          <w:rFonts w:ascii="Gotham Book" w:hAnsi="Gotham Book"/>
        </w:rPr>
        <w:t>he NSW Police</w:t>
      </w:r>
      <w:r w:rsidR="00485843" w:rsidRPr="004A3983">
        <w:rPr>
          <w:rFonts w:ascii="Gotham Book" w:hAnsi="Gotham Book"/>
        </w:rPr>
        <w:t xml:space="preserve"> Force</w:t>
      </w:r>
      <w:r w:rsidR="005D0602" w:rsidRPr="004A3983">
        <w:rPr>
          <w:rFonts w:ascii="Gotham Book" w:hAnsi="Gotham Book"/>
        </w:rPr>
        <w:t xml:space="preserve"> laid such charges </w:t>
      </w:r>
      <w:r w:rsidR="00A26A81" w:rsidRPr="004A3983">
        <w:rPr>
          <w:rFonts w:ascii="Gotham Book" w:hAnsi="Gotham Book"/>
        </w:rPr>
        <w:t>on</w:t>
      </w:r>
      <w:r w:rsidR="00B863E3" w:rsidRPr="004A3983">
        <w:rPr>
          <w:rFonts w:ascii="Gotham Book" w:hAnsi="Gotham Book"/>
        </w:rPr>
        <w:t xml:space="preserve"> a total of</w:t>
      </w:r>
      <w:r w:rsidR="00A26A81" w:rsidRPr="004A3983">
        <w:rPr>
          <w:rFonts w:ascii="Gotham Book" w:hAnsi="Gotham Book"/>
        </w:rPr>
        <w:t xml:space="preserve"> 16 occasions</w:t>
      </w:r>
      <w:r w:rsidR="00B863E3" w:rsidRPr="004A3983">
        <w:rPr>
          <w:rFonts w:ascii="Gotham Book" w:hAnsi="Gotham Book"/>
        </w:rPr>
        <w:t>,</w:t>
      </w:r>
      <w:r w:rsidR="002227EC" w:rsidRPr="004A3983">
        <w:rPr>
          <w:rFonts w:ascii="Gotham Book" w:hAnsi="Gotham Book"/>
        </w:rPr>
        <w:t xml:space="preserve"> and on at least </w:t>
      </w:r>
      <w:r w:rsidR="00572D75" w:rsidRPr="004A3983">
        <w:rPr>
          <w:rFonts w:ascii="Gotham Book" w:hAnsi="Gotham Book"/>
        </w:rPr>
        <w:t>10</w:t>
      </w:r>
      <w:r w:rsidR="00B863E3" w:rsidRPr="004A3983">
        <w:rPr>
          <w:rFonts w:ascii="Gotham Book" w:hAnsi="Gotham Book"/>
        </w:rPr>
        <w:t xml:space="preserve"> of those occasions the persons had been arrested</w:t>
      </w:r>
      <w:r w:rsidR="00A26A81" w:rsidRPr="004A3983">
        <w:rPr>
          <w:rFonts w:ascii="Gotham Book" w:hAnsi="Gotham Book"/>
        </w:rPr>
        <w:t>.</w:t>
      </w:r>
      <w:r w:rsidRPr="004A3983">
        <w:rPr>
          <w:rFonts w:ascii="Gotham Book" w:hAnsi="Gotham Book"/>
        </w:rPr>
        <w:t xml:space="preserve"> </w:t>
      </w:r>
    </w:p>
    <w:p w14:paraId="76DD392E" w14:textId="39DDAE12" w:rsidR="00AA480D" w:rsidRPr="004A3983" w:rsidRDefault="00AA480D" w:rsidP="000B620D">
      <w:pPr>
        <w:spacing w:after="160"/>
        <w:ind w:right="-2"/>
        <w:rPr>
          <w:rFonts w:ascii="Gotham Book" w:hAnsi="Gotham Book"/>
          <w:b/>
        </w:rPr>
      </w:pPr>
      <w:r w:rsidRPr="004A3983">
        <w:rPr>
          <w:rFonts w:ascii="Gotham Book" w:hAnsi="Gotham Book"/>
        </w:rPr>
        <w:t xml:space="preserve">All of these seven persons were wrongly convicted and sentenced for these ‘offences’. Five of these persons </w:t>
      </w:r>
      <w:r w:rsidR="0043253F" w:rsidRPr="004A3983">
        <w:rPr>
          <w:rFonts w:ascii="Gotham Book" w:hAnsi="Gotham Book"/>
        </w:rPr>
        <w:t>were sentenced to</w:t>
      </w:r>
      <w:r w:rsidR="003D622E" w:rsidRPr="004A3983">
        <w:rPr>
          <w:rFonts w:ascii="Gotham Book" w:hAnsi="Gotham Book"/>
        </w:rPr>
        <w:t xml:space="preserve"> imprisonment following</w:t>
      </w:r>
      <w:r w:rsidRPr="004A3983">
        <w:rPr>
          <w:rFonts w:ascii="Gotham Book" w:hAnsi="Gotham Book"/>
        </w:rPr>
        <w:t xml:space="preserve"> wrongful convictions under the CPOR Act.</w:t>
      </w:r>
      <w:r w:rsidRPr="004A3983">
        <w:rPr>
          <w:rStyle w:val="FootnoteReference"/>
          <w:rFonts w:ascii="Gotham Book" w:hAnsi="Gotham Book"/>
        </w:rPr>
        <w:footnoteReference w:id="135"/>
      </w:r>
      <w:r w:rsidR="00E707F0" w:rsidRPr="004A3983">
        <w:rPr>
          <w:rFonts w:ascii="Gotham Book" w:hAnsi="Gotham Book"/>
        </w:rPr>
        <w:t xml:space="preserve"> </w:t>
      </w:r>
      <w:r w:rsidR="00FF7E05" w:rsidRPr="004A3983">
        <w:rPr>
          <w:rFonts w:ascii="Gotham Book" w:hAnsi="Gotham Book"/>
        </w:rPr>
        <w:t xml:space="preserve">For example, </w:t>
      </w:r>
      <w:r w:rsidR="00E707F0" w:rsidRPr="004A3983">
        <w:rPr>
          <w:rFonts w:ascii="Gotham Book" w:hAnsi="Gotham Book"/>
        </w:rPr>
        <w:t>Mr YY (</w:t>
      </w:r>
      <w:r w:rsidR="007F27C6" w:rsidRPr="004A3983">
        <w:rPr>
          <w:rFonts w:ascii="Gotham Book" w:hAnsi="Gotham Book"/>
        </w:rPr>
        <w:t>Case Study</w:t>
      </w:r>
      <w:r w:rsidR="00E707F0" w:rsidRPr="004A3983">
        <w:rPr>
          <w:rFonts w:ascii="Gotham Book" w:hAnsi="Gotham Book"/>
        </w:rPr>
        <w:t xml:space="preserve"> </w:t>
      </w:r>
      <w:r w:rsidR="003317A1" w:rsidRPr="004A3983">
        <w:rPr>
          <w:rFonts w:ascii="Gotham Book" w:hAnsi="Gotham Book"/>
        </w:rPr>
        <w:t>7</w:t>
      </w:r>
      <w:r w:rsidR="00E707F0" w:rsidRPr="004A3983">
        <w:rPr>
          <w:rFonts w:ascii="Gotham Book" w:hAnsi="Gotham Book"/>
        </w:rPr>
        <w:t>)</w:t>
      </w:r>
      <w:r w:rsidR="00673069" w:rsidRPr="004A3983">
        <w:rPr>
          <w:rFonts w:ascii="Gotham Book" w:hAnsi="Gotham Book"/>
        </w:rPr>
        <w:t xml:space="preserve"> was unlawfully</w:t>
      </w:r>
      <w:r w:rsidRPr="004A3983">
        <w:rPr>
          <w:rFonts w:ascii="Gotham Book" w:hAnsi="Gotham Book"/>
        </w:rPr>
        <w:t xml:space="preserve"> imprisoned for 18</w:t>
      </w:r>
      <w:r w:rsidR="00485843" w:rsidRPr="004A3983">
        <w:rPr>
          <w:rFonts w:ascii="Gotham Book" w:hAnsi="Gotham Book"/>
        </w:rPr>
        <w:t>3</w:t>
      </w:r>
      <w:r w:rsidRPr="004A3983">
        <w:rPr>
          <w:rFonts w:ascii="Gotham Book" w:hAnsi="Gotham Book"/>
        </w:rPr>
        <w:t xml:space="preserve"> days, Mr DD (</w:t>
      </w:r>
      <w:r w:rsidR="007F27C6" w:rsidRPr="004A3983">
        <w:rPr>
          <w:rFonts w:ascii="Gotham Book" w:hAnsi="Gotham Book"/>
        </w:rPr>
        <w:t>Case Study</w:t>
      </w:r>
      <w:r w:rsidRPr="004A3983">
        <w:rPr>
          <w:rFonts w:ascii="Gotham Book" w:hAnsi="Gotham Book"/>
        </w:rPr>
        <w:t xml:space="preserve"> </w:t>
      </w:r>
      <w:r w:rsidR="003317A1" w:rsidRPr="004A3983">
        <w:rPr>
          <w:rFonts w:ascii="Gotham Book" w:hAnsi="Gotham Book"/>
        </w:rPr>
        <w:t>4</w:t>
      </w:r>
      <w:r w:rsidR="00673069" w:rsidRPr="004A3983">
        <w:rPr>
          <w:rFonts w:ascii="Gotham Book" w:hAnsi="Gotham Book"/>
        </w:rPr>
        <w:t>) was unlawfully</w:t>
      </w:r>
      <w:r w:rsidRPr="004A3983">
        <w:rPr>
          <w:rFonts w:ascii="Gotham Book" w:hAnsi="Gotham Book"/>
        </w:rPr>
        <w:t xml:space="preserve"> imprisoned for 41</w:t>
      </w:r>
      <w:r w:rsidR="00485843" w:rsidRPr="004A3983">
        <w:rPr>
          <w:rFonts w:ascii="Gotham Book" w:hAnsi="Gotham Book"/>
        </w:rPr>
        <w:t xml:space="preserve">3 </w:t>
      </w:r>
      <w:r w:rsidRPr="004A3983">
        <w:rPr>
          <w:rFonts w:ascii="Gotham Book" w:hAnsi="Gotham Book"/>
        </w:rPr>
        <w:t>days, and Mr CC (</w:t>
      </w:r>
      <w:r w:rsidR="007F27C6" w:rsidRPr="004A3983">
        <w:rPr>
          <w:rFonts w:ascii="Gotham Book" w:hAnsi="Gotham Book"/>
        </w:rPr>
        <w:t>Case Study</w:t>
      </w:r>
      <w:r w:rsidRPr="004A3983">
        <w:rPr>
          <w:rFonts w:ascii="Gotham Book" w:hAnsi="Gotham Book"/>
        </w:rPr>
        <w:t xml:space="preserve"> </w:t>
      </w:r>
      <w:r w:rsidR="003317A1" w:rsidRPr="004A3983">
        <w:rPr>
          <w:rFonts w:ascii="Gotham Book" w:hAnsi="Gotham Book"/>
        </w:rPr>
        <w:t>6</w:t>
      </w:r>
      <w:r w:rsidR="00673069" w:rsidRPr="004A3983">
        <w:rPr>
          <w:rFonts w:ascii="Gotham Book" w:hAnsi="Gotham Book"/>
        </w:rPr>
        <w:t>) was unlawfully</w:t>
      </w:r>
      <w:r w:rsidRPr="004A3983">
        <w:rPr>
          <w:rFonts w:ascii="Gotham Book" w:hAnsi="Gotham Book"/>
        </w:rPr>
        <w:t xml:space="preserve"> imprisoned for 54</w:t>
      </w:r>
      <w:r w:rsidR="00485843" w:rsidRPr="004A3983">
        <w:rPr>
          <w:rFonts w:ascii="Gotham Book" w:hAnsi="Gotham Book"/>
        </w:rPr>
        <w:t>5</w:t>
      </w:r>
      <w:r w:rsidRPr="004A3983">
        <w:rPr>
          <w:rFonts w:ascii="Gotham Book" w:hAnsi="Gotham Book"/>
        </w:rPr>
        <w:t xml:space="preserve"> days.</w:t>
      </w:r>
    </w:p>
    <w:p w14:paraId="79675D00" w14:textId="30F95705" w:rsidR="002D73F3" w:rsidRPr="004A3983" w:rsidRDefault="002D73F3" w:rsidP="000B620D">
      <w:pPr>
        <w:pStyle w:val="Heading2"/>
        <w:spacing w:after="160"/>
        <w:ind w:right="-2"/>
      </w:pPr>
      <w:bookmarkStart w:id="205" w:name="_Toc22627761"/>
      <w:r w:rsidRPr="004A3983">
        <w:t xml:space="preserve">NSW Police Force response to </w:t>
      </w:r>
      <w:r w:rsidR="005F0C32" w:rsidRPr="004A3983">
        <w:t xml:space="preserve">the </w:t>
      </w:r>
      <w:r w:rsidR="00707CF6" w:rsidRPr="004A3983">
        <w:t>d</w:t>
      </w:r>
      <w:r w:rsidR="002F48D9" w:rsidRPr="004A3983">
        <w:t>raft final</w:t>
      </w:r>
      <w:r w:rsidR="0042789D">
        <w:t> </w:t>
      </w:r>
      <w:r w:rsidR="002F48D9" w:rsidRPr="004A3983">
        <w:t>report</w:t>
      </w:r>
      <w:bookmarkEnd w:id="205"/>
    </w:p>
    <w:p w14:paraId="48EE9B3F" w14:textId="38937778" w:rsidR="00687B98" w:rsidRPr="004A3983" w:rsidRDefault="001228A8" w:rsidP="002F48D9">
      <w:pPr>
        <w:spacing w:after="160"/>
        <w:ind w:right="-2"/>
        <w:rPr>
          <w:rFonts w:ascii="Gotham Book" w:hAnsi="Gotham Book"/>
        </w:rPr>
      </w:pPr>
      <w:r w:rsidRPr="004A3983">
        <w:rPr>
          <w:rFonts w:ascii="Gotham Book" w:hAnsi="Gotham Book"/>
        </w:rPr>
        <w:t xml:space="preserve">In </w:t>
      </w:r>
      <w:r w:rsidR="002F48D9" w:rsidRPr="004A3983">
        <w:rPr>
          <w:rFonts w:ascii="Gotham Book" w:hAnsi="Gotham Book"/>
        </w:rPr>
        <w:t xml:space="preserve">August 2019 we provided a draft of this report </w:t>
      </w:r>
      <w:r w:rsidRPr="004A3983">
        <w:rPr>
          <w:rFonts w:ascii="Gotham Book" w:hAnsi="Gotham Book"/>
        </w:rPr>
        <w:t xml:space="preserve">to the </w:t>
      </w:r>
      <w:r w:rsidR="00840749" w:rsidRPr="004A3983">
        <w:rPr>
          <w:rFonts w:ascii="Gotham Book" w:hAnsi="Gotham Book"/>
        </w:rPr>
        <w:t xml:space="preserve">NSW </w:t>
      </w:r>
      <w:r w:rsidR="002F48D9" w:rsidRPr="004A3983">
        <w:rPr>
          <w:rFonts w:ascii="Gotham Book" w:hAnsi="Gotham Book"/>
        </w:rPr>
        <w:t xml:space="preserve">Commissioner of Police for his response on behalf of the </w:t>
      </w:r>
      <w:r w:rsidRPr="004A3983">
        <w:rPr>
          <w:rFonts w:ascii="Gotham Book" w:hAnsi="Gotham Book"/>
        </w:rPr>
        <w:t>NSW Police Force</w:t>
      </w:r>
      <w:r w:rsidR="002F48D9" w:rsidRPr="004A3983">
        <w:rPr>
          <w:rFonts w:ascii="Gotham Book" w:hAnsi="Gotham Book"/>
        </w:rPr>
        <w:t>. The Commissioner’s response on 30 September 2019 contained the following acknowledgment of the errors that have occurred in the administration of the Register:</w:t>
      </w:r>
    </w:p>
    <w:p w14:paraId="4930806C" w14:textId="1C6C8A60" w:rsidR="004E3B84" w:rsidRPr="004A3983" w:rsidRDefault="004E3B84" w:rsidP="00864C5D">
      <w:pPr>
        <w:pStyle w:val="Quotesmall1cm"/>
      </w:pPr>
      <w:r w:rsidRPr="004A3983">
        <w:t>As the NSWPF undertook its review of the CPR</w:t>
      </w:r>
      <w:r w:rsidR="004708E8" w:rsidRPr="004A3983">
        <w:t xml:space="preserve"> [Child Protection Register]</w:t>
      </w:r>
      <w:r w:rsidRPr="004A3983">
        <w:t>, we identified that errors were made in determining whether people were required to be entered onto the CPR and in calculating how long people were required to comply with reporting obligations under the CPOR Act. The errors meant that some people were entered onto the CPR when they should not have been; some were not entered onto the CPR when they should have been; and the length of time some were required to comply with</w:t>
      </w:r>
      <w:r w:rsidR="00E8299A" w:rsidRPr="004A3983">
        <w:t xml:space="preserve"> </w:t>
      </w:r>
      <w:r w:rsidRPr="004A3983">
        <w:t>reporting obligations was calculated as being either too long or too short. Furthermore, we acknowledge that the people affected by these errors will have taken steps to comply with reporting obligations that did not apply to them including by reporting personal information to the NSWPF.</w:t>
      </w:r>
    </w:p>
    <w:p w14:paraId="56804D18" w14:textId="52B4765C" w:rsidR="004E3B84" w:rsidRPr="004A3983" w:rsidRDefault="004E3B84" w:rsidP="00864C5D">
      <w:pPr>
        <w:pStyle w:val="Quotesmall1cm"/>
      </w:pPr>
      <w:r w:rsidRPr="004A3983">
        <w:t xml:space="preserve">In some cases, we have taken steps to verify the reported information by inspecting an affected person's home, relying on a power under the CPOR Act that did not apply in the circumstances. In a limited number of cases, where an affected person did not take </w:t>
      </w:r>
      <w:r w:rsidRPr="004A3983">
        <w:lastRenderedPageBreak/>
        <w:t>steps to comply with reporting obligations, the NSWPF may also have taken action, including arrest and charging, for what appeared at the time to be non-compliance with</w:t>
      </w:r>
      <w:r w:rsidR="00864C5D">
        <w:t> </w:t>
      </w:r>
      <w:r w:rsidRPr="004A3983">
        <w:t>reporting obligations that did not apply.</w:t>
      </w:r>
    </w:p>
    <w:p w14:paraId="0368D0DF" w14:textId="20738E98" w:rsidR="002F48D9" w:rsidRPr="004A3983" w:rsidRDefault="004E3B84" w:rsidP="00864C5D">
      <w:pPr>
        <w:pStyle w:val="Quotesmall1cm"/>
        <w:rPr>
          <w:rFonts w:cs="Arial"/>
          <w:color w:val="000000"/>
        </w:rPr>
      </w:pPr>
      <w:r w:rsidRPr="004A3983">
        <w:rPr>
          <w:rFonts w:cs="Arial"/>
          <w:color w:val="000000"/>
        </w:rPr>
        <w:t>These errors were made for different reasons, including misapplying the Act in particular cases; and factual uncertainties or incomplete information in other cases. None of the errors were intentional.</w:t>
      </w:r>
      <w:r w:rsidR="00D63410" w:rsidRPr="004A3983">
        <w:rPr>
          <w:rFonts w:cs="Arial"/>
          <w:color w:val="000000"/>
        </w:rPr>
        <w:t xml:space="preserve"> </w:t>
      </w:r>
      <w:r w:rsidRPr="004A3983">
        <w:rPr>
          <w:rFonts w:cs="Arial"/>
          <w:color w:val="000000"/>
        </w:rPr>
        <w:t>As acknowledged in your Report, the CPOR Act is</w:t>
      </w:r>
      <w:r w:rsidR="00864C5D">
        <w:rPr>
          <w:rFonts w:cs="Arial"/>
          <w:color w:val="000000"/>
        </w:rPr>
        <w:t> </w:t>
      </w:r>
      <w:r w:rsidRPr="004A3983">
        <w:rPr>
          <w:rFonts w:cs="Arial"/>
          <w:color w:val="000000"/>
        </w:rPr>
        <w:t>complex and ambiguous.</w:t>
      </w:r>
      <w:r w:rsidR="00D63410" w:rsidRPr="004A3983">
        <w:rPr>
          <w:rStyle w:val="FootnoteReference"/>
          <w:rFonts w:cs="Arial"/>
          <w:color w:val="000000"/>
        </w:rPr>
        <w:footnoteReference w:id="136"/>
      </w:r>
    </w:p>
    <w:p w14:paraId="2A28AEB6" w14:textId="2CE94520" w:rsidR="002F48D9" w:rsidRPr="004A3983" w:rsidRDefault="002F48D9" w:rsidP="002F48D9">
      <w:pPr>
        <w:pStyle w:val="Heading2"/>
        <w:spacing w:after="160"/>
        <w:ind w:right="-2"/>
      </w:pPr>
      <w:bookmarkStart w:id="206" w:name="_Toc22627762"/>
      <w:r w:rsidRPr="004A3983">
        <w:t>Findings</w:t>
      </w:r>
      <w:bookmarkEnd w:id="206"/>
    </w:p>
    <w:p w14:paraId="47D8FB57" w14:textId="6B3E2E7B" w:rsidR="005B28EA" w:rsidRPr="004A3983" w:rsidRDefault="00F511C1" w:rsidP="000B620D">
      <w:pPr>
        <w:pStyle w:val="Heading3"/>
        <w:spacing w:after="160"/>
        <w:ind w:left="709" w:right="-2" w:hanging="709"/>
      </w:pPr>
      <w:bookmarkStart w:id="207" w:name="_Toc9428367"/>
      <w:bookmarkStart w:id="208" w:name="_Ref10552597"/>
      <w:bookmarkStart w:id="209" w:name="_Toc12020319"/>
      <w:bookmarkStart w:id="210" w:name="_Toc14790484"/>
      <w:bookmarkStart w:id="211" w:name="_Toc15478367"/>
      <w:bookmarkStart w:id="212" w:name="_Toc22627763"/>
      <w:r w:rsidRPr="004A3983">
        <w:t>Incorrect decisions about who were registrable persons and the length of reporting periods</w:t>
      </w:r>
      <w:bookmarkEnd w:id="207"/>
      <w:bookmarkEnd w:id="208"/>
      <w:bookmarkEnd w:id="209"/>
      <w:bookmarkEnd w:id="210"/>
      <w:bookmarkEnd w:id="211"/>
      <w:bookmarkEnd w:id="212"/>
      <w:r w:rsidRPr="004A3983">
        <w:t xml:space="preserve"> </w:t>
      </w:r>
    </w:p>
    <w:p w14:paraId="3076242F" w14:textId="602A275E" w:rsidR="002167FA" w:rsidRPr="004A3983" w:rsidRDefault="002167FA" w:rsidP="000B620D">
      <w:pPr>
        <w:spacing w:after="160"/>
        <w:ind w:right="-2"/>
        <w:rPr>
          <w:rFonts w:ascii="Gotham Book" w:hAnsi="Gotham Book"/>
        </w:rPr>
      </w:pPr>
      <w:r w:rsidRPr="004A3983">
        <w:rPr>
          <w:rFonts w:ascii="Gotham Book" w:hAnsi="Gotham Book"/>
        </w:rPr>
        <w:t>The results of th</w:t>
      </w:r>
      <w:r w:rsidR="00A6178F" w:rsidRPr="004A3983">
        <w:rPr>
          <w:rFonts w:ascii="Gotham Book" w:hAnsi="Gotham Book"/>
        </w:rPr>
        <w:t>e NSW Police Force</w:t>
      </w:r>
      <w:r w:rsidRPr="004A3983">
        <w:rPr>
          <w:rFonts w:ascii="Gotham Book" w:hAnsi="Gotham Book"/>
        </w:rPr>
        <w:t xml:space="preserve"> CPR case review, combine</w:t>
      </w:r>
      <w:r w:rsidR="00A6178F" w:rsidRPr="004A3983">
        <w:rPr>
          <w:rFonts w:ascii="Gotham Book" w:hAnsi="Gotham Book"/>
        </w:rPr>
        <w:t xml:space="preserve">d with the Commission’s </w:t>
      </w:r>
      <w:r w:rsidR="00AB1BDA" w:rsidRPr="004A3983">
        <w:rPr>
          <w:rFonts w:ascii="Gotham Book" w:hAnsi="Gotham Book"/>
        </w:rPr>
        <w:t>review</w:t>
      </w:r>
      <w:r w:rsidRPr="004A3983">
        <w:rPr>
          <w:rFonts w:ascii="Gotham Book" w:hAnsi="Gotham Book"/>
        </w:rPr>
        <w:t xml:space="preserve"> of a sample of Register cases, internal reports and other information provided by the NSW Police Force, establish that the NSW Police Force has, since the commencement of the Register:</w:t>
      </w:r>
    </w:p>
    <w:p w14:paraId="26DC565C" w14:textId="79DBC6A1" w:rsidR="00510E34" w:rsidRPr="004A3983" w:rsidRDefault="00510E34" w:rsidP="00864C5D">
      <w:pPr>
        <w:pStyle w:val="ListBullet"/>
      </w:pPr>
      <w:r w:rsidRPr="004A3983">
        <w:t xml:space="preserve">incorrectly determined that a person was not registrable </w:t>
      </w:r>
      <w:r w:rsidR="008C62D5" w:rsidRPr="004A3983">
        <w:t xml:space="preserve">under the CPOR Act </w:t>
      </w:r>
      <w:r w:rsidRPr="004A3983">
        <w:t>on 96 occasions;</w:t>
      </w:r>
    </w:p>
    <w:p w14:paraId="06028169" w14:textId="1A2AC891" w:rsidR="002167FA" w:rsidRPr="004A3983" w:rsidRDefault="002167FA" w:rsidP="00864C5D">
      <w:pPr>
        <w:pStyle w:val="ListBullet"/>
      </w:pPr>
      <w:r w:rsidRPr="004A3983">
        <w:t xml:space="preserve">incorrectly calculated a registrable person’s reporting period as being shorter than </w:t>
      </w:r>
      <w:r w:rsidR="009759FF" w:rsidRPr="004A3983">
        <w:t xml:space="preserve">the period </w:t>
      </w:r>
      <w:r w:rsidRPr="004A3983">
        <w:t xml:space="preserve">required </w:t>
      </w:r>
      <w:r w:rsidR="00AC7844" w:rsidRPr="004A3983">
        <w:t>by</w:t>
      </w:r>
      <w:r w:rsidRPr="004A3983">
        <w:t xml:space="preserve"> the CPOR Act on 485 occasions</w:t>
      </w:r>
      <w:r w:rsidR="007829E2" w:rsidRPr="004A3983">
        <w:t>;</w:t>
      </w:r>
    </w:p>
    <w:p w14:paraId="0B647403" w14:textId="42CC22F8" w:rsidR="00510E34" w:rsidRPr="004A3983" w:rsidRDefault="00510E34" w:rsidP="00864C5D">
      <w:pPr>
        <w:pStyle w:val="ListBullet"/>
      </w:pPr>
      <w:r w:rsidRPr="004A3983">
        <w:t>incorrectly determined that a person was registrable and placed that person on the Register when in fact they were not a registrable person under the CPOR Act on 43 occasions, and</w:t>
      </w:r>
    </w:p>
    <w:p w14:paraId="7AB49DA0" w14:textId="0224EA93" w:rsidR="002167FA" w:rsidRPr="004A3983" w:rsidRDefault="002167FA" w:rsidP="00864C5D">
      <w:pPr>
        <w:pStyle w:val="ListBullet"/>
      </w:pPr>
      <w:r w:rsidRPr="004A3983">
        <w:t xml:space="preserve">incorrectly calculated a registrable person’s reporting period as being longer than </w:t>
      </w:r>
      <w:r w:rsidR="009759FF" w:rsidRPr="004A3983">
        <w:t xml:space="preserve">the period </w:t>
      </w:r>
      <w:r w:rsidR="00C83456">
        <w:t xml:space="preserve">required </w:t>
      </w:r>
      <w:r w:rsidR="00AC7844" w:rsidRPr="004A3983">
        <w:t>by</w:t>
      </w:r>
      <w:r w:rsidR="00991A3C">
        <w:t xml:space="preserve"> the CPOR Act on </w:t>
      </w:r>
      <w:r w:rsidRPr="004A3983">
        <w:t>144 occasions</w:t>
      </w:r>
      <w:r w:rsidR="00510E34" w:rsidRPr="004A3983">
        <w:t>.</w:t>
      </w:r>
      <w:r w:rsidR="00510E34" w:rsidRPr="004A3983">
        <w:rPr>
          <w:rStyle w:val="FootnoteReference"/>
        </w:rPr>
        <w:footnoteReference w:id="137"/>
      </w:r>
    </w:p>
    <w:p w14:paraId="214AD033" w14:textId="7C129C27" w:rsidR="00BA6D5F" w:rsidRPr="004A3983" w:rsidRDefault="00DD4430" w:rsidP="000B620D">
      <w:pPr>
        <w:spacing w:after="160"/>
        <w:ind w:right="-2"/>
        <w:rPr>
          <w:rFonts w:ascii="Gotham Book" w:hAnsi="Gotham Book"/>
        </w:rPr>
      </w:pPr>
      <w:r w:rsidRPr="004A3983">
        <w:rPr>
          <w:rFonts w:ascii="Gotham Book" w:hAnsi="Gotham Book"/>
        </w:rPr>
        <w:t xml:space="preserve">Each of the </w:t>
      </w:r>
      <w:r w:rsidR="002167FA" w:rsidRPr="004A3983">
        <w:rPr>
          <w:rFonts w:ascii="Gotham Book" w:hAnsi="Gotham Book"/>
        </w:rPr>
        <w:t>incorrect decisio</w:t>
      </w:r>
      <w:r w:rsidR="00DC5133" w:rsidRPr="004A3983">
        <w:rPr>
          <w:rFonts w:ascii="Gotham Book" w:hAnsi="Gotham Book"/>
        </w:rPr>
        <w:t xml:space="preserve">ns </w:t>
      </w:r>
      <w:r w:rsidR="004A1E57" w:rsidRPr="004A3983">
        <w:rPr>
          <w:rFonts w:ascii="Gotham Book" w:hAnsi="Gotham Book"/>
        </w:rPr>
        <w:t xml:space="preserve">of the NSW Police Force </w:t>
      </w:r>
      <w:r w:rsidR="00DC5133" w:rsidRPr="004A3983">
        <w:rPr>
          <w:rFonts w:ascii="Gotham Book" w:hAnsi="Gotham Book"/>
        </w:rPr>
        <w:t>about whether a person was</w:t>
      </w:r>
      <w:r w:rsidR="00864C5D">
        <w:rPr>
          <w:rFonts w:ascii="Gotham Book" w:hAnsi="Gotham Book"/>
        </w:rPr>
        <w:t> </w:t>
      </w:r>
      <w:r w:rsidR="002167FA" w:rsidRPr="004A3983">
        <w:rPr>
          <w:rFonts w:ascii="Gotham Book" w:hAnsi="Gotham Book"/>
        </w:rPr>
        <w:t>reg</w:t>
      </w:r>
      <w:r w:rsidRPr="004A3983">
        <w:rPr>
          <w:rFonts w:ascii="Gotham Book" w:hAnsi="Gotham Book"/>
        </w:rPr>
        <w:t>istrable under the CPOR Act, or</w:t>
      </w:r>
      <w:r w:rsidR="002167FA" w:rsidRPr="004A3983">
        <w:rPr>
          <w:rFonts w:ascii="Gotham Book" w:hAnsi="Gotham Book"/>
        </w:rPr>
        <w:t xml:space="preserve"> about the length of other persons’ reporting periods, constitute</w:t>
      </w:r>
      <w:r w:rsidRPr="004A3983">
        <w:rPr>
          <w:rFonts w:ascii="Gotham Book" w:hAnsi="Gotham Book"/>
        </w:rPr>
        <w:t>d</w:t>
      </w:r>
      <w:r w:rsidR="002167FA" w:rsidRPr="004A3983">
        <w:rPr>
          <w:rFonts w:ascii="Gotham Book" w:hAnsi="Gotham Book"/>
        </w:rPr>
        <w:t xml:space="preserve"> ‘conduct that arises, wholly or in part, from a mistake of law or fact’.</w:t>
      </w:r>
      <w:r w:rsidR="00E34B24" w:rsidRPr="004A3983">
        <w:rPr>
          <w:rStyle w:val="FootnoteReference"/>
          <w:rFonts w:ascii="Gotham Book" w:hAnsi="Gotham Book"/>
        </w:rPr>
        <w:footnoteReference w:id="138"/>
      </w:r>
      <w:r w:rsidR="002167FA" w:rsidRPr="004A3983">
        <w:rPr>
          <w:rFonts w:ascii="Gotham Book" w:hAnsi="Gotham Book"/>
        </w:rPr>
        <w:t xml:space="preserve"> As the case studies above illustrate, these incorrect decisions resulted from mistakes</w:t>
      </w:r>
      <w:r w:rsidR="005B3775" w:rsidRPr="004A3983">
        <w:rPr>
          <w:rFonts w:ascii="Gotham Book" w:hAnsi="Gotham Book"/>
        </w:rPr>
        <w:t xml:space="preserve"> of fact</w:t>
      </w:r>
      <w:r w:rsidR="002167FA" w:rsidRPr="004A3983">
        <w:rPr>
          <w:rFonts w:ascii="Gotham Book" w:hAnsi="Gotham Book"/>
        </w:rPr>
        <w:t xml:space="preserve"> </w:t>
      </w:r>
      <w:r w:rsidR="005B3775" w:rsidRPr="004A3983">
        <w:rPr>
          <w:rFonts w:ascii="Gotham Book" w:hAnsi="Gotham Book"/>
        </w:rPr>
        <w:t>about a</w:t>
      </w:r>
      <w:r w:rsidR="002167FA" w:rsidRPr="004A3983">
        <w:rPr>
          <w:rFonts w:ascii="Gotham Book" w:hAnsi="Gotham Book"/>
        </w:rPr>
        <w:t xml:space="preserve"> </w:t>
      </w:r>
      <w:r w:rsidR="00E82D9B" w:rsidRPr="004A3983">
        <w:rPr>
          <w:rFonts w:ascii="Gotham Book" w:hAnsi="Gotham Book"/>
        </w:rPr>
        <w:t>person</w:t>
      </w:r>
      <w:r w:rsidR="0035212F" w:rsidRPr="004A3983">
        <w:rPr>
          <w:rFonts w:ascii="Gotham Book" w:hAnsi="Gotham Book"/>
        </w:rPr>
        <w:t>’s</w:t>
      </w:r>
      <w:r w:rsidR="00E82D9B" w:rsidRPr="004A3983">
        <w:rPr>
          <w:rFonts w:ascii="Gotham Book" w:hAnsi="Gotham Book"/>
        </w:rPr>
        <w:t xml:space="preserve"> offending</w:t>
      </w:r>
      <w:r w:rsidR="002167FA" w:rsidRPr="004A3983">
        <w:rPr>
          <w:rFonts w:ascii="Gotham Book" w:hAnsi="Gotham Book"/>
        </w:rPr>
        <w:t xml:space="preserve">, or mistakes of law in interpreting and applying the CPOR Act, or both. </w:t>
      </w:r>
    </w:p>
    <w:p w14:paraId="62DE17FD" w14:textId="00E54879" w:rsidR="002167FA" w:rsidRPr="004A3983" w:rsidRDefault="00BA6D5F" w:rsidP="000B620D">
      <w:pPr>
        <w:spacing w:after="160"/>
        <w:ind w:right="-2"/>
        <w:rPr>
          <w:rFonts w:ascii="Gotham Book" w:hAnsi="Gotham Book"/>
        </w:rPr>
      </w:pPr>
      <w:r w:rsidRPr="004A3983">
        <w:rPr>
          <w:rFonts w:ascii="Gotham Book" w:hAnsi="Gotham Book"/>
        </w:rPr>
        <w:t>The Register files reviewed by the Commission establish that the NSW Police Force started making incorrect decisions in relation to the Register in 2002.</w:t>
      </w:r>
      <w:r w:rsidRPr="004A3983">
        <w:rPr>
          <w:rStyle w:val="FootnoteReference"/>
          <w:rFonts w:ascii="Gotham Book" w:hAnsi="Gotham Book"/>
        </w:rPr>
        <w:footnoteReference w:id="139"/>
      </w:r>
      <w:r w:rsidRPr="004A3983">
        <w:rPr>
          <w:rFonts w:ascii="Gotham Book" w:hAnsi="Gotham Book"/>
        </w:rPr>
        <w:t xml:space="preserve"> </w:t>
      </w:r>
      <w:r w:rsidR="00B57C74" w:rsidRPr="004A3983">
        <w:rPr>
          <w:rFonts w:ascii="Gotham Book" w:hAnsi="Gotham Book"/>
        </w:rPr>
        <w:t xml:space="preserve">The NSW </w:t>
      </w:r>
      <w:r w:rsidR="00B57C74" w:rsidRPr="004A3983">
        <w:rPr>
          <w:rFonts w:ascii="Gotham Book" w:hAnsi="Gotham Book"/>
        </w:rPr>
        <w:lastRenderedPageBreak/>
        <w:t>Police Force has submitted</w:t>
      </w:r>
      <w:r w:rsidR="002167FA" w:rsidRPr="004A3983">
        <w:rPr>
          <w:rFonts w:ascii="Gotham Book" w:hAnsi="Gotham Book"/>
        </w:rPr>
        <w:t xml:space="preserve"> that the Commission’s </w:t>
      </w:r>
      <w:r w:rsidR="00B57C74" w:rsidRPr="004A3983">
        <w:rPr>
          <w:rFonts w:ascii="Gotham Book" w:hAnsi="Gotham Book"/>
        </w:rPr>
        <w:t xml:space="preserve">finding </w:t>
      </w:r>
      <w:r w:rsidR="002167FA" w:rsidRPr="004A3983">
        <w:rPr>
          <w:rFonts w:ascii="Gotham Book" w:hAnsi="Gotham Book"/>
        </w:rPr>
        <w:t>should</w:t>
      </w:r>
      <w:r w:rsidR="00B57C74" w:rsidRPr="004A3983">
        <w:rPr>
          <w:rFonts w:ascii="Gotham Book" w:hAnsi="Gotham Book"/>
        </w:rPr>
        <w:t xml:space="preserve"> specify that the ‘substantive incorrect decision-making’ in relation to the Register occurred only up until 2018, when the CPR case review was completed.</w:t>
      </w:r>
      <w:r w:rsidR="00053992" w:rsidRPr="004A3983">
        <w:rPr>
          <w:rStyle w:val="FootnoteReference"/>
          <w:rFonts w:ascii="Gotham Book" w:hAnsi="Gotham Book"/>
        </w:rPr>
        <w:footnoteReference w:id="140"/>
      </w:r>
    </w:p>
    <w:p w14:paraId="41B09406" w14:textId="3AFA81C7" w:rsidR="002167FA" w:rsidRPr="004A3983" w:rsidRDefault="00BA6D5F" w:rsidP="000B620D">
      <w:pPr>
        <w:spacing w:after="160"/>
        <w:ind w:right="-2"/>
        <w:rPr>
          <w:rFonts w:ascii="Gotham Book" w:hAnsi="Gotham Book"/>
        </w:rPr>
      </w:pPr>
      <w:r w:rsidRPr="004A3983">
        <w:rPr>
          <w:rFonts w:ascii="Gotham Book" w:hAnsi="Gotham Book"/>
        </w:rPr>
        <w:t>The Commission ac</w:t>
      </w:r>
      <w:r w:rsidR="002500AD" w:rsidRPr="004A3983">
        <w:rPr>
          <w:rFonts w:ascii="Gotham Book" w:hAnsi="Gotham Book"/>
        </w:rPr>
        <w:t>knowl</w:t>
      </w:r>
      <w:r w:rsidRPr="004A3983">
        <w:rPr>
          <w:rFonts w:ascii="Gotham Book" w:hAnsi="Gotham Book"/>
        </w:rPr>
        <w:t>edges</w:t>
      </w:r>
      <w:r w:rsidR="002167FA" w:rsidRPr="004A3983">
        <w:rPr>
          <w:rFonts w:ascii="Gotham Book" w:hAnsi="Gotham Book"/>
        </w:rPr>
        <w:t xml:space="preserve"> that the NSW Police Force ‘self-identified’ that there were significant problems with th</w:t>
      </w:r>
      <w:r w:rsidR="00717D02" w:rsidRPr="004A3983">
        <w:rPr>
          <w:rFonts w:ascii="Gotham Book" w:hAnsi="Gotham Book"/>
        </w:rPr>
        <w:t xml:space="preserve">e accuracy of information in the Register, and </w:t>
      </w:r>
      <w:r w:rsidR="002167FA" w:rsidRPr="004A3983">
        <w:rPr>
          <w:rFonts w:ascii="Gotham Book" w:hAnsi="Gotham Book"/>
        </w:rPr>
        <w:t>initiated the CPR case review in 2016 to identify and correct the errors. The Commission also acknowledges that the 44 per cent of Register case files found by the CPR case review to contain error</w:t>
      </w:r>
      <w:r w:rsidR="00485843" w:rsidRPr="004A3983">
        <w:rPr>
          <w:rFonts w:ascii="Gotham Book" w:hAnsi="Gotham Book"/>
        </w:rPr>
        <w:t>s do</w:t>
      </w:r>
      <w:r w:rsidR="002167FA" w:rsidRPr="004A3983">
        <w:rPr>
          <w:rFonts w:ascii="Gotham Book" w:hAnsi="Gotham Book"/>
        </w:rPr>
        <w:t xml:space="preserve"> not reflect the current error rate in the Register, as the CPR review team corrected errors when they identified them. </w:t>
      </w:r>
    </w:p>
    <w:p w14:paraId="1D0B540E" w14:textId="28556ED9" w:rsidR="002167FA" w:rsidRPr="004A3983" w:rsidRDefault="002167FA" w:rsidP="000B620D">
      <w:pPr>
        <w:spacing w:after="160"/>
        <w:ind w:right="-2"/>
        <w:rPr>
          <w:rFonts w:ascii="Gotham Book" w:hAnsi="Gotham Book"/>
        </w:rPr>
      </w:pPr>
      <w:r w:rsidRPr="004A3983">
        <w:rPr>
          <w:rFonts w:ascii="Gotham Book" w:hAnsi="Gotham Book"/>
        </w:rPr>
        <w:t xml:space="preserve">However, errors remained in </w:t>
      </w:r>
      <w:r w:rsidR="000E5890" w:rsidRPr="004A3983">
        <w:rPr>
          <w:rFonts w:ascii="Gotham Book" w:hAnsi="Gotham Book"/>
        </w:rPr>
        <w:t xml:space="preserve">some </w:t>
      </w:r>
      <w:r w:rsidRPr="004A3983">
        <w:rPr>
          <w:rFonts w:ascii="Gotham Book" w:hAnsi="Gotham Book"/>
        </w:rPr>
        <w:t>Register files even after the CPR case review.  In our review of 17 Register case files, we identified two cases in which the CPR case review team itself had made incorrect decisions</w:t>
      </w:r>
      <w:r w:rsidR="00EC3E44" w:rsidRPr="004A3983">
        <w:rPr>
          <w:rFonts w:ascii="Gotham Book" w:hAnsi="Gotham Book"/>
        </w:rPr>
        <w:t xml:space="preserve"> when applying the CPOR Act</w:t>
      </w:r>
      <w:r w:rsidRPr="004A3983">
        <w:rPr>
          <w:rFonts w:ascii="Gotham Book" w:hAnsi="Gotham Book"/>
        </w:rPr>
        <w:t>. In one case, that of Mr AA (</w:t>
      </w:r>
      <w:r w:rsidR="007F27C6" w:rsidRPr="004A3983">
        <w:rPr>
          <w:rFonts w:ascii="Gotham Book" w:hAnsi="Gotham Book"/>
        </w:rPr>
        <w:t>Case Study</w:t>
      </w:r>
      <w:r w:rsidRPr="004A3983">
        <w:rPr>
          <w:rFonts w:ascii="Gotham Book" w:hAnsi="Gotham Book"/>
        </w:rPr>
        <w:t xml:space="preserve"> </w:t>
      </w:r>
      <w:r w:rsidR="002C205E" w:rsidRPr="004A3983">
        <w:rPr>
          <w:rFonts w:ascii="Gotham Book" w:hAnsi="Gotham Book"/>
        </w:rPr>
        <w:t>2</w:t>
      </w:r>
      <w:r w:rsidRPr="004A3983">
        <w:rPr>
          <w:rFonts w:ascii="Gotham Book" w:hAnsi="Gotham Book"/>
        </w:rPr>
        <w:t>) the CPR case review team incorrectly determined a registrable person’s reporting period to be 15 years, when in fact he should have been reporting for life. In the other case</w:t>
      </w:r>
      <w:r w:rsidR="00293765" w:rsidRPr="004A3983">
        <w:rPr>
          <w:rFonts w:ascii="Gotham Book" w:hAnsi="Gotham Book"/>
        </w:rPr>
        <w:t>,</w:t>
      </w:r>
      <w:r w:rsidRPr="004A3983">
        <w:rPr>
          <w:rFonts w:ascii="Gotham Book" w:hAnsi="Gotham Book"/>
        </w:rPr>
        <w:t xml:space="preserve"> </w:t>
      </w:r>
      <w:r w:rsidR="00064E04" w:rsidRPr="004A3983">
        <w:rPr>
          <w:rFonts w:ascii="Gotham Book" w:hAnsi="Gotham Book"/>
        </w:rPr>
        <w:t xml:space="preserve">the </w:t>
      </w:r>
      <w:r w:rsidR="00076A4A" w:rsidRPr="004A3983">
        <w:rPr>
          <w:rFonts w:ascii="Gotham Book" w:hAnsi="Gotham Book"/>
        </w:rPr>
        <w:t xml:space="preserve">CPR case </w:t>
      </w:r>
      <w:r w:rsidR="00064E04" w:rsidRPr="004A3983">
        <w:rPr>
          <w:rFonts w:ascii="Gotham Book" w:hAnsi="Gotham Book"/>
        </w:rPr>
        <w:t>review team removed the person</w:t>
      </w:r>
      <w:r w:rsidRPr="004A3983">
        <w:rPr>
          <w:rFonts w:ascii="Gotham Book" w:hAnsi="Gotham Book"/>
        </w:rPr>
        <w:t xml:space="preserve"> from the Register, when in fact he was registrable.</w:t>
      </w:r>
      <w:r w:rsidRPr="004A3983">
        <w:rPr>
          <w:rStyle w:val="FootnoteReference"/>
          <w:rFonts w:ascii="Gotham Book" w:hAnsi="Gotham Book"/>
        </w:rPr>
        <w:footnoteReference w:id="141"/>
      </w:r>
      <w:r w:rsidR="007E798C" w:rsidRPr="004A3983">
        <w:rPr>
          <w:rFonts w:ascii="Gotham Book" w:hAnsi="Gotham Book"/>
        </w:rPr>
        <w:t xml:space="preserve"> </w:t>
      </w:r>
      <w:r w:rsidRPr="004A3983">
        <w:rPr>
          <w:rFonts w:ascii="Gotham Book" w:hAnsi="Gotham Book"/>
        </w:rPr>
        <w:t>The Commission raised these errors with the NSW Polic</w:t>
      </w:r>
      <w:r w:rsidR="005A7747" w:rsidRPr="004A3983">
        <w:rPr>
          <w:rFonts w:ascii="Gotham Book" w:hAnsi="Gotham Book"/>
        </w:rPr>
        <w:t>e Force when we discovered them</w:t>
      </w:r>
      <w:r w:rsidR="00AE5771" w:rsidRPr="004A3983">
        <w:rPr>
          <w:rFonts w:ascii="Gotham Book" w:hAnsi="Gotham Book"/>
        </w:rPr>
        <w:t>,</w:t>
      </w:r>
      <w:r w:rsidR="00EF32E8" w:rsidRPr="004A3983">
        <w:rPr>
          <w:rFonts w:ascii="Gotham Book" w:hAnsi="Gotham Book"/>
        </w:rPr>
        <w:t xml:space="preserve"> and the</w:t>
      </w:r>
      <w:r w:rsidRPr="004A3983">
        <w:rPr>
          <w:rFonts w:ascii="Gotham Book" w:hAnsi="Gotham Book"/>
        </w:rPr>
        <w:t xml:space="preserve"> NSW Police Force urgently re-reviewed these cases.</w:t>
      </w:r>
    </w:p>
    <w:p w14:paraId="7529EEA0" w14:textId="128617D0" w:rsidR="00182212" w:rsidRPr="004A3983" w:rsidRDefault="002167FA" w:rsidP="000B620D">
      <w:pPr>
        <w:spacing w:after="160"/>
        <w:ind w:right="-2"/>
        <w:rPr>
          <w:rFonts w:ascii="Gotham Book" w:hAnsi="Gotham Book"/>
        </w:rPr>
      </w:pPr>
      <w:r w:rsidRPr="004A3983">
        <w:rPr>
          <w:rFonts w:ascii="Gotham Book" w:hAnsi="Gotham Book"/>
        </w:rPr>
        <w:t>The Commission also considers that many of the system</w:t>
      </w:r>
      <w:r w:rsidR="00ED3600" w:rsidRPr="004A3983">
        <w:rPr>
          <w:rFonts w:ascii="Gotham Book" w:hAnsi="Gotham Book"/>
        </w:rPr>
        <w:t xml:space="preserve">ic issues which resulted in errors in </w:t>
      </w:r>
      <w:r w:rsidR="0091256E" w:rsidRPr="004A3983">
        <w:rPr>
          <w:rFonts w:ascii="Gotham Book" w:hAnsi="Gotham Book"/>
        </w:rPr>
        <w:t>the Reg</w:t>
      </w:r>
      <w:r w:rsidR="00C977D4" w:rsidRPr="004A3983">
        <w:rPr>
          <w:rFonts w:ascii="Gotham Book" w:hAnsi="Gotham Book"/>
        </w:rPr>
        <w:t>is</w:t>
      </w:r>
      <w:r w:rsidR="0091256E" w:rsidRPr="004A3983">
        <w:rPr>
          <w:rFonts w:ascii="Gotham Book" w:hAnsi="Gotham Book"/>
        </w:rPr>
        <w:t xml:space="preserve">ter in </w:t>
      </w:r>
      <w:r w:rsidR="00ED3600" w:rsidRPr="004A3983">
        <w:rPr>
          <w:rFonts w:ascii="Gotham Book" w:hAnsi="Gotham Book"/>
        </w:rPr>
        <w:t xml:space="preserve">the past </w:t>
      </w:r>
      <w:r w:rsidR="00C1154A" w:rsidRPr="004A3983">
        <w:rPr>
          <w:rFonts w:ascii="Gotham Book" w:hAnsi="Gotham Book"/>
        </w:rPr>
        <w:t xml:space="preserve">continue to create risks that </w:t>
      </w:r>
      <w:r w:rsidR="00037677" w:rsidRPr="004A3983">
        <w:rPr>
          <w:rFonts w:ascii="Gotham Book" w:hAnsi="Gotham Book"/>
        </w:rPr>
        <w:t>incorrect decisions</w:t>
      </w:r>
      <w:r w:rsidR="00C1154A" w:rsidRPr="004A3983">
        <w:rPr>
          <w:rFonts w:ascii="Gotham Book" w:hAnsi="Gotham Book"/>
        </w:rPr>
        <w:t xml:space="preserve"> will be</w:t>
      </w:r>
      <w:r w:rsidR="006A3B0F" w:rsidRPr="004A3983">
        <w:rPr>
          <w:rFonts w:ascii="Gotham Book" w:hAnsi="Gotham Book"/>
        </w:rPr>
        <w:t xml:space="preserve"> made</w:t>
      </w:r>
      <w:r w:rsidRPr="004A3983">
        <w:rPr>
          <w:rFonts w:ascii="Gotham Book" w:hAnsi="Gotham Book"/>
        </w:rPr>
        <w:t xml:space="preserve">. These systemic issues are discussed in </w:t>
      </w:r>
      <w:r w:rsidR="00725157" w:rsidRPr="004A3983">
        <w:rPr>
          <w:rFonts w:ascii="Gotham Book" w:hAnsi="Gotham Book"/>
        </w:rPr>
        <w:t xml:space="preserve">Chapters </w:t>
      </w:r>
      <w:r w:rsidR="00725157" w:rsidRPr="004A3983">
        <w:rPr>
          <w:rFonts w:ascii="Gotham Book" w:hAnsi="Gotham Book"/>
        </w:rPr>
        <w:fldChar w:fldCharType="begin"/>
      </w:r>
      <w:r w:rsidR="00725157" w:rsidRPr="004A3983">
        <w:rPr>
          <w:rFonts w:ascii="Gotham Book" w:hAnsi="Gotham Book"/>
        </w:rPr>
        <w:instrText xml:space="preserve"> REF _Ref9615738 \r \h </w:instrText>
      </w:r>
      <w:r w:rsidR="00141CBB" w:rsidRPr="004A3983">
        <w:rPr>
          <w:rFonts w:ascii="Gotham Book" w:hAnsi="Gotham Book"/>
        </w:rPr>
        <w:instrText xml:space="preserve"> \* MERGEFORMAT </w:instrText>
      </w:r>
      <w:r w:rsidR="00725157" w:rsidRPr="004A3983">
        <w:rPr>
          <w:rFonts w:ascii="Gotham Book" w:hAnsi="Gotham Book"/>
        </w:rPr>
      </w:r>
      <w:r w:rsidR="00725157" w:rsidRPr="004A3983">
        <w:rPr>
          <w:rFonts w:ascii="Gotham Book" w:hAnsi="Gotham Book"/>
        </w:rPr>
        <w:fldChar w:fldCharType="separate"/>
      </w:r>
      <w:r w:rsidR="00022664">
        <w:rPr>
          <w:rFonts w:ascii="Gotham Book" w:hAnsi="Gotham Book" w:hint="cs"/>
          <w:cs/>
        </w:rPr>
        <w:t>‎</w:t>
      </w:r>
      <w:r w:rsidR="00022664">
        <w:rPr>
          <w:rFonts w:ascii="Gotham Book" w:hAnsi="Gotham Book"/>
        </w:rPr>
        <w:t>5</w:t>
      </w:r>
      <w:r w:rsidR="00725157" w:rsidRPr="004A3983">
        <w:rPr>
          <w:rFonts w:ascii="Gotham Book" w:hAnsi="Gotham Book"/>
        </w:rPr>
        <w:fldChar w:fldCharType="end"/>
      </w:r>
      <w:r w:rsidR="00725157" w:rsidRPr="004A3983">
        <w:rPr>
          <w:rFonts w:ascii="Gotham Book" w:hAnsi="Gotham Book"/>
        </w:rPr>
        <w:t xml:space="preserve"> to </w:t>
      </w:r>
      <w:r w:rsidR="00725157" w:rsidRPr="004A3983">
        <w:rPr>
          <w:rFonts w:ascii="Gotham Book" w:hAnsi="Gotham Book"/>
        </w:rPr>
        <w:fldChar w:fldCharType="begin"/>
      </w:r>
      <w:r w:rsidR="00725157" w:rsidRPr="004A3983">
        <w:rPr>
          <w:rFonts w:ascii="Gotham Book" w:hAnsi="Gotham Book"/>
        </w:rPr>
        <w:instrText xml:space="preserve"> REF _Ref9349644 \r \h </w:instrText>
      </w:r>
      <w:r w:rsidR="00141CBB" w:rsidRPr="004A3983">
        <w:rPr>
          <w:rFonts w:ascii="Gotham Book" w:hAnsi="Gotham Book"/>
        </w:rPr>
        <w:instrText xml:space="preserve"> \* MERGEFORMAT </w:instrText>
      </w:r>
      <w:r w:rsidR="00725157" w:rsidRPr="004A3983">
        <w:rPr>
          <w:rFonts w:ascii="Gotham Book" w:hAnsi="Gotham Book"/>
        </w:rPr>
      </w:r>
      <w:r w:rsidR="00725157" w:rsidRPr="004A3983">
        <w:rPr>
          <w:rFonts w:ascii="Gotham Book" w:hAnsi="Gotham Book"/>
        </w:rPr>
        <w:fldChar w:fldCharType="separate"/>
      </w:r>
      <w:r w:rsidR="00022664">
        <w:rPr>
          <w:rFonts w:ascii="Gotham Book" w:hAnsi="Gotham Book" w:hint="cs"/>
          <w:cs/>
        </w:rPr>
        <w:t>‎</w:t>
      </w:r>
      <w:r w:rsidR="00022664">
        <w:rPr>
          <w:rFonts w:ascii="Gotham Book" w:hAnsi="Gotham Book"/>
        </w:rPr>
        <w:t>8</w:t>
      </w:r>
      <w:r w:rsidR="00725157" w:rsidRPr="004A3983">
        <w:rPr>
          <w:rFonts w:ascii="Gotham Book" w:hAnsi="Gotham Book"/>
        </w:rPr>
        <w:fldChar w:fldCharType="end"/>
      </w:r>
      <w:r w:rsidRPr="004A3983">
        <w:rPr>
          <w:rFonts w:ascii="Gotham Book" w:hAnsi="Gotham Book"/>
        </w:rPr>
        <w:t xml:space="preserve"> of this report.</w:t>
      </w:r>
      <w:r w:rsidR="00325E3F" w:rsidRPr="004A3983">
        <w:rPr>
          <w:rFonts w:ascii="Gotham Book" w:hAnsi="Gotham Book"/>
        </w:rPr>
        <w:t xml:space="preserve"> </w:t>
      </w:r>
    </w:p>
    <w:p w14:paraId="4171E068" w14:textId="3CBAEF39" w:rsidR="002167FA" w:rsidRPr="004A3983" w:rsidRDefault="002167FA" w:rsidP="000B620D">
      <w:pPr>
        <w:spacing w:after="160"/>
        <w:ind w:right="-2"/>
        <w:rPr>
          <w:rFonts w:ascii="Gotham Book" w:hAnsi="Gotham Book"/>
        </w:rPr>
      </w:pPr>
      <w:r w:rsidRPr="004A3983">
        <w:rPr>
          <w:rFonts w:ascii="Gotham Book" w:hAnsi="Gotham Book"/>
        </w:rPr>
        <w:t xml:space="preserve">The </w:t>
      </w:r>
      <w:r w:rsidR="00DB7B11" w:rsidRPr="004A3983">
        <w:rPr>
          <w:rFonts w:ascii="Gotham Book" w:hAnsi="Gotham Book"/>
        </w:rPr>
        <w:t>Commission acknowledges</w:t>
      </w:r>
      <w:r w:rsidRPr="004A3983">
        <w:rPr>
          <w:rFonts w:ascii="Gotham Book" w:hAnsi="Gotham Book"/>
        </w:rPr>
        <w:t xml:space="preserve"> that two of the systemic factors, being the complexity and ambiguity in the CPOR Act,</w:t>
      </w:r>
      <w:r w:rsidRPr="004A3983">
        <w:rPr>
          <w:rStyle w:val="FootnoteReference"/>
          <w:rFonts w:ascii="Gotham Book" w:hAnsi="Gotham Book"/>
        </w:rPr>
        <w:footnoteReference w:id="142"/>
      </w:r>
      <w:r w:rsidRPr="004A3983">
        <w:rPr>
          <w:rFonts w:ascii="Gotham Book" w:hAnsi="Gotham Book"/>
        </w:rPr>
        <w:t xml:space="preserve"> and the role of other authoriti</w:t>
      </w:r>
      <w:r w:rsidR="001F6680" w:rsidRPr="004A3983">
        <w:rPr>
          <w:rFonts w:ascii="Gotham Book" w:hAnsi="Gotham Book"/>
        </w:rPr>
        <w:t xml:space="preserve">es in the implementation of that </w:t>
      </w:r>
      <w:r w:rsidRPr="004A3983">
        <w:rPr>
          <w:rFonts w:ascii="Gotham Book" w:hAnsi="Gotham Book"/>
        </w:rPr>
        <w:t>Act,</w:t>
      </w:r>
      <w:r w:rsidRPr="004A3983">
        <w:rPr>
          <w:rStyle w:val="FootnoteReference"/>
          <w:rFonts w:ascii="Gotham Book" w:hAnsi="Gotham Book"/>
        </w:rPr>
        <w:footnoteReference w:id="143"/>
      </w:r>
      <w:r w:rsidRPr="004A3983">
        <w:rPr>
          <w:rFonts w:ascii="Gotham Book" w:hAnsi="Gotham Book"/>
        </w:rPr>
        <w:t xml:space="preserve"> are beyond the control of the NSW Police Force</w:t>
      </w:r>
      <w:r w:rsidR="006B06A3" w:rsidRPr="004A3983">
        <w:rPr>
          <w:rFonts w:ascii="Gotham Book" w:hAnsi="Gotham Book"/>
        </w:rPr>
        <w:t>. We accept that the NSW Police Force cannot unilaterally address these factors</w:t>
      </w:r>
      <w:r w:rsidRPr="004A3983">
        <w:rPr>
          <w:rFonts w:ascii="Gotham Book" w:hAnsi="Gotham Book"/>
        </w:rPr>
        <w:t>.</w:t>
      </w:r>
    </w:p>
    <w:p w14:paraId="6E5DCEFF" w14:textId="7C4F80A7" w:rsidR="002167FA" w:rsidRPr="004A3983" w:rsidRDefault="00014CE0" w:rsidP="000B620D">
      <w:pPr>
        <w:spacing w:after="160"/>
        <w:ind w:right="-2"/>
        <w:rPr>
          <w:rFonts w:ascii="Gotham Book" w:hAnsi="Gotham Book"/>
        </w:rPr>
      </w:pPr>
      <w:r w:rsidRPr="004A3983">
        <w:rPr>
          <w:rFonts w:ascii="Gotham Book" w:hAnsi="Gotham Book"/>
        </w:rPr>
        <w:t>The Commission also acknowledges</w:t>
      </w:r>
      <w:r w:rsidR="002167FA" w:rsidRPr="004A3983">
        <w:rPr>
          <w:rFonts w:ascii="Gotham Book" w:hAnsi="Gotham Book"/>
        </w:rPr>
        <w:t xml:space="preserve"> that</w:t>
      </w:r>
      <w:r w:rsidR="00365AE0" w:rsidRPr="004A3983">
        <w:rPr>
          <w:rFonts w:ascii="Gotham Book" w:hAnsi="Gotham Book"/>
        </w:rPr>
        <w:t>,</w:t>
      </w:r>
      <w:r w:rsidR="002167FA" w:rsidRPr="004A3983">
        <w:rPr>
          <w:rFonts w:ascii="Gotham Book" w:hAnsi="Gotham Book"/>
        </w:rPr>
        <w:t xml:space="preserve"> in recent years, the NSW Police Force has </w:t>
      </w:r>
      <w:r w:rsidR="00B60FB2" w:rsidRPr="004A3983">
        <w:rPr>
          <w:rFonts w:ascii="Gotham Book" w:hAnsi="Gotham Book"/>
        </w:rPr>
        <w:t>taken significant steps</w:t>
      </w:r>
      <w:r w:rsidR="002167FA" w:rsidRPr="004A3983">
        <w:rPr>
          <w:rFonts w:ascii="Gotham Book" w:hAnsi="Gotham Book"/>
        </w:rPr>
        <w:t xml:space="preserve"> to improve </w:t>
      </w:r>
      <w:r w:rsidR="00B60FB2" w:rsidRPr="004A3983">
        <w:rPr>
          <w:rFonts w:ascii="Gotham Book" w:hAnsi="Gotham Book"/>
        </w:rPr>
        <w:t>its administration</w:t>
      </w:r>
      <w:r w:rsidR="002167FA" w:rsidRPr="004A3983">
        <w:rPr>
          <w:rFonts w:ascii="Gotham Book" w:hAnsi="Gotham Book"/>
        </w:rPr>
        <w:t xml:space="preserve"> of the Register</w:t>
      </w:r>
      <w:r w:rsidR="00B60FB2" w:rsidRPr="004A3983">
        <w:rPr>
          <w:rFonts w:ascii="Gotham Book" w:hAnsi="Gotham Book"/>
        </w:rPr>
        <w:t xml:space="preserve"> (see section 3.9 at the end of this chapter).</w:t>
      </w:r>
      <w:r w:rsidR="002E35CF" w:rsidRPr="004A3983">
        <w:rPr>
          <w:rFonts w:ascii="Gotham Book" w:hAnsi="Gotham Book"/>
        </w:rPr>
        <w:t xml:space="preserve"> </w:t>
      </w:r>
    </w:p>
    <w:p w14:paraId="317166E3" w14:textId="2CC41451" w:rsidR="002167FA" w:rsidRPr="004A3983" w:rsidRDefault="002167FA" w:rsidP="000B620D">
      <w:pPr>
        <w:spacing w:after="160"/>
        <w:ind w:right="-2"/>
        <w:rPr>
          <w:rFonts w:ascii="Gotham Book" w:hAnsi="Gotham Book"/>
        </w:rPr>
      </w:pPr>
      <w:r w:rsidRPr="004A3983">
        <w:rPr>
          <w:rFonts w:ascii="Gotham Book" w:hAnsi="Gotham Book"/>
        </w:rPr>
        <w:t xml:space="preserve">However, </w:t>
      </w:r>
      <w:r w:rsidR="00E042B8" w:rsidRPr="004A3983">
        <w:rPr>
          <w:rFonts w:ascii="Gotham Book" w:hAnsi="Gotham Book"/>
        </w:rPr>
        <w:t>as discussed in later</w:t>
      </w:r>
      <w:r w:rsidR="00912D05" w:rsidRPr="004A3983">
        <w:rPr>
          <w:rFonts w:ascii="Gotham Book" w:hAnsi="Gotham Book"/>
        </w:rPr>
        <w:t xml:space="preserve"> chapters of this report, </w:t>
      </w:r>
      <w:r w:rsidRPr="004A3983">
        <w:rPr>
          <w:rFonts w:ascii="Gotham Book" w:hAnsi="Gotham Book"/>
        </w:rPr>
        <w:t>there are key steps that the NSW Police</w:t>
      </w:r>
      <w:r w:rsidR="00E042B8" w:rsidRPr="004A3983">
        <w:rPr>
          <w:rFonts w:ascii="Gotham Book" w:hAnsi="Gotham Book"/>
        </w:rPr>
        <w:t xml:space="preserve"> Force has not </w:t>
      </w:r>
      <w:r w:rsidR="005744E0" w:rsidRPr="004A3983">
        <w:rPr>
          <w:rFonts w:ascii="Gotham Book" w:hAnsi="Gotham Book"/>
        </w:rPr>
        <w:t xml:space="preserve">yet </w:t>
      </w:r>
      <w:r w:rsidR="00E042B8" w:rsidRPr="004A3983">
        <w:rPr>
          <w:rFonts w:ascii="Gotham Book" w:hAnsi="Gotham Book"/>
        </w:rPr>
        <w:t>taken to mitigate the risk</w:t>
      </w:r>
      <w:r w:rsidR="00EA2326" w:rsidRPr="004A3983">
        <w:rPr>
          <w:rFonts w:ascii="Gotham Book" w:hAnsi="Gotham Book"/>
        </w:rPr>
        <w:t xml:space="preserve"> of incorrect decisions being made in the implementation of the CPOR Act</w:t>
      </w:r>
      <w:r w:rsidRPr="004A3983">
        <w:rPr>
          <w:rFonts w:ascii="Gotham Book" w:hAnsi="Gotham Book"/>
        </w:rPr>
        <w:t>.</w:t>
      </w:r>
      <w:r w:rsidR="00912D05" w:rsidRPr="004A3983">
        <w:rPr>
          <w:rFonts w:ascii="Gotham Book" w:hAnsi="Gotham Book"/>
        </w:rPr>
        <w:t xml:space="preserve"> </w:t>
      </w:r>
      <w:r w:rsidR="009E0F95" w:rsidRPr="004A3983">
        <w:rPr>
          <w:rFonts w:ascii="Gotham Book" w:hAnsi="Gotham Book"/>
        </w:rPr>
        <w:t>For example,</w:t>
      </w:r>
      <w:r w:rsidRPr="004A3983">
        <w:rPr>
          <w:rFonts w:ascii="Gotham Book" w:hAnsi="Gotham Book"/>
        </w:rPr>
        <w:t xml:space="preserve"> the NSW Police Force has not implemented </w:t>
      </w:r>
      <w:r w:rsidR="009E0F95" w:rsidRPr="004A3983">
        <w:rPr>
          <w:rFonts w:ascii="Gotham Book" w:hAnsi="Gotham Book"/>
        </w:rPr>
        <w:t>a key recommendation</w:t>
      </w:r>
      <w:r w:rsidRPr="004A3983">
        <w:rPr>
          <w:rFonts w:ascii="Gotham Book" w:hAnsi="Gotham Book"/>
        </w:rPr>
        <w:t xml:space="preserve"> </w:t>
      </w:r>
      <w:r w:rsidR="00025C48" w:rsidRPr="004A3983">
        <w:rPr>
          <w:rFonts w:ascii="Gotham Book" w:hAnsi="Gotham Book"/>
        </w:rPr>
        <w:t xml:space="preserve">that the </w:t>
      </w:r>
      <w:r w:rsidR="003A006D" w:rsidRPr="004A3983">
        <w:rPr>
          <w:rFonts w:ascii="Gotham Book" w:hAnsi="Gotham Book"/>
        </w:rPr>
        <w:t>Workforce Intelligence Unit</w:t>
      </w:r>
      <w:r w:rsidR="00025C48" w:rsidRPr="004A3983">
        <w:rPr>
          <w:rFonts w:ascii="Gotham Book" w:hAnsi="Gotham Book"/>
        </w:rPr>
        <w:t xml:space="preserve"> in the NSW Police Force Human Resources Command</w:t>
      </w:r>
      <w:r w:rsidRPr="004A3983">
        <w:rPr>
          <w:rFonts w:ascii="Gotham Book" w:hAnsi="Gotham Book"/>
        </w:rPr>
        <w:t xml:space="preserve"> made </w:t>
      </w:r>
      <w:r w:rsidR="009E0F95" w:rsidRPr="004A3983">
        <w:rPr>
          <w:rFonts w:ascii="Gotham Book" w:hAnsi="Gotham Book"/>
        </w:rPr>
        <w:t>two years ago</w:t>
      </w:r>
      <w:r w:rsidRPr="004A3983">
        <w:rPr>
          <w:rFonts w:ascii="Gotham Book" w:hAnsi="Gotham Book"/>
        </w:rPr>
        <w:t xml:space="preserve">, about </w:t>
      </w:r>
      <w:r w:rsidR="00025C48" w:rsidRPr="004A3983">
        <w:rPr>
          <w:rFonts w:ascii="Gotham Book" w:hAnsi="Gotham Book"/>
        </w:rPr>
        <w:t>the need for dedicated legal support</w:t>
      </w:r>
      <w:r w:rsidR="00DE1BC2" w:rsidRPr="004A3983">
        <w:rPr>
          <w:rFonts w:ascii="Gotham Book" w:hAnsi="Gotham Book"/>
        </w:rPr>
        <w:t xml:space="preserve"> for the Registry</w:t>
      </w:r>
      <w:r w:rsidR="00025C48" w:rsidRPr="004A3983">
        <w:rPr>
          <w:rFonts w:ascii="Gotham Book" w:hAnsi="Gotham Book"/>
        </w:rPr>
        <w:t>.</w:t>
      </w:r>
      <w:r w:rsidR="00025C48" w:rsidRPr="004A3983">
        <w:rPr>
          <w:rStyle w:val="FootnoteReference"/>
          <w:rFonts w:ascii="Gotham Book" w:hAnsi="Gotham Book"/>
        </w:rPr>
        <w:footnoteReference w:id="144"/>
      </w:r>
    </w:p>
    <w:p w14:paraId="14955C12" w14:textId="6FEFCDDC" w:rsidR="002167FA" w:rsidRPr="004A3983" w:rsidRDefault="002167FA" w:rsidP="000B620D">
      <w:pPr>
        <w:spacing w:after="160"/>
        <w:ind w:right="-2"/>
        <w:rPr>
          <w:rFonts w:ascii="Gotham Book" w:hAnsi="Gotham Book"/>
        </w:rPr>
      </w:pPr>
      <w:r w:rsidRPr="004A3983">
        <w:rPr>
          <w:rFonts w:ascii="Gotham Book" w:hAnsi="Gotham Book"/>
        </w:rPr>
        <w:lastRenderedPageBreak/>
        <w:t xml:space="preserve">As the CPR case review </w:t>
      </w:r>
      <w:r w:rsidR="00243166" w:rsidRPr="004A3983">
        <w:rPr>
          <w:rFonts w:ascii="Gotham Book" w:hAnsi="Gotham Book"/>
        </w:rPr>
        <w:t xml:space="preserve">team </w:t>
      </w:r>
      <w:r w:rsidRPr="004A3983">
        <w:rPr>
          <w:rFonts w:ascii="Gotham Book" w:hAnsi="Gotham Book"/>
        </w:rPr>
        <w:t xml:space="preserve">itself made incorrect </w:t>
      </w:r>
      <w:r w:rsidR="005B6A2E" w:rsidRPr="004A3983">
        <w:rPr>
          <w:rFonts w:ascii="Gotham Book" w:hAnsi="Gotham Book"/>
        </w:rPr>
        <w:t>decisions about the application</w:t>
      </w:r>
      <w:r w:rsidRPr="004A3983">
        <w:rPr>
          <w:rFonts w:ascii="Gotham Book" w:hAnsi="Gotham Book"/>
        </w:rPr>
        <w:t xml:space="preserve"> of the CPOR Act, and as the</w:t>
      </w:r>
      <w:r w:rsidR="00F16C91" w:rsidRPr="004A3983">
        <w:rPr>
          <w:rFonts w:ascii="Gotham Book" w:hAnsi="Gotham Book"/>
        </w:rPr>
        <w:t>re are</w:t>
      </w:r>
      <w:r w:rsidRPr="004A3983">
        <w:rPr>
          <w:rFonts w:ascii="Gotham Book" w:hAnsi="Gotham Book"/>
        </w:rPr>
        <w:t xml:space="preserve"> systemic </w:t>
      </w:r>
      <w:r w:rsidR="00F16C91" w:rsidRPr="004A3983">
        <w:rPr>
          <w:rFonts w:ascii="Gotham Book" w:hAnsi="Gotham Book"/>
        </w:rPr>
        <w:t xml:space="preserve">factors which continue to create the risk of </w:t>
      </w:r>
      <w:r w:rsidRPr="004A3983">
        <w:rPr>
          <w:rFonts w:ascii="Gotham Book" w:hAnsi="Gotham Book"/>
        </w:rPr>
        <w:t>errors</w:t>
      </w:r>
      <w:r w:rsidR="00F16C91" w:rsidRPr="004A3983">
        <w:rPr>
          <w:rFonts w:ascii="Gotham Book" w:hAnsi="Gotham Book"/>
        </w:rPr>
        <w:t xml:space="preserve"> being made</w:t>
      </w:r>
      <w:r w:rsidRPr="004A3983">
        <w:rPr>
          <w:rFonts w:ascii="Gotham Book" w:hAnsi="Gotham Book"/>
        </w:rPr>
        <w:t xml:space="preserve"> in the</w:t>
      </w:r>
      <w:r w:rsidR="00F16C91" w:rsidRPr="004A3983">
        <w:rPr>
          <w:rFonts w:ascii="Gotham Book" w:hAnsi="Gotham Book"/>
        </w:rPr>
        <w:t xml:space="preserve"> administration of the</w:t>
      </w:r>
      <w:r w:rsidRPr="004A3983">
        <w:rPr>
          <w:rFonts w:ascii="Gotham Book" w:hAnsi="Gotham Book"/>
        </w:rPr>
        <w:t xml:space="preserve"> Register, the Commission </w:t>
      </w:r>
      <w:r w:rsidR="0071610B" w:rsidRPr="004A3983">
        <w:rPr>
          <w:rFonts w:ascii="Gotham Book" w:hAnsi="Gotham Book"/>
        </w:rPr>
        <w:t xml:space="preserve">does not </w:t>
      </w:r>
      <w:r w:rsidR="005B6A2E" w:rsidRPr="004A3983">
        <w:rPr>
          <w:rFonts w:ascii="Gotham Book" w:hAnsi="Gotham Book"/>
        </w:rPr>
        <w:t xml:space="preserve">consider </w:t>
      </w:r>
      <w:r w:rsidR="00E41780" w:rsidRPr="004A3983">
        <w:rPr>
          <w:rFonts w:ascii="Gotham Book" w:hAnsi="Gotham Book"/>
        </w:rPr>
        <w:t xml:space="preserve">it appropriate to limit its finding </w:t>
      </w:r>
      <w:r w:rsidR="00E91973" w:rsidRPr="004A3983">
        <w:rPr>
          <w:rFonts w:ascii="Gotham Book" w:hAnsi="Gotham Book"/>
        </w:rPr>
        <w:t>as to</w:t>
      </w:r>
      <w:r w:rsidR="00E41780" w:rsidRPr="004A3983">
        <w:rPr>
          <w:rFonts w:ascii="Gotham Book" w:hAnsi="Gotham Book"/>
        </w:rPr>
        <w:t xml:space="preserve"> time</w:t>
      </w:r>
      <w:r w:rsidR="00E91973" w:rsidRPr="004A3983">
        <w:rPr>
          <w:rFonts w:ascii="Gotham Book" w:hAnsi="Gotham Book"/>
        </w:rPr>
        <w:t>,</w:t>
      </w:r>
      <w:r w:rsidR="00E41780" w:rsidRPr="004A3983">
        <w:rPr>
          <w:rFonts w:ascii="Gotham Book" w:hAnsi="Gotham Book"/>
        </w:rPr>
        <w:t xml:space="preserve"> as suggested by the NSW Police Force</w:t>
      </w:r>
      <w:r w:rsidR="00F16C91" w:rsidRPr="004A3983">
        <w:rPr>
          <w:rFonts w:ascii="Gotham Book" w:hAnsi="Gotham Book"/>
        </w:rPr>
        <w:t>.</w:t>
      </w:r>
    </w:p>
    <w:p w14:paraId="145CFA56" w14:textId="7B7316F2" w:rsidR="00197B93" w:rsidRPr="004A3983" w:rsidRDefault="00197B93" w:rsidP="000B620D">
      <w:pPr>
        <w:spacing w:after="160"/>
        <w:ind w:right="-2"/>
        <w:rPr>
          <w:rFonts w:ascii="Gotham Book" w:hAnsi="Gotham Book"/>
        </w:rPr>
      </w:pPr>
      <w:r w:rsidRPr="004A3983">
        <w:rPr>
          <w:rFonts w:ascii="Gotham Book" w:hAnsi="Gotham Book"/>
        </w:rPr>
        <w:t>The NSW Police Force also</w:t>
      </w:r>
      <w:r w:rsidR="005C3149" w:rsidRPr="004A3983">
        <w:rPr>
          <w:rFonts w:ascii="Gotham Book" w:hAnsi="Gotham Book"/>
        </w:rPr>
        <w:t xml:space="preserve"> submitted that the </w:t>
      </w:r>
      <w:r w:rsidR="009B536C" w:rsidRPr="004A3983">
        <w:rPr>
          <w:rFonts w:ascii="Gotham Book" w:hAnsi="Gotham Book"/>
        </w:rPr>
        <w:t>finding</w:t>
      </w:r>
      <w:r w:rsidR="005C3149" w:rsidRPr="004A3983">
        <w:rPr>
          <w:rFonts w:ascii="Gotham Book" w:hAnsi="Gotham Book"/>
        </w:rPr>
        <w:t xml:space="preserve"> should includ</w:t>
      </w:r>
      <w:r w:rsidR="009B536C" w:rsidRPr="004A3983">
        <w:rPr>
          <w:rFonts w:ascii="Gotham Book" w:hAnsi="Gotham Book"/>
        </w:rPr>
        <w:t>e reference to the fact that it corrected the</w:t>
      </w:r>
      <w:r w:rsidR="005C3149" w:rsidRPr="004A3983">
        <w:rPr>
          <w:rFonts w:ascii="Gotham Book" w:hAnsi="Gotham Book"/>
        </w:rPr>
        <w:t xml:space="preserve"> incorrect decisions in relation to the Register when they were identified. The Commission has acknowledged this elsewhere in the chapter where appropriate. However, a statement to this effect</w:t>
      </w:r>
      <w:r w:rsidR="009B536C" w:rsidRPr="004A3983">
        <w:rPr>
          <w:rFonts w:ascii="Gotham Book" w:hAnsi="Gotham Book"/>
        </w:rPr>
        <w:t xml:space="preserve"> in the finding</w:t>
      </w:r>
      <w:r w:rsidR="005C3149" w:rsidRPr="004A3983">
        <w:rPr>
          <w:rFonts w:ascii="Gotham Book" w:hAnsi="Gotham Book"/>
        </w:rPr>
        <w:t xml:space="preserve"> is unnecessary</w:t>
      </w:r>
      <w:r w:rsidR="009B536C" w:rsidRPr="004A3983">
        <w:rPr>
          <w:rFonts w:ascii="Gotham Book" w:hAnsi="Gotham Book"/>
        </w:rPr>
        <w:t xml:space="preserve">, and </w:t>
      </w:r>
      <w:r w:rsidR="005C3149" w:rsidRPr="004A3983">
        <w:rPr>
          <w:rFonts w:ascii="Gotham Book" w:hAnsi="Gotham Book"/>
        </w:rPr>
        <w:t>may also be misleading</w:t>
      </w:r>
      <w:r w:rsidR="009B536C" w:rsidRPr="004A3983">
        <w:rPr>
          <w:rFonts w:ascii="Gotham Book" w:hAnsi="Gotham Book"/>
        </w:rPr>
        <w:t>. I</w:t>
      </w:r>
      <w:r w:rsidR="005C3149" w:rsidRPr="004A3983">
        <w:rPr>
          <w:rFonts w:ascii="Gotham Book" w:hAnsi="Gotham Book"/>
        </w:rPr>
        <w:t xml:space="preserve">n </w:t>
      </w:r>
      <w:r w:rsidR="009B536C" w:rsidRPr="004A3983">
        <w:rPr>
          <w:rFonts w:ascii="Gotham Book" w:hAnsi="Gotham Book"/>
        </w:rPr>
        <w:t>most</w:t>
      </w:r>
      <w:r w:rsidR="005C3149" w:rsidRPr="004A3983">
        <w:rPr>
          <w:rFonts w:ascii="Gotham Book" w:hAnsi="Gotham Book"/>
        </w:rPr>
        <w:t xml:space="preserve"> of the </w:t>
      </w:r>
      <w:r w:rsidR="009B536C" w:rsidRPr="004A3983">
        <w:rPr>
          <w:rFonts w:ascii="Gotham Book" w:hAnsi="Gotham Book"/>
        </w:rPr>
        <w:t>cases</w:t>
      </w:r>
      <w:r w:rsidR="005C3149" w:rsidRPr="004A3983">
        <w:rPr>
          <w:rFonts w:ascii="Gotham Book" w:hAnsi="Gotham Book"/>
        </w:rPr>
        <w:t xml:space="preserve"> </w:t>
      </w:r>
      <w:r w:rsidR="00DF40F4" w:rsidRPr="004A3983">
        <w:rPr>
          <w:rFonts w:ascii="Gotham Book" w:hAnsi="Gotham Book"/>
        </w:rPr>
        <w:t xml:space="preserve">we </w:t>
      </w:r>
      <w:r w:rsidR="005C3149" w:rsidRPr="004A3983">
        <w:rPr>
          <w:rFonts w:ascii="Gotham Book" w:hAnsi="Gotham Book"/>
        </w:rPr>
        <w:t xml:space="preserve">reviewed, it was only years after the incorrect decision was made that the NSW Police Force discovered and corrected it. Also, in many cases the NSW Police Force acted on its incorrect decisions, for example by requiring </w:t>
      </w:r>
      <w:r w:rsidR="009B536C" w:rsidRPr="004A3983">
        <w:rPr>
          <w:rFonts w:ascii="Gotham Book" w:hAnsi="Gotham Book"/>
        </w:rPr>
        <w:t xml:space="preserve">a </w:t>
      </w:r>
      <w:r w:rsidR="005C3149" w:rsidRPr="004A3983">
        <w:rPr>
          <w:rFonts w:ascii="Gotham Book" w:hAnsi="Gotham Book"/>
        </w:rPr>
        <w:t xml:space="preserve">person </w:t>
      </w:r>
      <w:r w:rsidR="009B536C" w:rsidRPr="004A3983">
        <w:rPr>
          <w:rFonts w:ascii="Gotham Book" w:hAnsi="Gotham Book"/>
        </w:rPr>
        <w:t xml:space="preserve">to </w:t>
      </w:r>
      <w:r w:rsidR="005C3149" w:rsidRPr="004A3983">
        <w:rPr>
          <w:rFonts w:ascii="Gotham Book" w:hAnsi="Gotham Book"/>
        </w:rPr>
        <w:t xml:space="preserve">report their information to police, prior to the decision being </w:t>
      </w:r>
      <w:r w:rsidR="009B536C" w:rsidRPr="004A3983">
        <w:rPr>
          <w:rFonts w:ascii="Gotham Book" w:hAnsi="Gotham Book"/>
        </w:rPr>
        <w:t>identified as incorrect.</w:t>
      </w:r>
      <w:r w:rsidR="005C3149" w:rsidRPr="004A3983">
        <w:rPr>
          <w:rFonts w:ascii="Gotham Book" w:hAnsi="Gotham Book"/>
        </w:rPr>
        <w:t xml:space="preserve"> </w:t>
      </w:r>
    </w:p>
    <w:p w14:paraId="4D257C2A" w14:textId="7781FF35" w:rsidR="002167FA" w:rsidRPr="004A3983" w:rsidRDefault="002167FA" w:rsidP="000B620D">
      <w:pPr>
        <w:spacing w:after="160"/>
        <w:ind w:right="-2"/>
        <w:rPr>
          <w:rFonts w:ascii="Gotham Book" w:hAnsi="Gotham Book"/>
        </w:rPr>
      </w:pPr>
      <w:r w:rsidRPr="004A3983">
        <w:rPr>
          <w:rFonts w:ascii="Gotham Book" w:hAnsi="Gotham Book"/>
        </w:rPr>
        <w:t xml:space="preserve">The Commission emphasises that responsibility for the </w:t>
      </w:r>
      <w:r w:rsidR="00450B7D" w:rsidRPr="004A3983">
        <w:rPr>
          <w:rFonts w:ascii="Gotham Book" w:hAnsi="Gotham Book"/>
        </w:rPr>
        <w:t>errors</w:t>
      </w:r>
      <w:r w:rsidRPr="004A3983">
        <w:rPr>
          <w:rFonts w:ascii="Gotham Book" w:hAnsi="Gotham Book"/>
        </w:rPr>
        <w:t xml:space="preserve"> in relation to the Register lies with the NSW Police Force as an agency, </w:t>
      </w:r>
      <w:r w:rsidR="0071610B" w:rsidRPr="004A3983">
        <w:rPr>
          <w:rFonts w:ascii="Gotham Book" w:hAnsi="Gotham Book"/>
        </w:rPr>
        <w:t>rather than the Registry or the individual officers working in that unit</w:t>
      </w:r>
      <w:r w:rsidRPr="004A3983">
        <w:rPr>
          <w:rFonts w:ascii="Gotham Book" w:hAnsi="Gotham Book"/>
        </w:rPr>
        <w:t>. There have been multiple systemic issues that have contributed to the</w:t>
      </w:r>
      <w:r w:rsidR="00450B7D" w:rsidRPr="004A3983">
        <w:rPr>
          <w:rFonts w:ascii="Gotham Book" w:hAnsi="Gotham Book"/>
        </w:rPr>
        <w:t>se</w:t>
      </w:r>
      <w:r w:rsidRPr="004A3983">
        <w:rPr>
          <w:rFonts w:ascii="Gotham Book" w:hAnsi="Gotham Book"/>
        </w:rPr>
        <w:t xml:space="preserve"> </w:t>
      </w:r>
      <w:r w:rsidR="00450B7D" w:rsidRPr="004A3983">
        <w:rPr>
          <w:rFonts w:ascii="Gotham Book" w:hAnsi="Gotham Book"/>
        </w:rPr>
        <w:t xml:space="preserve">errors </w:t>
      </w:r>
      <w:r w:rsidRPr="004A3983">
        <w:rPr>
          <w:rFonts w:ascii="Gotham Book" w:hAnsi="Gotham Book"/>
        </w:rPr>
        <w:t>which have been outside the control of the Registry.</w:t>
      </w:r>
    </w:p>
    <w:p w14:paraId="24E542DB" w14:textId="40FD2D8E" w:rsidR="005A4BD2" w:rsidRPr="004A3983" w:rsidRDefault="00867E04" w:rsidP="000B620D">
      <w:pPr>
        <w:pStyle w:val="FindingsHeading"/>
        <w:ind w:right="-2"/>
        <w:rPr>
          <w:b w:val="0"/>
        </w:rPr>
      </w:pPr>
      <w:bookmarkStart w:id="213" w:name="_Toc22277093"/>
      <w:r w:rsidRPr="004A3983">
        <w:t>Since 2002 t</w:t>
      </w:r>
      <w:r w:rsidR="002167FA" w:rsidRPr="004A3983">
        <w:t>he NSW Police Force has</w:t>
      </w:r>
      <w:r w:rsidR="00A93ED0" w:rsidRPr="004A3983">
        <w:t xml:space="preserve"> made over 700 incorrect decisions about the administration of the Child Protection Register, including</w:t>
      </w:r>
      <w:r w:rsidR="005A4BD2" w:rsidRPr="004A3983">
        <w:t>:</w:t>
      </w:r>
      <w:bookmarkEnd w:id="213"/>
    </w:p>
    <w:p w14:paraId="6BAEE8B6" w14:textId="28B2634D" w:rsidR="005A4BD2" w:rsidRPr="004A3983" w:rsidRDefault="005A4BD2" w:rsidP="00677139">
      <w:pPr>
        <w:pStyle w:val="FindingsHeading"/>
        <w:numPr>
          <w:ilvl w:val="0"/>
          <w:numId w:val="20"/>
        </w:numPr>
        <w:spacing w:before="0" w:after="160" w:line="259" w:lineRule="auto"/>
        <w:rPr>
          <w:b w:val="0"/>
        </w:rPr>
      </w:pPr>
      <w:bookmarkStart w:id="214" w:name="_Toc22277094"/>
      <w:r w:rsidRPr="004A3983">
        <w:t>incorrect decisions that 96 people were not ‘registrable persons’ under the CPOR Act</w:t>
      </w:r>
      <w:r w:rsidR="004B5C44" w:rsidRPr="004A3983">
        <w:t>;</w:t>
      </w:r>
      <w:bookmarkEnd w:id="214"/>
      <w:r w:rsidRPr="004A3983">
        <w:t xml:space="preserve"> </w:t>
      </w:r>
    </w:p>
    <w:p w14:paraId="41BBA983" w14:textId="77777777" w:rsidR="00011186" w:rsidRPr="004A3983" w:rsidRDefault="005A4BD2" w:rsidP="00677139">
      <w:pPr>
        <w:pStyle w:val="FindingsHeading"/>
        <w:numPr>
          <w:ilvl w:val="0"/>
          <w:numId w:val="20"/>
        </w:numPr>
        <w:spacing w:before="0" w:after="160" w:line="259" w:lineRule="auto"/>
        <w:rPr>
          <w:b w:val="0"/>
        </w:rPr>
      </w:pPr>
      <w:bookmarkStart w:id="215" w:name="_Toc22277095"/>
      <w:r w:rsidRPr="004A3983">
        <w:t xml:space="preserve">incorrect decisions that 43 people were </w:t>
      </w:r>
      <w:r w:rsidR="004609A5" w:rsidRPr="004A3983">
        <w:t xml:space="preserve">‘registrable persons’ </w:t>
      </w:r>
      <w:r w:rsidR="007A6320" w:rsidRPr="004A3983">
        <w:t>under the CPOR Act</w:t>
      </w:r>
      <w:r w:rsidR="0079360A" w:rsidRPr="004A3983">
        <w:t>;</w:t>
      </w:r>
      <w:bookmarkEnd w:id="215"/>
    </w:p>
    <w:p w14:paraId="63555EA7" w14:textId="5A1EDB00" w:rsidR="00011186" w:rsidRPr="004A3983" w:rsidRDefault="00A72524" w:rsidP="00677139">
      <w:pPr>
        <w:pStyle w:val="FindingsHeading"/>
        <w:numPr>
          <w:ilvl w:val="0"/>
          <w:numId w:val="20"/>
        </w:numPr>
        <w:spacing w:before="0" w:after="160" w:line="259" w:lineRule="auto"/>
        <w:rPr>
          <w:b w:val="0"/>
        </w:rPr>
      </w:pPr>
      <w:bookmarkStart w:id="216" w:name="_Toc22277096"/>
      <w:r w:rsidRPr="004A3983">
        <w:t>incorrect</w:t>
      </w:r>
      <w:r w:rsidR="00E5780B" w:rsidRPr="004A3983">
        <w:t>ly calculating</w:t>
      </w:r>
      <w:r w:rsidR="004609A5" w:rsidRPr="004A3983">
        <w:t xml:space="preserve"> the reporting periods of 485 registrable persons </w:t>
      </w:r>
      <w:r w:rsidR="004609A5" w:rsidRPr="004A3983">
        <w:rPr>
          <w:rFonts w:ascii="Gotham Book" w:hAnsi="Gotham Book"/>
        </w:rPr>
        <w:t xml:space="preserve">as being shorter than </w:t>
      </w:r>
      <w:r w:rsidR="0026646E" w:rsidRPr="004A3983">
        <w:rPr>
          <w:rFonts w:ascii="Gotham Book" w:hAnsi="Gotham Book"/>
        </w:rPr>
        <w:t>the periods required by</w:t>
      </w:r>
      <w:r w:rsidR="004609A5" w:rsidRPr="004A3983">
        <w:rPr>
          <w:rFonts w:ascii="Gotham Book" w:hAnsi="Gotham Book"/>
        </w:rPr>
        <w:t xml:space="preserve"> the CPOR Act</w:t>
      </w:r>
      <w:r w:rsidR="0079360A" w:rsidRPr="004A3983">
        <w:rPr>
          <w:rFonts w:ascii="Gotham Book" w:hAnsi="Gotham Book"/>
        </w:rPr>
        <w:t>,</w:t>
      </w:r>
      <w:r w:rsidR="004609A5" w:rsidRPr="004A3983">
        <w:rPr>
          <w:rFonts w:ascii="Gotham Book" w:hAnsi="Gotham Book"/>
        </w:rPr>
        <w:t xml:space="preserve"> and</w:t>
      </w:r>
      <w:bookmarkEnd w:id="216"/>
    </w:p>
    <w:p w14:paraId="5BC9534F" w14:textId="3119CBCF" w:rsidR="004609A5" w:rsidRPr="004A3983" w:rsidRDefault="004609A5" w:rsidP="00677139">
      <w:pPr>
        <w:pStyle w:val="FindingsHeading"/>
        <w:numPr>
          <w:ilvl w:val="0"/>
          <w:numId w:val="20"/>
        </w:numPr>
        <w:spacing w:before="0" w:after="160" w:line="259" w:lineRule="auto"/>
        <w:rPr>
          <w:b w:val="0"/>
        </w:rPr>
      </w:pPr>
      <w:bookmarkStart w:id="217" w:name="_Toc22277097"/>
      <w:r w:rsidRPr="004A3983">
        <w:t xml:space="preserve">incorrectly </w:t>
      </w:r>
      <w:r w:rsidR="00E5780B" w:rsidRPr="004A3983">
        <w:rPr>
          <w:rFonts w:ascii="Gotham Book" w:hAnsi="Gotham Book"/>
        </w:rPr>
        <w:t>calculating</w:t>
      </w:r>
      <w:r w:rsidRPr="004A3983">
        <w:rPr>
          <w:rFonts w:ascii="Gotham Book" w:hAnsi="Gotham Book"/>
        </w:rPr>
        <w:t xml:space="preserve"> the reporting periods of 144 registrable persons as being longer than </w:t>
      </w:r>
      <w:r w:rsidR="0026646E" w:rsidRPr="004A3983">
        <w:rPr>
          <w:rFonts w:ascii="Gotham Book" w:hAnsi="Gotham Book"/>
        </w:rPr>
        <w:t>the periods required by</w:t>
      </w:r>
      <w:r w:rsidRPr="004A3983">
        <w:rPr>
          <w:rFonts w:ascii="Gotham Book" w:hAnsi="Gotham Book"/>
        </w:rPr>
        <w:t xml:space="preserve"> the CPOR Act.</w:t>
      </w:r>
      <w:bookmarkEnd w:id="217"/>
    </w:p>
    <w:p w14:paraId="22A8E6E5" w14:textId="309C4EFC" w:rsidR="00F511C1" w:rsidRPr="004A3983" w:rsidRDefault="004A3CC5" w:rsidP="00496D4B">
      <w:pPr>
        <w:pStyle w:val="FindingsHeading"/>
        <w:numPr>
          <w:ilvl w:val="0"/>
          <w:numId w:val="0"/>
        </w:numPr>
        <w:spacing w:before="0" w:after="160" w:line="259" w:lineRule="auto"/>
        <w:rPr>
          <w:b w:val="0"/>
        </w:rPr>
      </w:pPr>
      <w:bookmarkStart w:id="218" w:name="_Toc22277098"/>
      <w:r w:rsidRPr="004A3983">
        <w:t xml:space="preserve">These </w:t>
      </w:r>
      <w:r w:rsidR="005114DA" w:rsidRPr="004A3983">
        <w:t xml:space="preserve">incorrect </w:t>
      </w:r>
      <w:r w:rsidRPr="004A3983">
        <w:t xml:space="preserve">decisions </w:t>
      </w:r>
      <w:r w:rsidR="00A72524" w:rsidRPr="004A3983">
        <w:t>arose, wholly or in par</w:t>
      </w:r>
      <w:r w:rsidR="001F11A1" w:rsidRPr="004A3983">
        <w:t>t, from mistakes of law or fact</w:t>
      </w:r>
      <w:r w:rsidR="002F73AF" w:rsidRPr="004A3983">
        <w:t>.</w:t>
      </w:r>
      <w:bookmarkEnd w:id="218"/>
      <w:r w:rsidR="00F6207A" w:rsidRPr="004A3983">
        <w:t xml:space="preserve"> </w:t>
      </w:r>
    </w:p>
    <w:p w14:paraId="6FE44BCB" w14:textId="77777777" w:rsidR="004609A5" w:rsidRPr="004A3983" w:rsidRDefault="004609A5" w:rsidP="004609A5"/>
    <w:p w14:paraId="18DAA46D" w14:textId="2A7E412F" w:rsidR="00E14CEC" w:rsidRPr="004A3983" w:rsidRDefault="00ED506A" w:rsidP="000B620D">
      <w:pPr>
        <w:pStyle w:val="Heading3"/>
        <w:spacing w:after="160"/>
        <w:ind w:left="709" w:right="-2" w:hanging="709"/>
      </w:pPr>
      <w:bookmarkStart w:id="219" w:name="_Toc22627764"/>
      <w:bookmarkStart w:id="220" w:name="_Toc9428368"/>
      <w:bookmarkStart w:id="221" w:name="_Toc12020320"/>
      <w:bookmarkStart w:id="222" w:name="_Toc14790485"/>
      <w:bookmarkStart w:id="223" w:name="_Toc15478368"/>
      <w:r w:rsidRPr="004A3983">
        <w:t xml:space="preserve">Unlawful </w:t>
      </w:r>
      <w:r w:rsidR="00705D80" w:rsidRPr="004A3983">
        <w:t>or</w:t>
      </w:r>
      <w:r w:rsidR="00934927" w:rsidRPr="004A3983">
        <w:t xml:space="preserve"> un</w:t>
      </w:r>
      <w:r w:rsidR="00610B49" w:rsidRPr="004A3983">
        <w:t>just actions taken on the basis of the incorrect information in the Register</w:t>
      </w:r>
      <w:bookmarkEnd w:id="219"/>
      <w:r w:rsidR="007C1FA1" w:rsidRPr="004A3983">
        <w:t xml:space="preserve"> </w:t>
      </w:r>
      <w:bookmarkEnd w:id="220"/>
      <w:bookmarkEnd w:id="221"/>
      <w:bookmarkEnd w:id="222"/>
      <w:bookmarkEnd w:id="223"/>
    </w:p>
    <w:p w14:paraId="4B7BA920" w14:textId="6D3D3122" w:rsidR="00E14CEC" w:rsidRPr="004A3983" w:rsidRDefault="00E14CEC" w:rsidP="000B620D">
      <w:pPr>
        <w:spacing w:after="160"/>
        <w:ind w:right="-2"/>
        <w:rPr>
          <w:rFonts w:ascii="Gotham Book" w:hAnsi="Gotham Book"/>
        </w:rPr>
      </w:pPr>
      <w:r w:rsidRPr="004A3983">
        <w:rPr>
          <w:rFonts w:ascii="Gotham Book" w:hAnsi="Gotham Book"/>
        </w:rPr>
        <w:t>The Register cases reviewed by the Commission establish</w:t>
      </w:r>
      <w:r w:rsidR="0051434B" w:rsidRPr="004A3983">
        <w:rPr>
          <w:rFonts w:ascii="Gotham Book" w:hAnsi="Gotham Book"/>
        </w:rPr>
        <w:t xml:space="preserve"> that the NSW Police Force took actions</w:t>
      </w:r>
      <w:r w:rsidRPr="004A3983">
        <w:rPr>
          <w:rFonts w:ascii="Gotham Book" w:hAnsi="Gotham Book"/>
        </w:rPr>
        <w:t xml:space="preserve"> on the basis of incorrec</w:t>
      </w:r>
      <w:r w:rsidR="001A7151" w:rsidRPr="004A3983">
        <w:rPr>
          <w:rFonts w:ascii="Gotham Book" w:hAnsi="Gotham Book"/>
        </w:rPr>
        <w:t xml:space="preserve">t information in the Register </w:t>
      </w:r>
      <w:r w:rsidR="005A5B6F" w:rsidRPr="004A3983">
        <w:rPr>
          <w:rFonts w:ascii="Gotham Book" w:hAnsi="Gotham Book"/>
        </w:rPr>
        <w:t>about</w:t>
      </w:r>
      <w:r w:rsidR="00FA1415" w:rsidRPr="004A3983">
        <w:rPr>
          <w:rFonts w:ascii="Gotham Book" w:hAnsi="Gotham Book"/>
        </w:rPr>
        <w:t xml:space="preserve"> persons</w:t>
      </w:r>
      <w:r w:rsidR="005A5B6F" w:rsidRPr="004A3983">
        <w:rPr>
          <w:rFonts w:ascii="Gotham Book" w:hAnsi="Gotham Book"/>
        </w:rPr>
        <w:t>’</w:t>
      </w:r>
      <w:r w:rsidR="0051434B" w:rsidRPr="004A3983">
        <w:rPr>
          <w:rFonts w:ascii="Gotham Book" w:hAnsi="Gotham Book"/>
        </w:rPr>
        <w:t xml:space="preserve"> reporting obligations. </w:t>
      </w:r>
      <w:r w:rsidR="005E7FAA" w:rsidRPr="004A3983">
        <w:rPr>
          <w:rFonts w:ascii="Gotham Book" w:hAnsi="Gotham Book"/>
        </w:rPr>
        <w:t>These actions included:</w:t>
      </w:r>
    </w:p>
    <w:p w14:paraId="28E770C9" w14:textId="3E8C96F0" w:rsidR="005E7FAA" w:rsidRPr="004A3983" w:rsidRDefault="005E7FAA" w:rsidP="00864C5D">
      <w:pPr>
        <w:pStyle w:val="ListBullet"/>
      </w:pPr>
      <w:r w:rsidRPr="004A3983">
        <w:t>unlawfully requiring persons to report their personal information</w:t>
      </w:r>
      <w:r w:rsidR="00D74FB0" w:rsidRPr="004A3983">
        <w:t xml:space="preserve"> to police</w:t>
      </w:r>
      <w:r w:rsidRPr="004A3983">
        <w:t xml:space="preserve"> for a number of years;</w:t>
      </w:r>
    </w:p>
    <w:p w14:paraId="51DEA27D" w14:textId="4E7136D6" w:rsidR="005E7FAA" w:rsidRPr="004A3983" w:rsidRDefault="005E7FAA" w:rsidP="00864C5D">
      <w:pPr>
        <w:pStyle w:val="ListBullet"/>
      </w:pPr>
      <w:r w:rsidRPr="004A3983">
        <w:t>unlawfully inspecting</w:t>
      </w:r>
      <w:r w:rsidR="002F451D" w:rsidRPr="004A3983">
        <w:t xml:space="preserve"> </w:t>
      </w:r>
      <w:r w:rsidRPr="004A3983">
        <w:t>pe</w:t>
      </w:r>
      <w:r w:rsidR="00C43BBA" w:rsidRPr="004A3983">
        <w:t>rson</w:t>
      </w:r>
      <w:r w:rsidRPr="004A3983">
        <w:t>s</w:t>
      </w:r>
      <w:r w:rsidR="002F451D" w:rsidRPr="004A3983">
        <w:t>’</w:t>
      </w:r>
      <w:r w:rsidRPr="004A3983">
        <w:t xml:space="preserve"> homes to verify their personal information, and</w:t>
      </w:r>
    </w:p>
    <w:p w14:paraId="650C7C96" w14:textId="397A93BF" w:rsidR="005E7FAA" w:rsidRPr="004A3983" w:rsidRDefault="005E7FAA" w:rsidP="00864C5D">
      <w:pPr>
        <w:pStyle w:val="ListBullet"/>
      </w:pPr>
      <w:r w:rsidRPr="004A3983">
        <w:lastRenderedPageBreak/>
        <w:t xml:space="preserve">charging and arresting persons for failing to comply with reporting obligations under the CPOR Act, when in fact those obligations did not apply to them at the relevant time. </w:t>
      </w:r>
    </w:p>
    <w:p w14:paraId="722C0D82" w14:textId="247B3F85" w:rsidR="00DC0B18" w:rsidRPr="004A3983" w:rsidRDefault="00DC0B18" w:rsidP="000B620D">
      <w:pPr>
        <w:spacing w:after="160"/>
        <w:ind w:right="-2"/>
        <w:rPr>
          <w:rFonts w:ascii="Gotham Book" w:hAnsi="Gotham Book"/>
        </w:rPr>
      </w:pPr>
      <w:r w:rsidRPr="004A3983">
        <w:rPr>
          <w:rFonts w:ascii="Gotham Book" w:hAnsi="Gotham Book"/>
        </w:rPr>
        <w:t xml:space="preserve">The NSW Police Force submitted that </w:t>
      </w:r>
      <w:r w:rsidR="00222CF7" w:rsidRPr="004A3983">
        <w:rPr>
          <w:rFonts w:ascii="Gotham Book" w:hAnsi="Gotham Book"/>
        </w:rPr>
        <w:t>the</w:t>
      </w:r>
      <w:r w:rsidRPr="004A3983">
        <w:rPr>
          <w:rFonts w:ascii="Gotham Book" w:hAnsi="Gotham Book"/>
        </w:rPr>
        <w:t xml:space="preserve"> conduct </w:t>
      </w:r>
      <w:r w:rsidR="00BD3372" w:rsidRPr="004A3983">
        <w:rPr>
          <w:rFonts w:ascii="Gotham Book" w:hAnsi="Gotham Book"/>
        </w:rPr>
        <w:t xml:space="preserve">referred to in the first dot point </w:t>
      </w:r>
      <w:r w:rsidRPr="004A3983">
        <w:rPr>
          <w:rFonts w:ascii="Gotham Book" w:hAnsi="Gotham Book"/>
        </w:rPr>
        <w:t xml:space="preserve">would most accurately be described as ‘the making of incorrect representations that persons were required by the CPOR Act to comply with reporting obligations under the Act’. The Commission does not agree. Officers in the NSW Police Force actively required members of the public to report their personal information to police, and to report any changes to this information, where there was no lawful basis for those officers to do so. </w:t>
      </w:r>
      <w:r w:rsidR="009544DB" w:rsidRPr="004A3983">
        <w:rPr>
          <w:rFonts w:ascii="Gotham Book" w:hAnsi="Gotham Book"/>
        </w:rPr>
        <w:t>The NSW Police Force did not just make representations about reporting requ</w:t>
      </w:r>
      <w:r w:rsidR="00731781" w:rsidRPr="004A3983">
        <w:rPr>
          <w:rFonts w:ascii="Gotham Book" w:hAnsi="Gotham Book"/>
        </w:rPr>
        <w:t>irements which were unlawful, it</w:t>
      </w:r>
      <w:r w:rsidR="009544DB" w:rsidRPr="004A3983">
        <w:rPr>
          <w:rFonts w:ascii="Gotham Book" w:hAnsi="Gotham Book"/>
        </w:rPr>
        <w:t xml:space="preserve"> took steps to </w:t>
      </w:r>
      <w:r w:rsidR="002A2701" w:rsidRPr="004A3983">
        <w:rPr>
          <w:rFonts w:ascii="Gotham Book" w:hAnsi="Gotham Book"/>
        </w:rPr>
        <w:t xml:space="preserve">enforce </w:t>
      </w:r>
      <w:r w:rsidR="007B60C6" w:rsidRPr="004A3983">
        <w:rPr>
          <w:rFonts w:ascii="Gotham Book" w:hAnsi="Gotham Book"/>
        </w:rPr>
        <w:t xml:space="preserve">those </w:t>
      </w:r>
      <w:r w:rsidR="009544DB" w:rsidRPr="004A3983">
        <w:rPr>
          <w:rFonts w:ascii="Gotham Book" w:hAnsi="Gotham Book"/>
        </w:rPr>
        <w:t>requirements.</w:t>
      </w:r>
    </w:p>
    <w:p w14:paraId="6035C78E" w14:textId="31074D9D" w:rsidR="00E14CEC" w:rsidRPr="004A3983" w:rsidRDefault="00E14CEC" w:rsidP="000B620D">
      <w:pPr>
        <w:spacing w:after="160"/>
        <w:ind w:right="-2"/>
        <w:rPr>
          <w:rFonts w:ascii="Gotham Book" w:hAnsi="Gotham Book"/>
        </w:rPr>
      </w:pPr>
      <w:r w:rsidRPr="004A3983">
        <w:rPr>
          <w:rFonts w:ascii="Gotham Book" w:hAnsi="Gotham Book"/>
        </w:rPr>
        <w:t xml:space="preserve">The Commission </w:t>
      </w:r>
      <w:r w:rsidR="00DC0B18" w:rsidRPr="004A3983">
        <w:rPr>
          <w:rFonts w:ascii="Gotham Book" w:hAnsi="Gotham Book"/>
        </w:rPr>
        <w:t xml:space="preserve">emphasises that </w:t>
      </w:r>
      <w:r w:rsidRPr="004A3983">
        <w:rPr>
          <w:rFonts w:ascii="Gotham Book" w:hAnsi="Gotham Book"/>
        </w:rPr>
        <w:t xml:space="preserve">responsibility for </w:t>
      </w:r>
      <w:r w:rsidR="00DC0B18" w:rsidRPr="004A3983">
        <w:rPr>
          <w:rFonts w:ascii="Gotham Book" w:hAnsi="Gotham Book"/>
        </w:rPr>
        <w:t>all the</w:t>
      </w:r>
      <w:r w:rsidRPr="004A3983">
        <w:rPr>
          <w:rFonts w:ascii="Gotham Book" w:hAnsi="Gotham Book"/>
        </w:rPr>
        <w:t xml:space="preserve"> actions </w:t>
      </w:r>
      <w:r w:rsidR="00DC0B18" w:rsidRPr="004A3983">
        <w:rPr>
          <w:rFonts w:ascii="Gotham Book" w:hAnsi="Gotham Book"/>
        </w:rPr>
        <w:t xml:space="preserve">listed above </w:t>
      </w:r>
      <w:r w:rsidRPr="004A3983">
        <w:rPr>
          <w:rFonts w:ascii="Gotham Book" w:hAnsi="Gotham Book"/>
        </w:rPr>
        <w:t xml:space="preserve">lies with the NSW Police Force as an agency, rather than the individual officers who executed these actions. These officers acted reasonably in relying on the Register information recorded in COPS. It was the failure by the NSW Police Force to provide for adequate quality control and assurance processes to ensure the accuracy of this Register information that led to these officers engaging in </w:t>
      </w:r>
      <w:r w:rsidR="00AF73B4" w:rsidRPr="004A3983">
        <w:rPr>
          <w:rFonts w:ascii="Gotham Book" w:hAnsi="Gotham Book"/>
        </w:rPr>
        <w:t>this conduct</w:t>
      </w:r>
      <w:r w:rsidRPr="004A3983">
        <w:rPr>
          <w:rFonts w:ascii="Gotham Book" w:hAnsi="Gotham Book"/>
        </w:rPr>
        <w:t>.</w:t>
      </w:r>
      <w:r w:rsidR="00E33B5C" w:rsidRPr="004A3983">
        <w:rPr>
          <w:rFonts w:ascii="Gotham Book" w:hAnsi="Gotham Book"/>
        </w:rPr>
        <w:t xml:space="preserve"> T</w:t>
      </w:r>
      <w:r w:rsidRPr="004A3983">
        <w:rPr>
          <w:rFonts w:ascii="Gotham Book" w:hAnsi="Gotham Book"/>
        </w:rPr>
        <w:t xml:space="preserve">he lack of adequate quality control </w:t>
      </w:r>
      <w:r w:rsidR="00970F6F" w:rsidRPr="004A3983">
        <w:rPr>
          <w:rFonts w:ascii="Gotham Book" w:hAnsi="Gotham Book"/>
        </w:rPr>
        <w:t>mostly resulted from</w:t>
      </w:r>
      <w:r w:rsidRPr="004A3983">
        <w:rPr>
          <w:rFonts w:ascii="Gotham Book" w:hAnsi="Gotham Book"/>
        </w:rPr>
        <w:t xml:space="preserve"> the inadequate staffing of the Registry.</w:t>
      </w:r>
      <w:r w:rsidR="00E33B5C" w:rsidRPr="004A3983">
        <w:rPr>
          <w:rStyle w:val="FootnoteReference"/>
          <w:rFonts w:ascii="Gotham Book" w:hAnsi="Gotham Book"/>
        </w:rPr>
        <w:footnoteReference w:id="145"/>
      </w:r>
    </w:p>
    <w:p w14:paraId="04280E44" w14:textId="6F3599AA" w:rsidR="00F739C2" w:rsidRPr="004A3983" w:rsidRDefault="00F40DE5" w:rsidP="00D65072">
      <w:pPr>
        <w:spacing w:after="160"/>
        <w:ind w:right="-2"/>
        <w:rPr>
          <w:rFonts w:ascii="Gotham Book" w:hAnsi="Gotham Book"/>
        </w:rPr>
      </w:pPr>
      <w:r w:rsidRPr="004A3983">
        <w:rPr>
          <w:rFonts w:ascii="Gotham Book" w:hAnsi="Gotham Book"/>
        </w:rPr>
        <w:t>The number</w:t>
      </w:r>
      <w:r w:rsidR="00D65072" w:rsidRPr="004A3983">
        <w:rPr>
          <w:rFonts w:ascii="Gotham Book" w:hAnsi="Gotham Book"/>
        </w:rPr>
        <w:t xml:space="preserve"> of people who have been subjected to unlawful reporting requirements, unlawful home inspections and/or wrongful charges for off</w:t>
      </w:r>
      <w:r w:rsidR="00571A41" w:rsidRPr="004A3983">
        <w:rPr>
          <w:rFonts w:ascii="Gotham Book" w:hAnsi="Gotham Book"/>
        </w:rPr>
        <w:t>ences under the CPOR Act</w:t>
      </w:r>
      <w:r w:rsidR="00B4057A" w:rsidRPr="004A3983">
        <w:rPr>
          <w:rFonts w:ascii="Gotham Book" w:hAnsi="Gotham Book"/>
        </w:rPr>
        <w:t xml:space="preserve"> by the NSW Police Force</w:t>
      </w:r>
      <w:r w:rsidR="00571A41" w:rsidRPr="004A3983">
        <w:rPr>
          <w:rFonts w:ascii="Gotham Book" w:hAnsi="Gotham Book"/>
        </w:rPr>
        <w:t xml:space="preserve"> </w:t>
      </w:r>
      <w:r w:rsidR="00527CFC" w:rsidRPr="004A3983">
        <w:rPr>
          <w:rFonts w:ascii="Gotham Book" w:hAnsi="Gotham Book"/>
        </w:rPr>
        <w:t>is</w:t>
      </w:r>
      <w:r w:rsidR="00CE155C" w:rsidRPr="004A3983">
        <w:rPr>
          <w:rFonts w:ascii="Gotham Book" w:hAnsi="Gotham Book"/>
        </w:rPr>
        <w:t xml:space="preserve"> not </w:t>
      </w:r>
      <w:r w:rsidR="00D65072" w:rsidRPr="004A3983">
        <w:rPr>
          <w:rFonts w:ascii="Gotham Book" w:hAnsi="Gotham Book"/>
        </w:rPr>
        <w:t>known.</w:t>
      </w:r>
      <w:r w:rsidR="00EC54B6" w:rsidRPr="004A3983">
        <w:rPr>
          <w:rFonts w:ascii="Gotham Book" w:hAnsi="Gotham Book"/>
        </w:rPr>
        <w:t xml:space="preserve"> The CPR case review does not appear to have </w:t>
      </w:r>
      <w:r w:rsidR="00D65072" w:rsidRPr="004A3983">
        <w:rPr>
          <w:rFonts w:ascii="Gotham Book" w:hAnsi="Gotham Book"/>
        </w:rPr>
        <w:t>record</w:t>
      </w:r>
      <w:r w:rsidR="00EC54B6" w:rsidRPr="004A3983">
        <w:rPr>
          <w:rFonts w:ascii="Gotham Book" w:hAnsi="Gotham Book"/>
        </w:rPr>
        <w:t>ed</w:t>
      </w:r>
      <w:r w:rsidR="00D65072" w:rsidRPr="004A3983">
        <w:rPr>
          <w:rFonts w:ascii="Gotham Book" w:hAnsi="Gotham Book"/>
        </w:rPr>
        <w:t xml:space="preserve"> </w:t>
      </w:r>
      <w:r w:rsidR="00EC54B6" w:rsidRPr="004A3983">
        <w:rPr>
          <w:rFonts w:ascii="Gotham Book" w:hAnsi="Gotham Book"/>
        </w:rPr>
        <w:t>information</w:t>
      </w:r>
      <w:r w:rsidR="00D65072" w:rsidRPr="004A3983">
        <w:rPr>
          <w:rFonts w:ascii="Gotham Book" w:hAnsi="Gotham Book"/>
        </w:rPr>
        <w:t xml:space="preserve"> about actions the NSW Police Force had taken on the basis of the incorrect </w:t>
      </w:r>
      <w:r w:rsidR="00EC54B6" w:rsidRPr="004A3983">
        <w:rPr>
          <w:rFonts w:ascii="Gotham Book" w:hAnsi="Gotham Book"/>
        </w:rPr>
        <w:t xml:space="preserve">Register </w:t>
      </w:r>
      <w:r w:rsidR="00D65072" w:rsidRPr="004A3983">
        <w:rPr>
          <w:rFonts w:ascii="Gotham Book" w:hAnsi="Gotham Book"/>
        </w:rPr>
        <w:t xml:space="preserve">information. </w:t>
      </w:r>
    </w:p>
    <w:p w14:paraId="206383B2" w14:textId="47168BDF" w:rsidR="00CE155C" w:rsidRPr="004A3983" w:rsidRDefault="00CE155C" w:rsidP="00D65072">
      <w:pPr>
        <w:spacing w:after="160"/>
        <w:ind w:right="-2"/>
        <w:rPr>
          <w:rFonts w:ascii="Gotham Book" w:hAnsi="Gotham Book"/>
        </w:rPr>
      </w:pPr>
      <w:r w:rsidRPr="004A3983">
        <w:rPr>
          <w:rFonts w:ascii="Gotham Book" w:hAnsi="Gotham Book"/>
        </w:rPr>
        <w:t xml:space="preserve">The Commission </w:t>
      </w:r>
      <w:r w:rsidR="006E1874" w:rsidRPr="004A3983">
        <w:rPr>
          <w:rFonts w:ascii="Gotham Book" w:hAnsi="Gotham Book"/>
        </w:rPr>
        <w:t xml:space="preserve">can definitively point to </w:t>
      </w:r>
      <w:r w:rsidRPr="004A3983">
        <w:rPr>
          <w:rFonts w:ascii="Gotham Book" w:hAnsi="Gotham Book"/>
        </w:rPr>
        <w:t>eight pe</w:t>
      </w:r>
      <w:r w:rsidR="00C43BBA" w:rsidRPr="004A3983">
        <w:rPr>
          <w:rFonts w:ascii="Gotham Book" w:hAnsi="Gotham Book"/>
        </w:rPr>
        <w:t>rsons</w:t>
      </w:r>
      <w:r w:rsidR="006E1874" w:rsidRPr="004A3983">
        <w:rPr>
          <w:rFonts w:ascii="Gotham Book" w:hAnsi="Gotham Book"/>
        </w:rPr>
        <w:t xml:space="preserve"> who the NSW Police Force </w:t>
      </w:r>
      <w:r w:rsidRPr="004A3983">
        <w:rPr>
          <w:rFonts w:ascii="Gotham Book" w:hAnsi="Gotham Book"/>
        </w:rPr>
        <w:t>subjected to unlawful reporting requirements</w:t>
      </w:r>
      <w:r w:rsidR="006E1874" w:rsidRPr="004A3983">
        <w:rPr>
          <w:rFonts w:ascii="Gotham Book" w:hAnsi="Gotham Book"/>
        </w:rPr>
        <w:t>. Evidence of these eight cases came</w:t>
      </w:r>
      <w:r w:rsidRPr="004A3983">
        <w:rPr>
          <w:rFonts w:ascii="Gotham Book" w:hAnsi="Gotham Book"/>
        </w:rPr>
        <w:t xml:space="preserve"> from our review of NSW Police Force information about annulments for convictions under the CPOR Act that it had applied for between December 2012 and December 2017, and other reports and emails in which these persons’ cases were mentioned. </w:t>
      </w:r>
    </w:p>
    <w:p w14:paraId="1E02815C" w14:textId="48F107B5" w:rsidR="00E9675D" w:rsidRPr="004A3983" w:rsidRDefault="00790C71" w:rsidP="000B620D">
      <w:pPr>
        <w:spacing w:after="160"/>
        <w:ind w:right="-2"/>
        <w:rPr>
          <w:rFonts w:ascii="Gotham Book" w:hAnsi="Gotham Book" w:cs="Arial"/>
        </w:rPr>
      </w:pPr>
      <w:r w:rsidRPr="004A3983">
        <w:rPr>
          <w:rFonts w:ascii="Gotham Book" w:hAnsi="Gotham Book"/>
        </w:rPr>
        <w:t>However,</w:t>
      </w:r>
      <w:r w:rsidR="00696B85" w:rsidRPr="004A3983">
        <w:rPr>
          <w:rFonts w:ascii="Gotham Book" w:hAnsi="Gotham Book"/>
        </w:rPr>
        <w:t xml:space="preserve"> based on the results of the CPR case review, there are 277 pe</w:t>
      </w:r>
      <w:r w:rsidR="00C43BBA" w:rsidRPr="004A3983">
        <w:rPr>
          <w:rFonts w:ascii="Gotham Book" w:hAnsi="Gotham Book"/>
        </w:rPr>
        <w:t>rsons</w:t>
      </w:r>
      <w:r w:rsidR="00696B85" w:rsidRPr="004A3983">
        <w:rPr>
          <w:rFonts w:ascii="Gotham Book" w:hAnsi="Gotham Book"/>
        </w:rPr>
        <w:t xml:space="preserve"> who may have been</w:t>
      </w:r>
      <w:r w:rsidR="00F739C2" w:rsidRPr="004A3983">
        <w:rPr>
          <w:rFonts w:ascii="Gotham Book" w:hAnsi="Gotham Book"/>
        </w:rPr>
        <w:t xml:space="preserve"> subjected to unlawful </w:t>
      </w:r>
      <w:r w:rsidR="00BD79A4" w:rsidRPr="004A3983">
        <w:rPr>
          <w:rFonts w:ascii="Gotham Book" w:hAnsi="Gotham Book"/>
        </w:rPr>
        <w:t xml:space="preserve">or unjust </w:t>
      </w:r>
      <w:r w:rsidR="00F739C2" w:rsidRPr="004A3983">
        <w:rPr>
          <w:rFonts w:ascii="Gotham Book" w:hAnsi="Gotham Book"/>
        </w:rPr>
        <w:t>action</w:t>
      </w:r>
      <w:r w:rsidR="003B2AC6" w:rsidRPr="004A3983">
        <w:rPr>
          <w:rFonts w:ascii="Gotham Book" w:hAnsi="Gotham Book"/>
        </w:rPr>
        <w:t>s</w:t>
      </w:r>
      <w:r w:rsidR="00696B85" w:rsidRPr="004A3983">
        <w:rPr>
          <w:rFonts w:ascii="Gotham Book" w:hAnsi="Gotham Book"/>
        </w:rPr>
        <w:t xml:space="preserve"> by the NSW Police Force because of incorrect information about reporting obligations in the Register.</w:t>
      </w:r>
      <w:r w:rsidR="00696B85" w:rsidRPr="004A3983">
        <w:rPr>
          <w:rStyle w:val="FootnoteReference"/>
          <w:rFonts w:ascii="Gotham Book" w:hAnsi="Gotham Book"/>
        </w:rPr>
        <w:footnoteReference w:id="146"/>
      </w:r>
      <w:r w:rsidR="00696B85" w:rsidRPr="004A3983">
        <w:rPr>
          <w:rFonts w:ascii="Gotham Book" w:hAnsi="Gotham Book"/>
        </w:rPr>
        <w:t xml:space="preserve"> </w:t>
      </w:r>
      <w:r w:rsidR="0085643B" w:rsidRPr="004A3983">
        <w:rPr>
          <w:rFonts w:ascii="Gotham Book" w:hAnsi="Gotham Book"/>
        </w:rPr>
        <w:t>How many</w:t>
      </w:r>
      <w:r w:rsidR="00D65072" w:rsidRPr="004A3983">
        <w:rPr>
          <w:rFonts w:ascii="Gotham Book" w:hAnsi="Gotham Book"/>
        </w:rPr>
        <w:t xml:space="preserve"> were </w:t>
      </w:r>
      <w:r w:rsidR="00FC214F" w:rsidRPr="004A3983">
        <w:rPr>
          <w:rFonts w:ascii="Gotham Book" w:hAnsi="Gotham Book"/>
        </w:rPr>
        <w:t xml:space="preserve">in fact </w:t>
      </w:r>
      <w:r w:rsidR="00D65072" w:rsidRPr="004A3983">
        <w:rPr>
          <w:rFonts w:ascii="Gotham Book" w:hAnsi="Gotham Book"/>
        </w:rPr>
        <w:t xml:space="preserve">subjected to </w:t>
      </w:r>
      <w:r w:rsidR="00FC214F" w:rsidRPr="004A3983">
        <w:rPr>
          <w:rFonts w:ascii="Gotham Book" w:hAnsi="Gotham Book"/>
        </w:rPr>
        <w:t>such</w:t>
      </w:r>
      <w:r w:rsidR="00BD79A4" w:rsidRPr="004A3983">
        <w:rPr>
          <w:rFonts w:ascii="Gotham Book" w:hAnsi="Gotham Book"/>
        </w:rPr>
        <w:t xml:space="preserve"> </w:t>
      </w:r>
      <w:r w:rsidR="00D65072" w:rsidRPr="004A3983">
        <w:rPr>
          <w:rFonts w:ascii="Gotham Book" w:hAnsi="Gotham Book"/>
        </w:rPr>
        <w:t xml:space="preserve">actions would depend on whether the NSW Police Force corrected their cases before any officer acted on the incorrect information in the Register. </w:t>
      </w:r>
      <w:r w:rsidR="00E9675D" w:rsidRPr="004A3983">
        <w:rPr>
          <w:rFonts w:ascii="Gotham Book" w:hAnsi="Gotham Book"/>
        </w:rPr>
        <w:t xml:space="preserve">In </w:t>
      </w:r>
      <w:r w:rsidR="00380E63" w:rsidRPr="004A3983">
        <w:rPr>
          <w:rFonts w:ascii="Gotham Book" w:hAnsi="Gotham Book"/>
        </w:rPr>
        <w:t xml:space="preserve">Chapter 4 </w:t>
      </w:r>
      <w:r w:rsidR="00FC214F" w:rsidRPr="004A3983">
        <w:rPr>
          <w:rFonts w:ascii="Gotham Book" w:hAnsi="Gotham Book"/>
        </w:rPr>
        <w:t>section 4.10</w:t>
      </w:r>
      <w:r w:rsidR="00E9675D" w:rsidRPr="004A3983">
        <w:rPr>
          <w:rFonts w:ascii="Gotham Book" w:hAnsi="Gotham Book"/>
        </w:rPr>
        <w:t xml:space="preserve"> we make a re</w:t>
      </w:r>
      <w:r w:rsidR="002D0FDA" w:rsidRPr="004A3983">
        <w:rPr>
          <w:rFonts w:ascii="Gotham Book" w:hAnsi="Gotham Book"/>
        </w:rPr>
        <w:t>commendation to ensure that all</w:t>
      </w:r>
      <w:r w:rsidR="00E9675D" w:rsidRPr="004A3983">
        <w:rPr>
          <w:rFonts w:ascii="Gotham Book" w:hAnsi="Gotham Book"/>
        </w:rPr>
        <w:t xml:space="preserve"> persons who may have been subjected to unlawful or unjust actions</w:t>
      </w:r>
      <w:r w:rsidR="002D0FDA" w:rsidRPr="004A3983">
        <w:rPr>
          <w:rFonts w:ascii="Gotham Book" w:hAnsi="Gotham Book"/>
        </w:rPr>
        <w:t xml:space="preserve"> are notified of the </w:t>
      </w:r>
      <w:r w:rsidR="00E9675D" w:rsidRPr="004A3983">
        <w:rPr>
          <w:rFonts w:ascii="Gotham Book" w:hAnsi="Gotham Book"/>
        </w:rPr>
        <w:t xml:space="preserve">error </w:t>
      </w:r>
      <w:r w:rsidR="002D0FDA" w:rsidRPr="004A3983">
        <w:rPr>
          <w:rFonts w:ascii="Gotham Book" w:hAnsi="Gotham Book"/>
        </w:rPr>
        <w:t xml:space="preserve">that </w:t>
      </w:r>
      <w:r w:rsidR="00E9675D" w:rsidRPr="004A3983">
        <w:rPr>
          <w:rFonts w:ascii="Gotham Book" w:hAnsi="Gotham Book"/>
        </w:rPr>
        <w:t xml:space="preserve">was made in their case, and are given sufficient </w:t>
      </w:r>
      <w:r w:rsidR="00E9675D" w:rsidRPr="004A3983">
        <w:rPr>
          <w:rFonts w:ascii="Gotham Book" w:hAnsi="Gotham Book"/>
        </w:rPr>
        <w:lastRenderedPageBreak/>
        <w:t>information about that error to enable them to identify if they were subjected to unlawful or unjust actions as a result.</w:t>
      </w:r>
    </w:p>
    <w:p w14:paraId="42CED241" w14:textId="3802CABC" w:rsidR="00E14CEC" w:rsidRPr="004A3983" w:rsidRDefault="00E14CEC" w:rsidP="000B620D">
      <w:pPr>
        <w:pStyle w:val="Heading4"/>
        <w:ind w:right="-2"/>
      </w:pPr>
      <w:r w:rsidRPr="004A3983">
        <w:t xml:space="preserve">Unlawful </w:t>
      </w:r>
      <w:r w:rsidR="001552AD" w:rsidRPr="004A3983">
        <w:t xml:space="preserve">Reporting </w:t>
      </w:r>
      <w:r w:rsidR="00ED506A" w:rsidRPr="004A3983">
        <w:t xml:space="preserve">requirements </w:t>
      </w:r>
      <w:r w:rsidR="001552AD" w:rsidRPr="004A3983">
        <w:t>and inspections</w:t>
      </w:r>
      <w:r w:rsidRPr="004A3983">
        <w:t xml:space="preserve"> </w:t>
      </w:r>
    </w:p>
    <w:p w14:paraId="3EEB8C66" w14:textId="0BDA4A36" w:rsidR="0051434B" w:rsidRPr="004A3983" w:rsidRDefault="00ED221A" w:rsidP="0051434B">
      <w:pPr>
        <w:spacing w:after="160"/>
        <w:ind w:right="-2"/>
        <w:rPr>
          <w:rFonts w:ascii="Gotham Book" w:hAnsi="Gotham Book"/>
        </w:rPr>
      </w:pPr>
      <w:r w:rsidRPr="004A3983">
        <w:rPr>
          <w:rFonts w:ascii="Gotham Book" w:hAnsi="Gotham Book"/>
        </w:rPr>
        <w:t xml:space="preserve">While </w:t>
      </w:r>
      <w:r w:rsidR="000C77D0" w:rsidRPr="004A3983">
        <w:rPr>
          <w:rFonts w:ascii="Gotham Book" w:hAnsi="Gotham Book"/>
        </w:rPr>
        <w:t xml:space="preserve">the </w:t>
      </w:r>
      <w:r w:rsidR="003D79A7" w:rsidRPr="004A3983">
        <w:rPr>
          <w:rFonts w:ascii="Gotham Book" w:hAnsi="Gotham Book"/>
        </w:rPr>
        <w:t xml:space="preserve">number of </w:t>
      </w:r>
      <w:r w:rsidR="00C43BBA" w:rsidRPr="004A3983">
        <w:rPr>
          <w:rFonts w:ascii="Gotham Book" w:hAnsi="Gotham Book"/>
        </w:rPr>
        <w:t>persons</w:t>
      </w:r>
      <w:r w:rsidR="003D79A7" w:rsidRPr="004A3983">
        <w:rPr>
          <w:rFonts w:ascii="Gotham Book" w:hAnsi="Gotham Book"/>
        </w:rPr>
        <w:t xml:space="preserve"> </w:t>
      </w:r>
      <w:r w:rsidR="004C5488" w:rsidRPr="004A3983">
        <w:rPr>
          <w:rFonts w:ascii="Gotham Book" w:hAnsi="Gotham Book"/>
        </w:rPr>
        <w:t xml:space="preserve">who </w:t>
      </w:r>
      <w:r w:rsidR="003D79A7" w:rsidRPr="004A3983">
        <w:rPr>
          <w:rFonts w:ascii="Gotham Book" w:hAnsi="Gotham Book"/>
        </w:rPr>
        <w:t xml:space="preserve">were told by police </w:t>
      </w:r>
      <w:r w:rsidR="00564004" w:rsidRPr="004A3983">
        <w:rPr>
          <w:rFonts w:ascii="Gotham Book" w:hAnsi="Gotham Book"/>
        </w:rPr>
        <w:t xml:space="preserve">that </w:t>
      </w:r>
      <w:r w:rsidR="004C5488" w:rsidRPr="004A3983">
        <w:rPr>
          <w:rFonts w:ascii="Gotham Book" w:hAnsi="Gotham Book"/>
        </w:rPr>
        <w:t>they were required to</w:t>
      </w:r>
      <w:r w:rsidR="003D79A7" w:rsidRPr="004A3983">
        <w:rPr>
          <w:rFonts w:ascii="Gotham Book" w:hAnsi="Gotham Book"/>
        </w:rPr>
        <w:t xml:space="preserve"> report their information when </w:t>
      </w:r>
      <w:r w:rsidR="00564004" w:rsidRPr="004A3983">
        <w:rPr>
          <w:rFonts w:ascii="Gotham Book" w:hAnsi="Gotham Book"/>
        </w:rPr>
        <w:t>in fact they</w:t>
      </w:r>
      <w:r w:rsidR="004C5488" w:rsidRPr="004A3983">
        <w:rPr>
          <w:rFonts w:ascii="Gotham Book" w:hAnsi="Gotham Book"/>
        </w:rPr>
        <w:t xml:space="preserve"> were under no legal obligation to do so </w:t>
      </w:r>
      <w:r w:rsidR="004A7FA4" w:rsidRPr="004A3983">
        <w:rPr>
          <w:rFonts w:ascii="Gotham Book" w:hAnsi="Gotham Book"/>
        </w:rPr>
        <w:t>is unknown,</w:t>
      </w:r>
      <w:r w:rsidR="003D79A7" w:rsidRPr="004A3983">
        <w:rPr>
          <w:rFonts w:ascii="Gotham Book" w:hAnsi="Gotham Book"/>
        </w:rPr>
        <w:t xml:space="preserve"> the NSW Police Force accepts this occurred on many occasions.</w:t>
      </w:r>
      <w:r w:rsidR="00CB4F89" w:rsidRPr="004A3983">
        <w:rPr>
          <w:rStyle w:val="FootnoteReference"/>
          <w:rFonts w:ascii="Gotham Book" w:hAnsi="Gotham Book"/>
        </w:rPr>
        <w:footnoteReference w:id="147"/>
      </w:r>
      <w:r w:rsidR="003D79A7" w:rsidRPr="004A3983">
        <w:rPr>
          <w:rFonts w:ascii="Gotham Book" w:hAnsi="Gotham Book"/>
        </w:rPr>
        <w:t xml:space="preserve"> </w:t>
      </w:r>
    </w:p>
    <w:p w14:paraId="4B7081E5" w14:textId="3AFB5340" w:rsidR="0051434B" w:rsidRPr="004A3983" w:rsidRDefault="00D6147B" w:rsidP="000B620D">
      <w:pPr>
        <w:spacing w:after="160"/>
        <w:ind w:right="-2"/>
        <w:rPr>
          <w:rFonts w:ascii="Gotham Book" w:hAnsi="Gotham Book"/>
        </w:rPr>
      </w:pPr>
      <w:r w:rsidRPr="004A3983">
        <w:rPr>
          <w:rFonts w:ascii="Gotham Book" w:hAnsi="Gotham Book"/>
        </w:rPr>
        <w:t>I</w:t>
      </w:r>
      <w:r w:rsidR="004C5488" w:rsidRPr="004A3983">
        <w:rPr>
          <w:rFonts w:ascii="Gotham Book" w:hAnsi="Gotham Book"/>
        </w:rPr>
        <w:t xml:space="preserve">t is </w:t>
      </w:r>
      <w:r w:rsidRPr="004A3983">
        <w:rPr>
          <w:rFonts w:ascii="Gotham Book" w:hAnsi="Gotham Book"/>
        </w:rPr>
        <w:t xml:space="preserve">also </w:t>
      </w:r>
      <w:r w:rsidR="004C5488" w:rsidRPr="004A3983">
        <w:rPr>
          <w:rFonts w:ascii="Gotham Book" w:hAnsi="Gotham Book"/>
        </w:rPr>
        <w:t>unknown how many of these pe</w:t>
      </w:r>
      <w:r w:rsidR="00C43BBA" w:rsidRPr="004A3983">
        <w:rPr>
          <w:rFonts w:ascii="Gotham Book" w:hAnsi="Gotham Book"/>
        </w:rPr>
        <w:t>rsons</w:t>
      </w:r>
      <w:r w:rsidR="004C5488" w:rsidRPr="004A3983">
        <w:rPr>
          <w:rFonts w:ascii="Gotham Book" w:hAnsi="Gotham Book"/>
        </w:rPr>
        <w:t xml:space="preserve"> were subjected to unlawful home inspe</w:t>
      </w:r>
      <w:r w:rsidR="00175E0E" w:rsidRPr="004A3983">
        <w:rPr>
          <w:rFonts w:ascii="Gotham Book" w:hAnsi="Gotham Book"/>
        </w:rPr>
        <w:t>ctions by the NSW Police Force on the basis of incorrect information in the Register</w:t>
      </w:r>
      <w:r w:rsidR="004C5488" w:rsidRPr="004A3983">
        <w:rPr>
          <w:rFonts w:ascii="Gotham Book" w:hAnsi="Gotham Book"/>
        </w:rPr>
        <w:t xml:space="preserve">. </w:t>
      </w:r>
      <w:r w:rsidR="004A7FA4" w:rsidRPr="004A3983">
        <w:rPr>
          <w:rFonts w:ascii="Gotham Book" w:hAnsi="Gotham Book"/>
        </w:rPr>
        <w:t>O</w:t>
      </w:r>
      <w:r w:rsidR="00175E0E" w:rsidRPr="004A3983">
        <w:rPr>
          <w:rFonts w:ascii="Gotham Book" w:hAnsi="Gotham Book"/>
        </w:rPr>
        <w:t xml:space="preserve">f </w:t>
      </w:r>
      <w:r w:rsidR="002F451D" w:rsidRPr="004A3983">
        <w:rPr>
          <w:rFonts w:ascii="Gotham Book" w:hAnsi="Gotham Book"/>
        </w:rPr>
        <w:t>the eight cases reviewed by the Commission in which the NSW Police Force unlawfully required persons to make reports of their personal details,</w:t>
      </w:r>
      <w:r w:rsidR="00175E0E" w:rsidRPr="004A3983">
        <w:rPr>
          <w:rFonts w:ascii="Gotham Book" w:hAnsi="Gotham Book"/>
        </w:rPr>
        <w:t xml:space="preserve"> in three of those cases</w:t>
      </w:r>
      <w:r w:rsidR="002F451D" w:rsidRPr="004A3983">
        <w:rPr>
          <w:rFonts w:ascii="Gotham Book" w:hAnsi="Gotham Book"/>
        </w:rPr>
        <w:t xml:space="preserve"> </w:t>
      </w:r>
      <w:r w:rsidR="002F451D" w:rsidRPr="004A3983">
        <w:rPr>
          <w:rFonts w:ascii="Gotham Book" w:hAnsi="Gotham Book" w:cs="Arial"/>
        </w:rPr>
        <w:t xml:space="preserve">police officers also conducted </w:t>
      </w:r>
      <w:r w:rsidR="00CB4F89" w:rsidRPr="004A3983">
        <w:rPr>
          <w:rFonts w:ascii="Gotham Book" w:hAnsi="Gotham Book" w:cs="Arial"/>
        </w:rPr>
        <w:t xml:space="preserve">unlawful </w:t>
      </w:r>
      <w:r w:rsidR="002F451D" w:rsidRPr="004A3983">
        <w:rPr>
          <w:rFonts w:ascii="Gotham Book" w:hAnsi="Gotham Book" w:cs="Arial"/>
        </w:rPr>
        <w:t xml:space="preserve">inspections of </w:t>
      </w:r>
      <w:r w:rsidR="00F527D7" w:rsidRPr="004A3983">
        <w:rPr>
          <w:rFonts w:ascii="Gotham Book" w:hAnsi="Gotham Book" w:cs="Arial"/>
        </w:rPr>
        <w:t>th</w:t>
      </w:r>
      <w:r w:rsidR="002F451D" w:rsidRPr="004A3983">
        <w:rPr>
          <w:rFonts w:ascii="Gotham Book" w:hAnsi="Gotham Book" w:cs="Arial"/>
        </w:rPr>
        <w:t xml:space="preserve">e </w:t>
      </w:r>
      <w:r w:rsidR="00F527D7" w:rsidRPr="004A3983">
        <w:rPr>
          <w:rFonts w:ascii="Gotham Book" w:hAnsi="Gotham Book" w:cs="Arial"/>
        </w:rPr>
        <w:t>person’s home,</w:t>
      </w:r>
      <w:r w:rsidR="002F451D" w:rsidRPr="004A3983">
        <w:rPr>
          <w:rFonts w:ascii="Gotham Book" w:hAnsi="Gotham Book" w:cs="Arial"/>
        </w:rPr>
        <w:t xml:space="preserve"> on </w:t>
      </w:r>
      <w:r w:rsidR="00F527D7" w:rsidRPr="004A3983">
        <w:rPr>
          <w:rFonts w:ascii="Gotham Book" w:hAnsi="Gotham Book" w:cs="Arial"/>
        </w:rPr>
        <w:t>a total of</w:t>
      </w:r>
      <w:r w:rsidR="002F451D" w:rsidRPr="004A3983">
        <w:rPr>
          <w:rFonts w:ascii="Gotham Book" w:hAnsi="Gotham Book" w:cs="Arial"/>
        </w:rPr>
        <w:t xml:space="preserve"> six occasions, in purported reliance on the power in s 16C.</w:t>
      </w:r>
      <w:r w:rsidR="002F451D" w:rsidRPr="004A3983">
        <w:rPr>
          <w:rStyle w:val="FootnoteReference"/>
          <w:rFonts w:ascii="Gotham Book" w:hAnsi="Gotham Book" w:cs="Arial"/>
        </w:rPr>
        <w:footnoteReference w:id="148"/>
      </w:r>
      <w:r w:rsidR="002F451D" w:rsidRPr="004A3983">
        <w:rPr>
          <w:rFonts w:ascii="Gotham Book" w:hAnsi="Gotham Book" w:cs="Arial"/>
        </w:rPr>
        <w:t xml:space="preserve"> </w:t>
      </w:r>
      <w:r w:rsidR="00F527D7" w:rsidRPr="004A3983">
        <w:rPr>
          <w:rFonts w:ascii="Gotham Book" w:hAnsi="Gotham Book" w:cs="Arial"/>
        </w:rPr>
        <w:t xml:space="preserve">The NSW Police Force </w:t>
      </w:r>
      <w:r w:rsidR="00CB4F89" w:rsidRPr="004A3983">
        <w:rPr>
          <w:rFonts w:ascii="Gotham Book" w:hAnsi="Gotham Book" w:cs="Arial"/>
        </w:rPr>
        <w:t>acknowledges th</w:t>
      </w:r>
      <w:r w:rsidR="005A62D6" w:rsidRPr="004A3983">
        <w:rPr>
          <w:rFonts w:ascii="Gotham Book" w:hAnsi="Gotham Book" w:cs="Arial"/>
        </w:rPr>
        <w:t xml:space="preserve">at the total number of unlawful </w:t>
      </w:r>
      <w:r w:rsidR="00C43BBA" w:rsidRPr="004A3983">
        <w:rPr>
          <w:rFonts w:ascii="Gotham Book" w:hAnsi="Gotham Book" w:cs="Arial"/>
        </w:rPr>
        <w:t>‘s 16C’</w:t>
      </w:r>
      <w:r w:rsidR="00CB4F89" w:rsidRPr="004A3983">
        <w:rPr>
          <w:rFonts w:ascii="Gotham Book" w:hAnsi="Gotham Book" w:cs="Arial"/>
        </w:rPr>
        <w:t xml:space="preserve"> inspections it has conducted is likely to be higher than this.</w:t>
      </w:r>
      <w:r w:rsidR="00FA4B16" w:rsidRPr="004A3983">
        <w:rPr>
          <w:rStyle w:val="FootnoteReference"/>
          <w:rFonts w:ascii="Gotham Book" w:hAnsi="Gotham Book" w:cs="Arial"/>
        </w:rPr>
        <w:footnoteReference w:id="149"/>
      </w:r>
      <w:r w:rsidR="00CB4F89" w:rsidRPr="004A3983">
        <w:rPr>
          <w:rFonts w:ascii="Gotham Book" w:hAnsi="Gotham Book" w:cs="Arial"/>
        </w:rPr>
        <w:t xml:space="preserve"> </w:t>
      </w:r>
    </w:p>
    <w:p w14:paraId="3A994DA8" w14:textId="64C2CE99" w:rsidR="0040602C" w:rsidRPr="004A3983" w:rsidRDefault="00915106" w:rsidP="000B620D">
      <w:pPr>
        <w:spacing w:after="160"/>
        <w:ind w:right="-2"/>
        <w:rPr>
          <w:rFonts w:ascii="Gotham Book" w:hAnsi="Gotham Book"/>
        </w:rPr>
      </w:pPr>
      <w:r w:rsidRPr="004A3983">
        <w:rPr>
          <w:rFonts w:ascii="Gotham Book" w:hAnsi="Gotham Book"/>
        </w:rPr>
        <w:t>The Commission acknowledges that the legislative framework in question, the CPOR Act, is complex and contains ambiguous provisions, which can make it difficult for even experienced lawyers to apply in certain cases.</w:t>
      </w:r>
      <w:r w:rsidRPr="004A3983">
        <w:rPr>
          <w:rStyle w:val="FootnoteReference"/>
          <w:rFonts w:ascii="Gotham Book" w:hAnsi="Gotham Book"/>
        </w:rPr>
        <w:footnoteReference w:id="150"/>
      </w:r>
      <w:r w:rsidR="00577EBA" w:rsidRPr="004A3983">
        <w:rPr>
          <w:rFonts w:ascii="Gotham Book" w:hAnsi="Gotham Book"/>
        </w:rPr>
        <w:t xml:space="preserve"> </w:t>
      </w:r>
      <w:r w:rsidRPr="004A3983">
        <w:rPr>
          <w:rFonts w:ascii="Gotham Book" w:hAnsi="Gotham Book"/>
        </w:rPr>
        <w:t xml:space="preserve">The Commission also acknowledges that the </w:t>
      </w:r>
      <w:r w:rsidR="00AB1BD5" w:rsidRPr="004A3983">
        <w:rPr>
          <w:rFonts w:ascii="Gotham Book" w:hAnsi="Gotham Book"/>
        </w:rPr>
        <w:t xml:space="preserve">ability of the NSW Police Force </w:t>
      </w:r>
      <w:r w:rsidRPr="004A3983">
        <w:rPr>
          <w:rFonts w:ascii="Gotham Book" w:hAnsi="Gotham Book"/>
        </w:rPr>
        <w:t>to apply the CPOR Act correctly is affe</w:t>
      </w:r>
      <w:r w:rsidR="00BA30DF" w:rsidRPr="004A3983">
        <w:rPr>
          <w:rFonts w:ascii="Gotham Book" w:hAnsi="Gotham Book"/>
        </w:rPr>
        <w:t>cted by whether other authorities</w:t>
      </w:r>
      <w:r w:rsidRPr="004A3983">
        <w:rPr>
          <w:rFonts w:ascii="Gotham Book" w:hAnsi="Gotham Book"/>
        </w:rPr>
        <w:t xml:space="preserve"> that have statutory responsibilities under the CPOR Act fulfil these responsibilities. </w:t>
      </w:r>
    </w:p>
    <w:p w14:paraId="6B6BE920" w14:textId="4A59D712" w:rsidR="00E14CEC" w:rsidRPr="004A3983" w:rsidRDefault="00915106" w:rsidP="000B620D">
      <w:pPr>
        <w:spacing w:after="160"/>
        <w:ind w:right="-2"/>
        <w:rPr>
          <w:rFonts w:ascii="Gotham Book" w:hAnsi="Gotham Book"/>
        </w:rPr>
      </w:pPr>
      <w:r w:rsidRPr="004A3983">
        <w:rPr>
          <w:rFonts w:ascii="Gotham Book" w:hAnsi="Gotham Book"/>
        </w:rPr>
        <w:t>However</w:t>
      </w:r>
      <w:r w:rsidR="0033651B" w:rsidRPr="004A3983">
        <w:rPr>
          <w:rFonts w:ascii="Gotham Book" w:hAnsi="Gotham Book"/>
        </w:rPr>
        <w:t xml:space="preserve">, the consequences of the </w:t>
      </w:r>
      <w:r w:rsidR="00ED7F1D" w:rsidRPr="004A3983">
        <w:rPr>
          <w:rFonts w:ascii="Gotham Book" w:hAnsi="Gotham Book"/>
        </w:rPr>
        <w:t xml:space="preserve">NSW Police Force </w:t>
      </w:r>
      <w:r w:rsidR="0033651B" w:rsidRPr="004A3983">
        <w:rPr>
          <w:rFonts w:ascii="Gotham Book" w:hAnsi="Gotham Book"/>
        </w:rPr>
        <w:t>unlawful</w:t>
      </w:r>
      <w:r w:rsidR="00ED7F1D" w:rsidRPr="004A3983">
        <w:rPr>
          <w:rFonts w:ascii="Gotham Book" w:hAnsi="Gotham Book"/>
        </w:rPr>
        <w:t>ly requiring pe</w:t>
      </w:r>
      <w:r w:rsidR="00C43BBA" w:rsidRPr="004A3983">
        <w:rPr>
          <w:rFonts w:ascii="Gotham Book" w:hAnsi="Gotham Book"/>
        </w:rPr>
        <w:t>ople</w:t>
      </w:r>
      <w:r w:rsidR="00ED7F1D" w:rsidRPr="004A3983">
        <w:rPr>
          <w:rFonts w:ascii="Gotham Book" w:hAnsi="Gotham Book"/>
        </w:rPr>
        <w:t xml:space="preserve"> to report their personal information</w:t>
      </w:r>
      <w:r w:rsidR="0033651B" w:rsidRPr="004A3983">
        <w:rPr>
          <w:rFonts w:ascii="Gotham Book" w:hAnsi="Gotham Book"/>
        </w:rPr>
        <w:t xml:space="preserve"> and </w:t>
      </w:r>
      <w:r w:rsidR="00ED7F1D" w:rsidRPr="004A3983">
        <w:rPr>
          <w:rFonts w:ascii="Gotham Book" w:hAnsi="Gotham Book"/>
        </w:rPr>
        <w:t>conducting home</w:t>
      </w:r>
      <w:r w:rsidR="0033651B" w:rsidRPr="004A3983">
        <w:rPr>
          <w:rFonts w:ascii="Gotham Book" w:hAnsi="Gotham Book"/>
        </w:rPr>
        <w:t xml:space="preserve"> inspections</w:t>
      </w:r>
      <w:r w:rsidR="00ED506A" w:rsidRPr="004A3983">
        <w:rPr>
          <w:rFonts w:ascii="Gotham Book" w:hAnsi="Gotham Book"/>
        </w:rPr>
        <w:t xml:space="preserve"> without legal authority</w:t>
      </w:r>
      <w:r w:rsidR="0033651B" w:rsidRPr="004A3983">
        <w:rPr>
          <w:rFonts w:ascii="Gotham Book" w:hAnsi="Gotham Book"/>
        </w:rPr>
        <w:t xml:space="preserve"> have been serious. A</w:t>
      </w:r>
      <w:r w:rsidR="00E14CEC" w:rsidRPr="004A3983">
        <w:rPr>
          <w:rFonts w:ascii="Gotham Book" w:hAnsi="Gotham Book"/>
        </w:rPr>
        <w:t xml:space="preserve"> considerable amount of personal information </w:t>
      </w:r>
      <w:r w:rsidRPr="004A3983">
        <w:rPr>
          <w:rFonts w:ascii="Gotham Book" w:hAnsi="Gotham Book"/>
        </w:rPr>
        <w:t xml:space="preserve">has been reported </w:t>
      </w:r>
      <w:r w:rsidR="00E14CEC" w:rsidRPr="004A3983">
        <w:rPr>
          <w:rFonts w:ascii="Gotham Book" w:hAnsi="Gotham Book"/>
        </w:rPr>
        <w:t>to the NSW Police Force</w:t>
      </w:r>
      <w:r w:rsidRPr="004A3983">
        <w:rPr>
          <w:rFonts w:ascii="Gotham Book" w:hAnsi="Gotham Book"/>
        </w:rPr>
        <w:t xml:space="preserve"> by people who were advised they were </w:t>
      </w:r>
      <w:r w:rsidR="005A4D9F" w:rsidRPr="004A3983">
        <w:rPr>
          <w:rFonts w:ascii="Gotham Book" w:hAnsi="Gotham Book"/>
        </w:rPr>
        <w:t>required</w:t>
      </w:r>
      <w:r w:rsidRPr="004A3983">
        <w:rPr>
          <w:rFonts w:ascii="Gotham Book" w:hAnsi="Gotham Book"/>
        </w:rPr>
        <w:t xml:space="preserve"> to do so under the CPOR Act. These people also </w:t>
      </w:r>
      <w:r w:rsidR="00E14CEC" w:rsidRPr="004A3983">
        <w:rPr>
          <w:rFonts w:ascii="Gotham Book" w:hAnsi="Gotham Book"/>
        </w:rPr>
        <w:t xml:space="preserve">updated police whenever there were changes to that information, because they had been informed that if they did not do so they would be committing a criminal offence. Some persons made these reports to the NSW Police Force for a number of years.  </w:t>
      </w:r>
    </w:p>
    <w:p w14:paraId="6B1A6E13" w14:textId="34B14907" w:rsidR="00E14CEC" w:rsidRPr="004A3983" w:rsidRDefault="00D4098F" w:rsidP="000B620D">
      <w:pPr>
        <w:spacing w:after="160"/>
        <w:ind w:right="-2"/>
        <w:rPr>
          <w:rFonts w:ascii="Gotham Book" w:hAnsi="Gotham Book"/>
        </w:rPr>
      </w:pPr>
      <w:r w:rsidRPr="004A3983">
        <w:rPr>
          <w:rFonts w:ascii="Gotham Book" w:hAnsi="Gotham Book"/>
        </w:rPr>
        <w:t>If people</w:t>
      </w:r>
      <w:r w:rsidR="00E14CEC" w:rsidRPr="004A3983">
        <w:rPr>
          <w:rFonts w:ascii="Gotham Book" w:hAnsi="Gotham Book"/>
        </w:rPr>
        <w:t xml:space="preserve"> did not comply with these unlawful </w:t>
      </w:r>
      <w:r w:rsidR="00BF6CE2" w:rsidRPr="004A3983">
        <w:rPr>
          <w:rFonts w:ascii="Gotham Book" w:hAnsi="Gotham Book"/>
        </w:rPr>
        <w:t>requests from police</w:t>
      </w:r>
      <w:r w:rsidR="00E14CEC" w:rsidRPr="004A3983">
        <w:rPr>
          <w:rFonts w:ascii="Gotham Book" w:hAnsi="Gotham Book"/>
        </w:rPr>
        <w:t>, they were at risk of being wrongly charged</w:t>
      </w:r>
      <w:r w:rsidR="005A4D9F" w:rsidRPr="004A3983">
        <w:rPr>
          <w:rFonts w:ascii="Gotham Book" w:hAnsi="Gotham Book"/>
        </w:rPr>
        <w:t xml:space="preserve"> for offences under the CPOR Act</w:t>
      </w:r>
      <w:r w:rsidR="00F42C99" w:rsidRPr="004A3983">
        <w:rPr>
          <w:rFonts w:ascii="Gotham Book" w:hAnsi="Gotham Book"/>
        </w:rPr>
        <w:t xml:space="preserve">. Some persons were in </w:t>
      </w:r>
      <w:r w:rsidR="00E14CEC" w:rsidRPr="004A3983">
        <w:rPr>
          <w:rFonts w:ascii="Gotham Book" w:hAnsi="Gotham Book"/>
        </w:rPr>
        <w:t>fact char</w:t>
      </w:r>
      <w:r w:rsidR="00A339C2" w:rsidRPr="004A3983">
        <w:rPr>
          <w:rFonts w:ascii="Gotham Book" w:hAnsi="Gotham Book"/>
        </w:rPr>
        <w:t xml:space="preserve">ged. </w:t>
      </w:r>
    </w:p>
    <w:p w14:paraId="75FF3C23" w14:textId="3053EF0E" w:rsidR="00E14CEC" w:rsidRPr="004A3983" w:rsidRDefault="00E14CEC" w:rsidP="000B620D">
      <w:pPr>
        <w:spacing w:after="160"/>
        <w:ind w:right="-2"/>
        <w:rPr>
          <w:rFonts w:ascii="Gotham Book" w:hAnsi="Gotham Book"/>
        </w:rPr>
      </w:pPr>
      <w:r w:rsidRPr="004A3983">
        <w:rPr>
          <w:rFonts w:ascii="Gotham Book" w:hAnsi="Gotham Book"/>
        </w:rPr>
        <w:lastRenderedPageBreak/>
        <w:t>Those persons</w:t>
      </w:r>
      <w:r w:rsidR="00C43BBA" w:rsidRPr="004A3983">
        <w:rPr>
          <w:rFonts w:ascii="Gotham Book" w:hAnsi="Gotham Book"/>
        </w:rPr>
        <w:t xml:space="preserve"> who were subjected to unlawful </w:t>
      </w:r>
      <w:r w:rsidRPr="004A3983">
        <w:rPr>
          <w:rFonts w:ascii="Gotham Book" w:hAnsi="Gotham Book"/>
        </w:rPr>
        <w:t>s</w:t>
      </w:r>
      <w:r w:rsidR="00003A40" w:rsidRPr="004A3983">
        <w:rPr>
          <w:rFonts w:ascii="Gotham Book" w:hAnsi="Gotham Book"/>
        </w:rPr>
        <w:t xml:space="preserve"> </w:t>
      </w:r>
      <w:r w:rsidR="00C43BBA" w:rsidRPr="004A3983">
        <w:rPr>
          <w:rFonts w:ascii="Gotham Book" w:hAnsi="Gotham Book"/>
        </w:rPr>
        <w:t>16C</w:t>
      </w:r>
      <w:r w:rsidRPr="004A3983">
        <w:rPr>
          <w:rFonts w:ascii="Gotham Book" w:hAnsi="Gotham Book"/>
        </w:rPr>
        <w:t xml:space="preserve"> inspections had police officers arrive at their homes </w:t>
      </w:r>
      <w:r w:rsidR="009E6C62" w:rsidRPr="004A3983">
        <w:rPr>
          <w:rFonts w:ascii="Gotham Book" w:hAnsi="Gotham Book"/>
        </w:rPr>
        <w:t>without prior warning</w:t>
      </w:r>
      <w:r w:rsidRPr="004A3983">
        <w:rPr>
          <w:rFonts w:ascii="Gotham Book" w:hAnsi="Gotham Book"/>
        </w:rPr>
        <w:t xml:space="preserve">, requiring that they be allowed to enter and inspect the residence, when the police had no power under the CPOR Act to </w:t>
      </w:r>
      <w:r w:rsidR="00D4098F" w:rsidRPr="004A3983">
        <w:rPr>
          <w:rFonts w:ascii="Gotham Book" w:hAnsi="Gotham Book"/>
        </w:rPr>
        <w:t>conduct these inspections</w:t>
      </w:r>
      <w:r w:rsidRPr="004A3983">
        <w:rPr>
          <w:rFonts w:ascii="Gotham Book" w:hAnsi="Gotham Book"/>
        </w:rPr>
        <w:t xml:space="preserve">. During these inspections they were often required </w:t>
      </w:r>
      <w:r w:rsidR="004027A7" w:rsidRPr="004A3983">
        <w:rPr>
          <w:rFonts w:ascii="Gotham Book" w:hAnsi="Gotham Book"/>
        </w:rPr>
        <w:t xml:space="preserve">by police </w:t>
      </w:r>
      <w:r w:rsidRPr="004A3983">
        <w:rPr>
          <w:rFonts w:ascii="Gotham Book" w:hAnsi="Gotham Book"/>
        </w:rPr>
        <w:t>to answer questions about their personal lives</w:t>
      </w:r>
      <w:r w:rsidR="00800609" w:rsidRPr="004A3983">
        <w:rPr>
          <w:rFonts w:ascii="Gotham Book" w:hAnsi="Gotham Book"/>
        </w:rPr>
        <w:t xml:space="preserve">, when </w:t>
      </w:r>
      <w:r w:rsidR="004027A7" w:rsidRPr="004A3983">
        <w:rPr>
          <w:rFonts w:ascii="Gotham Book" w:hAnsi="Gotham Book"/>
        </w:rPr>
        <w:t xml:space="preserve">under </w:t>
      </w:r>
      <w:r w:rsidR="00800609" w:rsidRPr="004A3983">
        <w:rPr>
          <w:rFonts w:ascii="Gotham Book" w:hAnsi="Gotham Book"/>
        </w:rPr>
        <w:t xml:space="preserve">the CPOR Act </w:t>
      </w:r>
      <w:r w:rsidR="004027A7" w:rsidRPr="004A3983">
        <w:rPr>
          <w:rFonts w:ascii="Gotham Book" w:hAnsi="Gotham Book"/>
        </w:rPr>
        <w:t>they did not have any obligation</w:t>
      </w:r>
      <w:r w:rsidRPr="004A3983">
        <w:rPr>
          <w:rFonts w:ascii="Gotham Book" w:hAnsi="Gotham Book"/>
        </w:rPr>
        <w:t xml:space="preserve"> to provide this information.</w:t>
      </w:r>
    </w:p>
    <w:p w14:paraId="120CA041" w14:textId="13AE53AA" w:rsidR="009E5172" w:rsidRPr="004A3983" w:rsidRDefault="007527A5" w:rsidP="00D531AC">
      <w:pPr>
        <w:pStyle w:val="FindingsHeading"/>
        <w:spacing w:before="0" w:after="160" w:line="259" w:lineRule="auto"/>
        <w:rPr>
          <w:rFonts w:ascii="Gotham Book" w:hAnsi="Gotham Book"/>
          <w:b w:val="0"/>
        </w:rPr>
      </w:pPr>
      <w:bookmarkStart w:id="224" w:name="_Toc22277099"/>
      <w:r w:rsidRPr="004A3983">
        <w:rPr>
          <w:rFonts w:ascii="Gotham Book" w:hAnsi="Gotham Book"/>
        </w:rPr>
        <w:t>As a result of the incorrect decisions referred to in Finding 1, t</w:t>
      </w:r>
      <w:r w:rsidR="009E5172" w:rsidRPr="004A3983">
        <w:rPr>
          <w:rFonts w:ascii="Gotham Book" w:hAnsi="Gotham Book"/>
        </w:rPr>
        <w:t xml:space="preserve">he </w:t>
      </w:r>
      <w:r w:rsidR="00E840B7" w:rsidRPr="004A3983">
        <w:rPr>
          <w:rFonts w:ascii="Gotham Book" w:hAnsi="Gotham Book"/>
        </w:rPr>
        <w:t xml:space="preserve">NSW Police Force </w:t>
      </w:r>
      <w:r w:rsidR="009E5172" w:rsidRPr="004A3983">
        <w:rPr>
          <w:rFonts w:ascii="Gotham Book" w:hAnsi="Gotham Book"/>
        </w:rPr>
        <w:t>unlawful</w:t>
      </w:r>
      <w:r w:rsidR="00640710" w:rsidRPr="004A3983">
        <w:rPr>
          <w:rFonts w:ascii="Gotham Book" w:hAnsi="Gotham Book"/>
        </w:rPr>
        <w:t xml:space="preserve">ly required </w:t>
      </w:r>
      <w:r w:rsidR="009E5172" w:rsidRPr="004A3983">
        <w:rPr>
          <w:rFonts w:ascii="Gotham Book" w:hAnsi="Gotham Book"/>
        </w:rPr>
        <w:t>persons to report their personal</w:t>
      </w:r>
      <w:r w:rsidR="00ED1647" w:rsidRPr="004A3983">
        <w:rPr>
          <w:rFonts w:ascii="Gotham Book" w:hAnsi="Gotham Book"/>
        </w:rPr>
        <w:t xml:space="preserve"> details to police</w:t>
      </w:r>
      <w:r w:rsidR="009E5172" w:rsidRPr="004A3983">
        <w:rPr>
          <w:rFonts w:ascii="Gotham Book" w:hAnsi="Gotham Book"/>
        </w:rPr>
        <w:t xml:space="preserve"> </w:t>
      </w:r>
      <w:r w:rsidR="00796F8D" w:rsidRPr="004A3983">
        <w:rPr>
          <w:rFonts w:ascii="Gotham Book" w:hAnsi="Gotham Book"/>
        </w:rPr>
        <w:t>for a number of years</w:t>
      </w:r>
      <w:r w:rsidR="0005199B" w:rsidRPr="004A3983">
        <w:rPr>
          <w:rFonts w:ascii="Gotham Book" w:hAnsi="Gotham Book"/>
        </w:rPr>
        <w:t xml:space="preserve">. Some of these persons were also subjected to </w:t>
      </w:r>
      <w:r w:rsidR="009E5172" w:rsidRPr="004A3983">
        <w:rPr>
          <w:rFonts w:ascii="Gotham Book" w:hAnsi="Gotham Book"/>
        </w:rPr>
        <w:t>unlawful home inspections</w:t>
      </w:r>
      <w:r w:rsidR="0005199B" w:rsidRPr="004A3983">
        <w:rPr>
          <w:rFonts w:ascii="Gotham Book" w:hAnsi="Gotham Book"/>
        </w:rPr>
        <w:t xml:space="preserve"> by the NSW Police Force, in purported reliance on the power in s 16C of the CPOR Act</w:t>
      </w:r>
      <w:r w:rsidR="009E5172" w:rsidRPr="004A3983">
        <w:rPr>
          <w:rFonts w:ascii="Gotham Book" w:hAnsi="Gotham Book"/>
        </w:rPr>
        <w:t>.</w:t>
      </w:r>
      <w:bookmarkEnd w:id="224"/>
    </w:p>
    <w:p w14:paraId="0E332B53" w14:textId="16154173" w:rsidR="00780C3E" w:rsidRPr="004A3983" w:rsidRDefault="006321C0" w:rsidP="000B620D">
      <w:pPr>
        <w:pStyle w:val="Heading4"/>
        <w:ind w:right="-2"/>
      </w:pPr>
      <w:r w:rsidRPr="004A3983">
        <w:t>Unjust</w:t>
      </w:r>
      <w:r w:rsidR="001552AD" w:rsidRPr="004A3983">
        <w:t xml:space="preserve"> charges and arrests</w:t>
      </w:r>
    </w:p>
    <w:p w14:paraId="645490F3" w14:textId="522BC64A" w:rsidR="00F361F3" w:rsidRPr="004A3983" w:rsidRDefault="00F361F3" w:rsidP="00907A2F">
      <w:pPr>
        <w:spacing w:after="160"/>
        <w:ind w:right="-2"/>
        <w:rPr>
          <w:rFonts w:ascii="Gotham Book" w:hAnsi="Gotham Book"/>
        </w:rPr>
      </w:pPr>
      <w:r w:rsidRPr="004A3983">
        <w:rPr>
          <w:rFonts w:ascii="Gotham Book" w:hAnsi="Gotham Book"/>
        </w:rPr>
        <w:t>The Commission is empowered to investigate, make findings about, and report on conduct on the part of the NSW Police Force that is unjust or oppressive in its effect, especially where such conduct is of a serious nature.</w:t>
      </w:r>
      <w:r w:rsidRPr="004A3983">
        <w:rPr>
          <w:rStyle w:val="FootnoteReference"/>
          <w:rFonts w:ascii="Gotham Book" w:hAnsi="Gotham Book"/>
        </w:rPr>
        <w:footnoteReference w:id="151"/>
      </w:r>
      <w:r w:rsidRPr="004A3983">
        <w:rPr>
          <w:rFonts w:ascii="Gotham Book" w:hAnsi="Gotham Book"/>
        </w:rPr>
        <w:t xml:space="preserve"> </w:t>
      </w:r>
    </w:p>
    <w:p w14:paraId="26EAC694" w14:textId="1F06CC39" w:rsidR="00F361F3" w:rsidRPr="004A3983" w:rsidRDefault="00F361F3" w:rsidP="00907A2F">
      <w:pPr>
        <w:spacing w:after="160"/>
        <w:ind w:right="-2"/>
        <w:rPr>
          <w:rFonts w:ascii="Gotham Book" w:hAnsi="Gotham Book"/>
        </w:rPr>
      </w:pPr>
      <w:r w:rsidRPr="004A3983">
        <w:rPr>
          <w:rFonts w:ascii="Gotham Book" w:hAnsi="Gotham Book"/>
        </w:rPr>
        <w:t>The Commission</w:t>
      </w:r>
      <w:r w:rsidR="0009020A" w:rsidRPr="004A3983">
        <w:rPr>
          <w:rFonts w:ascii="Gotham Book" w:hAnsi="Gotham Book"/>
        </w:rPr>
        <w:t xml:space="preserve">’s investigation </w:t>
      </w:r>
      <w:r w:rsidR="00621C90" w:rsidRPr="004A3983">
        <w:rPr>
          <w:rFonts w:ascii="Gotham Book" w:hAnsi="Gotham Book"/>
        </w:rPr>
        <w:t>identified</w:t>
      </w:r>
      <w:r w:rsidRPr="004A3983">
        <w:rPr>
          <w:rFonts w:ascii="Gotham Book" w:hAnsi="Gotham Book"/>
        </w:rPr>
        <w:t xml:space="preserve"> </w:t>
      </w:r>
      <w:r w:rsidR="00356CD0" w:rsidRPr="004A3983">
        <w:rPr>
          <w:rFonts w:ascii="Gotham Book" w:hAnsi="Gotham Book"/>
        </w:rPr>
        <w:t>seven persons</w:t>
      </w:r>
      <w:r w:rsidR="004C5488" w:rsidRPr="004A3983">
        <w:rPr>
          <w:rFonts w:ascii="Gotham Book" w:hAnsi="Gotham Book"/>
        </w:rPr>
        <w:t xml:space="preserve"> </w:t>
      </w:r>
      <w:r w:rsidRPr="004A3983">
        <w:rPr>
          <w:rFonts w:ascii="Gotham Book" w:hAnsi="Gotham Book"/>
        </w:rPr>
        <w:t>who were wrongly charged by the NSW Police Force</w:t>
      </w:r>
      <w:r w:rsidR="00C054F1" w:rsidRPr="004A3983">
        <w:rPr>
          <w:rFonts w:ascii="Gotham Book" w:hAnsi="Gotham Book"/>
        </w:rPr>
        <w:t xml:space="preserve"> with the offences of failing</w:t>
      </w:r>
      <w:r w:rsidR="00356CD0" w:rsidRPr="004A3983">
        <w:rPr>
          <w:rFonts w:ascii="Gotham Book" w:hAnsi="Gotham Book"/>
        </w:rPr>
        <w:t xml:space="preserve"> to comply with reporting obligations or providing false or misleading</w:t>
      </w:r>
      <w:r w:rsidR="00621C90" w:rsidRPr="004A3983">
        <w:rPr>
          <w:rFonts w:ascii="Gotham Book" w:hAnsi="Gotham Book"/>
        </w:rPr>
        <w:t xml:space="preserve"> information under the CPOR Act. These</w:t>
      </w:r>
      <w:r w:rsidR="00356CD0" w:rsidRPr="004A3983">
        <w:rPr>
          <w:rFonts w:ascii="Gotham Book" w:hAnsi="Gotham Book"/>
        </w:rPr>
        <w:t xml:space="preserve"> persons could not, as a mat</w:t>
      </w:r>
      <w:r w:rsidR="00621C90" w:rsidRPr="004A3983">
        <w:rPr>
          <w:rFonts w:ascii="Gotham Book" w:hAnsi="Gotham Book"/>
        </w:rPr>
        <w:t>ter of law, have committed the</w:t>
      </w:r>
      <w:r w:rsidR="00356CD0" w:rsidRPr="004A3983">
        <w:rPr>
          <w:rFonts w:ascii="Gotham Book" w:hAnsi="Gotham Book"/>
        </w:rPr>
        <w:t xml:space="preserve"> offences</w:t>
      </w:r>
      <w:r w:rsidR="00621C90" w:rsidRPr="004A3983">
        <w:rPr>
          <w:rFonts w:ascii="Gotham Book" w:hAnsi="Gotham Book"/>
        </w:rPr>
        <w:t xml:space="preserve"> </w:t>
      </w:r>
      <w:r w:rsidR="00DB0306" w:rsidRPr="004A3983">
        <w:rPr>
          <w:rFonts w:ascii="Gotham Book" w:hAnsi="Gotham Book"/>
        </w:rPr>
        <w:t>they</w:t>
      </w:r>
      <w:r w:rsidR="000C7F72" w:rsidRPr="004A3983">
        <w:rPr>
          <w:rFonts w:ascii="Gotham Book" w:hAnsi="Gotham Book"/>
        </w:rPr>
        <w:t xml:space="preserve"> </w:t>
      </w:r>
      <w:r w:rsidR="00621C90" w:rsidRPr="004A3983">
        <w:rPr>
          <w:rFonts w:ascii="Gotham Book" w:hAnsi="Gotham Book"/>
        </w:rPr>
        <w:t xml:space="preserve">had </w:t>
      </w:r>
      <w:r w:rsidR="000C7F72" w:rsidRPr="004A3983">
        <w:rPr>
          <w:rFonts w:ascii="Gotham Book" w:hAnsi="Gotham Book"/>
        </w:rPr>
        <w:t xml:space="preserve">been </w:t>
      </w:r>
      <w:r w:rsidR="00621C90" w:rsidRPr="004A3983">
        <w:rPr>
          <w:rFonts w:ascii="Gotham Book" w:hAnsi="Gotham Book"/>
        </w:rPr>
        <w:t>charged with</w:t>
      </w:r>
      <w:r w:rsidR="00356CD0" w:rsidRPr="004A3983">
        <w:rPr>
          <w:rFonts w:ascii="Gotham Book" w:hAnsi="Gotham Book"/>
        </w:rPr>
        <w:t>, as the repo</w:t>
      </w:r>
      <w:r w:rsidR="0009020A" w:rsidRPr="004A3983">
        <w:rPr>
          <w:rFonts w:ascii="Gotham Book" w:hAnsi="Gotham Book"/>
        </w:rPr>
        <w:t>rting obligations in that Act did not apply to them at the relevant times</w:t>
      </w:r>
      <w:r w:rsidR="00356CD0" w:rsidRPr="004A3983">
        <w:rPr>
          <w:rFonts w:ascii="Gotham Book" w:hAnsi="Gotham Book"/>
        </w:rPr>
        <w:t>.</w:t>
      </w:r>
    </w:p>
    <w:p w14:paraId="7DC1631C" w14:textId="6BA309E8" w:rsidR="00B86CD6" w:rsidRPr="004A3983" w:rsidRDefault="00621C90" w:rsidP="000B620D">
      <w:pPr>
        <w:spacing w:after="160"/>
        <w:ind w:right="-2"/>
        <w:rPr>
          <w:rFonts w:ascii="Gotham Book" w:hAnsi="Gotham Book"/>
        </w:rPr>
      </w:pPr>
      <w:r w:rsidRPr="004A3983">
        <w:rPr>
          <w:rFonts w:ascii="Gotham Book" w:hAnsi="Gotham Book"/>
        </w:rPr>
        <w:t xml:space="preserve">The NSW Police Force laid </w:t>
      </w:r>
      <w:r w:rsidR="00363CD6" w:rsidRPr="004A3983">
        <w:rPr>
          <w:rFonts w:ascii="Gotham Book" w:hAnsi="Gotham Book"/>
        </w:rPr>
        <w:t xml:space="preserve">unwarranted </w:t>
      </w:r>
      <w:r w:rsidRPr="004A3983">
        <w:rPr>
          <w:rFonts w:ascii="Gotham Book" w:hAnsi="Gotham Book"/>
        </w:rPr>
        <w:t xml:space="preserve">charges against these persons on a total of 16 occasions, and on 10 of those occasions </w:t>
      </w:r>
      <w:r w:rsidR="00040E45" w:rsidRPr="004A3983">
        <w:rPr>
          <w:rFonts w:ascii="Gotham Book" w:hAnsi="Gotham Book"/>
        </w:rPr>
        <w:t xml:space="preserve">also </w:t>
      </w:r>
      <w:r w:rsidRPr="004A3983">
        <w:rPr>
          <w:rFonts w:ascii="Gotham Book" w:hAnsi="Gotham Book"/>
        </w:rPr>
        <w:t>arrested the person.</w:t>
      </w:r>
      <w:r w:rsidR="00040E45" w:rsidRPr="004A3983">
        <w:rPr>
          <w:rFonts w:ascii="Gotham Book" w:hAnsi="Gotham Book"/>
        </w:rPr>
        <w:t xml:space="preserve"> </w:t>
      </w:r>
      <w:r w:rsidR="00B86CD6" w:rsidRPr="004A3983">
        <w:rPr>
          <w:rFonts w:ascii="Gotham Book" w:hAnsi="Gotham Book"/>
        </w:rPr>
        <w:t xml:space="preserve">The NSW Police Force acknowledges that the total numbers of </w:t>
      </w:r>
      <w:r w:rsidR="008F4860" w:rsidRPr="004A3983">
        <w:rPr>
          <w:rFonts w:ascii="Gotham Book" w:hAnsi="Gotham Book"/>
        </w:rPr>
        <w:t>unwarranted</w:t>
      </w:r>
      <w:r w:rsidR="00B86CD6" w:rsidRPr="004A3983">
        <w:rPr>
          <w:rFonts w:ascii="Gotham Book" w:hAnsi="Gotham Book"/>
        </w:rPr>
        <w:t xml:space="preserve"> charges and arrests for offences under the CPOR Act may be higher than those the Commission identified</w:t>
      </w:r>
      <w:r w:rsidR="00B95BBF" w:rsidRPr="004A3983">
        <w:rPr>
          <w:rFonts w:ascii="Gotham Book" w:hAnsi="Gotham Book"/>
        </w:rPr>
        <w:t xml:space="preserve"> in the sub</w:t>
      </w:r>
      <w:r w:rsidR="00B86CD6" w:rsidRPr="004A3983">
        <w:rPr>
          <w:rFonts w:ascii="Gotham Book" w:hAnsi="Gotham Book"/>
        </w:rPr>
        <w:t>set of cases it reviewed.</w:t>
      </w:r>
      <w:r w:rsidR="00DD40BF" w:rsidRPr="004A3983">
        <w:rPr>
          <w:rStyle w:val="FootnoteReference"/>
          <w:rFonts w:ascii="Gotham Book" w:hAnsi="Gotham Book"/>
        </w:rPr>
        <w:footnoteReference w:id="152"/>
      </w:r>
    </w:p>
    <w:p w14:paraId="15B532C2" w14:textId="692DD964" w:rsidR="00780C3E" w:rsidRPr="004A3983" w:rsidRDefault="00040E45" w:rsidP="000B620D">
      <w:pPr>
        <w:spacing w:after="160"/>
        <w:ind w:right="-2"/>
        <w:rPr>
          <w:rFonts w:ascii="Gotham Book" w:hAnsi="Gotham Book"/>
        </w:rPr>
      </w:pPr>
      <w:r w:rsidRPr="004A3983">
        <w:rPr>
          <w:rFonts w:ascii="Gotham Book" w:hAnsi="Gotham Book"/>
        </w:rPr>
        <w:t>These charges and arrests</w:t>
      </w:r>
      <w:r w:rsidR="00780C3E" w:rsidRPr="004A3983">
        <w:rPr>
          <w:rFonts w:ascii="Gotham Book" w:hAnsi="Gotham Book"/>
        </w:rPr>
        <w:t xml:space="preserve"> constitute conduct which, although not unlawful, was ‘unjust’ or ‘oppressive’ in its effect. These persons were subjected to criminal prosecution fo</w:t>
      </w:r>
      <w:r w:rsidR="00DB0306" w:rsidRPr="004A3983">
        <w:rPr>
          <w:rFonts w:ascii="Gotham Book" w:hAnsi="Gotham Book"/>
        </w:rPr>
        <w:t>r offences that they could not have committed.</w:t>
      </w:r>
      <w:r w:rsidR="00780C3E" w:rsidRPr="004A3983">
        <w:rPr>
          <w:rFonts w:ascii="Gotham Book" w:hAnsi="Gotham Book"/>
        </w:rPr>
        <w:t xml:space="preserve"> As </w:t>
      </w:r>
      <w:r w:rsidR="000C09BC" w:rsidRPr="004A3983">
        <w:rPr>
          <w:rFonts w:ascii="Gotham Book" w:hAnsi="Gotham Book"/>
        </w:rPr>
        <w:t xml:space="preserve">a result of these charges, they </w:t>
      </w:r>
      <w:r w:rsidR="00780C3E" w:rsidRPr="004A3983">
        <w:rPr>
          <w:rFonts w:ascii="Gotham Book" w:hAnsi="Gotham Book"/>
        </w:rPr>
        <w:t>were wrongly convicted, sentenced and in some cases imprisoned for offences that they did not commit.</w:t>
      </w:r>
    </w:p>
    <w:p w14:paraId="424FE549" w14:textId="473CF95D" w:rsidR="00701115" w:rsidRPr="004A3983" w:rsidRDefault="00E14B7E" w:rsidP="000B620D">
      <w:pPr>
        <w:spacing w:after="160"/>
        <w:ind w:right="-2"/>
        <w:rPr>
          <w:rFonts w:ascii="Gotham Book" w:hAnsi="Gotham Book"/>
        </w:rPr>
      </w:pPr>
      <w:r w:rsidRPr="004A3983">
        <w:rPr>
          <w:rFonts w:ascii="Gotham Book" w:hAnsi="Gotham Book"/>
        </w:rPr>
        <w:t>I</w:t>
      </w:r>
      <w:r w:rsidR="00780C3E" w:rsidRPr="004A3983">
        <w:rPr>
          <w:rFonts w:ascii="Gotham Book" w:hAnsi="Gotham Book"/>
        </w:rPr>
        <w:t>n deter</w:t>
      </w:r>
      <w:r w:rsidR="00CE401F" w:rsidRPr="004A3983">
        <w:rPr>
          <w:rFonts w:ascii="Gotham Book" w:hAnsi="Gotham Book"/>
        </w:rPr>
        <w:t xml:space="preserve">mining whether conduct that is </w:t>
      </w:r>
      <w:r w:rsidR="00780C3E" w:rsidRPr="004A3983">
        <w:rPr>
          <w:rFonts w:ascii="Gotham Book" w:hAnsi="Gotham Book"/>
        </w:rPr>
        <w:t>unj</w:t>
      </w:r>
      <w:r w:rsidR="00CE401F" w:rsidRPr="004A3983">
        <w:rPr>
          <w:rFonts w:ascii="Gotham Book" w:hAnsi="Gotham Book"/>
        </w:rPr>
        <w:t>ust or oppressive in its effect is of a serious nature</w:t>
      </w:r>
      <w:r w:rsidR="00780C3E" w:rsidRPr="004A3983">
        <w:rPr>
          <w:rFonts w:ascii="Gotham Book" w:hAnsi="Gotham Book"/>
        </w:rPr>
        <w:t>, regard must be had to th</w:t>
      </w:r>
      <w:r w:rsidRPr="004A3983">
        <w:rPr>
          <w:rFonts w:ascii="Gotham Book" w:hAnsi="Gotham Book"/>
        </w:rPr>
        <w:t xml:space="preserve">e consequences of that conduct. </w:t>
      </w:r>
      <w:r w:rsidR="00F1787B" w:rsidRPr="004A3983">
        <w:rPr>
          <w:rFonts w:ascii="Gotham Book" w:hAnsi="Gotham Book"/>
        </w:rPr>
        <w:t>The seriousness of</w:t>
      </w:r>
      <w:r w:rsidR="00780C3E" w:rsidRPr="004A3983">
        <w:rPr>
          <w:rFonts w:ascii="Gotham Book" w:hAnsi="Gotham Book"/>
        </w:rPr>
        <w:t xml:space="preserve"> the consequences of these persons being charged </w:t>
      </w:r>
      <w:r w:rsidR="00440596" w:rsidRPr="004A3983">
        <w:rPr>
          <w:rFonts w:ascii="Gotham Book" w:hAnsi="Gotham Book"/>
        </w:rPr>
        <w:t xml:space="preserve">with offences under the CPOR Act when those offences did not as a matter of law apply to them </w:t>
      </w:r>
      <w:r w:rsidR="00F1787B" w:rsidRPr="004A3983">
        <w:rPr>
          <w:rFonts w:ascii="Gotham Book" w:hAnsi="Gotham Book"/>
        </w:rPr>
        <w:t>is indisputable</w:t>
      </w:r>
      <w:r w:rsidR="00780C3E" w:rsidRPr="004A3983">
        <w:rPr>
          <w:rFonts w:ascii="Gotham Book" w:hAnsi="Gotham Book"/>
        </w:rPr>
        <w:t xml:space="preserve">. </w:t>
      </w:r>
      <w:r w:rsidR="00062F96" w:rsidRPr="004A3983">
        <w:rPr>
          <w:rFonts w:ascii="Gotham Book" w:hAnsi="Gotham Book"/>
        </w:rPr>
        <w:t>Seven</w:t>
      </w:r>
      <w:r w:rsidR="00780C3E" w:rsidRPr="004A3983">
        <w:rPr>
          <w:rFonts w:ascii="Gotham Book" w:hAnsi="Gotham Book"/>
        </w:rPr>
        <w:t xml:space="preserve"> persons were convicted and sentenced for offences they did not comm</w:t>
      </w:r>
      <w:r w:rsidR="004A12AC" w:rsidRPr="004A3983">
        <w:rPr>
          <w:rFonts w:ascii="Gotham Book" w:hAnsi="Gotham Book"/>
        </w:rPr>
        <w:t>it. Five of these persons were sentenced to</w:t>
      </w:r>
      <w:r w:rsidR="00780C3E" w:rsidRPr="004A3983">
        <w:rPr>
          <w:rFonts w:ascii="Gotham Book" w:hAnsi="Gotham Book"/>
        </w:rPr>
        <w:t xml:space="preserve"> imprisonment </w:t>
      </w:r>
      <w:r w:rsidR="00062F96" w:rsidRPr="004A3983">
        <w:rPr>
          <w:rFonts w:ascii="Gotham Book" w:hAnsi="Gotham Book"/>
        </w:rPr>
        <w:t xml:space="preserve">for their wrongful convictions, and </w:t>
      </w:r>
      <w:r w:rsidR="00780C3E" w:rsidRPr="004A3983">
        <w:rPr>
          <w:rFonts w:ascii="Gotham Book" w:hAnsi="Gotham Book"/>
        </w:rPr>
        <w:t>two of those persons (Mr DD (</w:t>
      </w:r>
      <w:r w:rsidR="007F27C6" w:rsidRPr="004A3983">
        <w:rPr>
          <w:rFonts w:ascii="Gotham Book" w:hAnsi="Gotham Book"/>
        </w:rPr>
        <w:t>Case Study</w:t>
      </w:r>
      <w:r w:rsidR="00780C3E" w:rsidRPr="004A3983">
        <w:rPr>
          <w:rFonts w:ascii="Gotham Book" w:hAnsi="Gotham Book"/>
        </w:rPr>
        <w:t xml:space="preserve"> </w:t>
      </w:r>
      <w:r w:rsidR="00920DE5" w:rsidRPr="004A3983">
        <w:rPr>
          <w:rFonts w:ascii="Gotham Book" w:hAnsi="Gotham Book"/>
        </w:rPr>
        <w:t>4</w:t>
      </w:r>
      <w:r w:rsidR="00780C3E" w:rsidRPr="004A3983">
        <w:rPr>
          <w:rFonts w:ascii="Gotham Book" w:hAnsi="Gotham Book"/>
        </w:rPr>
        <w:t xml:space="preserve">) </w:t>
      </w:r>
      <w:r w:rsidR="00C43BBA" w:rsidRPr="004A3983">
        <w:rPr>
          <w:rFonts w:ascii="Gotham Book" w:hAnsi="Gotham Book"/>
        </w:rPr>
        <w:t xml:space="preserve">and </w:t>
      </w:r>
      <w:r w:rsidR="00780C3E" w:rsidRPr="004A3983">
        <w:rPr>
          <w:rFonts w:ascii="Gotham Book" w:hAnsi="Gotham Book"/>
        </w:rPr>
        <w:t>Mr CC (</w:t>
      </w:r>
      <w:r w:rsidR="007F27C6" w:rsidRPr="004A3983">
        <w:rPr>
          <w:rFonts w:ascii="Gotham Book" w:hAnsi="Gotham Book"/>
        </w:rPr>
        <w:t>Case Study</w:t>
      </w:r>
      <w:r w:rsidR="00780C3E" w:rsidRPr="004A3983">
        <w:rPr>
          <w:rFonts w:ascii="Gotham Book" w:hAnsi="Gotham Book"/>
        </w:rPr>
        <w:t xml:space="preserve"> </w:t>
      </w:r>
      <w:r w:rsidR="00920DE5" w:rsidRPr="004A3983">
        <w:rPr>
          <w:rFonts w:ascii="Gotham Book" w:hAnsi="Gotham Book"/>
        </w:rPr>
        <w:t>6</w:t>
      </w:r>
      <w:r w:rsidR="00780C3E" w:rsidRPr="004A3983">
        <w:rPr>
          <w:rFonts w:ascii="Gotham Book" w:hAnsi="Gotham Book"/>
        </w:rPr>
        <w:t>) were unlawfully imprisoned for over a year</w:t>
      </w:r>
      <w:r w:rsidR="00E06B56" w:rsidRPr="004A3983">
        <w:rPr>
          <w:rFonts w:ascii="Gotham Book" w:hAnsi="Gotham Book"/>
        </w:rPr>
        <w:t xml:space="preserve"> in total</w:t>
      </w:r>
      <w:r w:rsidR="00780C3E" w:rsidRPr="004A3983">
        <w:rPr>
          <w:rFonts w:ascii="Gotham Book" w:hAnsi="Gotham Book"/>
        </w:rPr>
        <w:t>.</w:t>
      </w:r>
      <w:r w:rsidR="004B7109" w:rsidRPr="004A3983">
        <w:rPr>
          <w:rFonts w:ascii="Gotham Book" w:hAnsi="Gotham Book"/>
        </w:rPr>
        <w:t xml:space="preserve"> </w:t>
      </w:r>
    </w:p>
    <w:p w14:paraId="36955D0B" w14:textId="3A5FA725" w:rsidR="002B1CEB" w:rsidRPr="004A3983" w:rsidRDefault="00AC4500" w:rsidP="00D531AC">
      <w:pPr>
        <w:pStyle w:val="FindingsHeading"/>
        <w:spacing w:line="259" w:lineRule="auto"/>
      </w:pPr>
      <w:bookmarkStart w:id="225" w:name="_Toc22277100"/>
      <w:r w:rsidRPr="004A3983">
        <w:rPr>
          <w:rFonts w:ascii="Gotham Book" w:hAnsi="Gotham Book"/>
        </w:rPr>
        <w:t>As a result of the incorrect decisions referred to in Finding 1, t</w:t>
      </w:r>
      <w:r w:rsidR="00A00F38" w:rsidRPr="004A3983">
        <w:rPr>
          <w:rFonts w:ascii="Gotham Book" w:hAnsi="Gotham Book"/>
        </w:rPr>
        <w:t xml:space="preserve">he NSW Police Force </w:t>
      </w:r>
      <w:r w:rsidR="002B1CEB" w:rsidRPr="004A3983">
        <w:t>charged</w:t>
      </w:r>
      <w:r w:rsidR="004946C9" w:rsidRPr="004A3983">
        <w:t xml:space="preserve"> </w:t>
      </w:r>
      <w:r w:rsidR="002B1CEB" w:rsidRPr="004A3983">
        <w:t>and arrested</w:t>
      </w:r>
      <w:r w:rsidR="00E51AD2" w:rsidRPr="004A3983">
        <w:t xml:space="preserve"> </w:t>
      </w:r>
      <w:r w:rsidR="004946C9" w:rsidRPr="004A3983">
        <w:t xml:space="preserve">persons </w:t>
      </w:r>
      <w:r w:rsidR="001B0CA2" w:rsidRPr="004A3983">
        <w:t>for</w:t>
      </w:r>
      <w:r w:rsidR="00F0671F" w:rsidRPr="004A3983">
        <w:t xml:space="preserve"> failing</w:t>
      </w:r>
      <w:r w:rsidR="004946C9" w:rsidRPr="004A3983">
        <w:t xml:space="preserve"> to comply with </w:t>
      </w:r>
      <w:r w:rsidR="004946C9" w:rsidRPr="004A3983">
        <w:lastRenderedPageBreak/>
        <w:t>reporting obligations</w:t>
      </w:r>
      <w:r w:rsidR="001B0CA2" w:rsidRPr="004A3983">
        <w:t xml:space="preserve"> or providing false or misleading information</w:t>
      </w:r>
      <w:r w:rsidR="004946C9" w:rsidRPr="004A3983">
        <w:t xml:space="preserve"> under the CPOR Act,</w:t>
      </w:r>
      <w:r w:rsidR="00903EB8" w:rsidRPr="004A3983">
        <w:t xml:space="preserve"> when</w:t>
      </w:r>
      <w:r w:rsidR="004946C9" w:rsidRPr="004A3983">
        <w:t xml:space="preserve"> those persons </w:t>
      </w:r>
      <w:r w:rsidR="00903EB8" w:rsidRPr="004A3983">
        <w:t>were not under any obligation to report</w:t>
      </w:r>
      <w:r w:rsidR="004946C9" w:rsidRPr="004A3983">
        <w:t xml:space="preserve"> </w:t>
      </w:r>
      <w:r w:rsidR="00903EB8" w:rsidRPr="004A3983">
        <w:t>under that</w:t>
      </w:r>
      <w:r w:rsidR="004946C9" w:rsidRPr="004A3983">
        <w:t xml:space="preserve"> Act</w:t>
      </w:r>
      <w:r w:rsidR="00932DB5" w:rsidRPr="004A3983">
        <w:t xml:space="preserve"> at the relevant time</w:t>
      </w:r>
      <w:r w:rsidR="004946C9" w:rsidRPr="004A3983">
        <w:t>.</w:t>
      </w:r>
      <w:r w:rsidR="00A00F38" w:rsidRPr="004A3983">
        <w:t xml:space="preserve"> </w:t>
      </w:r>
      <w:r w:rsidR="00537031" w:rsidRPr="004A3983">
        <w:t xml:space="preserve">These </w:t>
      </w:r>
      <w:r w:rsidR="00AA7F85" w:rsidRPr="004A3983">
        <w:t xml:space="preserve">were actions </w:t>
      </w:r>
      <w:r w:rsidR="00405BB0" w:rsidRPr="004A3983">
        <w:t>of a serious nature which</w:t>
      </w:r>
      <w:r w:rsidR="00FE0038" w:rsidRPr="004A3983">
        <w:t>, although not unlawful,</w:t>
      </w:r>
      <w:r w:rsidR="00405BB0" w:rsidRPr="004A3983">
        <w:t xml:space="preserve"> were unjust or oppressive in </w:t>
      </w:r>
      <w:r w:rsidR="00570CC7" w:rsidRPr="004A3983">
        <w:t xml:space="preserve">their </w:t>
      </w:r>
      <w:r w:rsidR="00405BB0" w:rsidRPr="004A3983">
        <w:t>effect</w:t>
      </w:r>
      <w:r w:rsidR="00570CC7" w:rsidRPr="004A3983">
        <w:t>s</w:t>
      </w:r>
      <w:r w:rsidR="00AA7F85" w:rsidRPr="004A3983">
        <w:rPr>
          <w:rFonts w:ascii="Gotham Book" w:hAnsi="Gotham Book"/>
        </w:rPr>
        <w:t>.</w:t>
      </w:r>
      <w:bookmarkEnd w:id="225"/>
    </w:p>
    <w:p w14:paraId="7AB8D12F" w14:textId="1B9AF739" w:rsidR="00780C3E" w:rsidRPr="004A3983" w:rsidRDefault="0079704F" w:rsidP="00A0529B">
      <w:pPr>
        <w:pStyle w:val="Heading2"/>
        <w:spacing w:after="160"/>
        <w:ind w:right="-2"/>
      </w:pPr>
      <w:bookmarkStart w:id="226" w:name="_Toc22627765"/>
      <w:r w:rsidRPr="004A3983">
        <w:t>I</w:t>
      </w:r>
      <w:r w:rsidR="00780C3E" w:rsidRPr="004A3983">
        <w:t xml:space="preserve">mprovements in </w:t>
      </w:r>
      <w:r w:rsidR="00BD00EA" w:rsidRPr="004A3983">
        <w:t>the administration of the Register</w:t>
      </w:r>
      <w:r w:rsidRPr="004A3983">
        <w:t xml:space="preserve"> since 2016</w:t>
      </w:r>
      <w:bookmarkEnd w:id="226"/>
      <w:r w:rsidR="00576342" w:rsidRPr="004A3983">
        <w:t xml:space="preserve"> </w:t>
      </w:r>
    </w:p>
    <w:p w14:paraId="42FBD694" w14:textId="7B0ABFC4" w:rsidR="00B379BD" w:rsidRPr="004A3983" w:rsidRDefault="00B379BD" w:rsidP="00677302">
      <w:pPr>
        <w:spacing w:after="160"/>
        <w:rPr>
          <w:rFonts w:ascii="Gotham Book" w:hAnsi="Gotham Book" w:cs="Arial"/>
        </w:rPr>
      </w:pPr>
      <w:r w:rsidRPr="004A3983">
        <w:rPr>
          <w:rFonts w:ascii="Gotham Book" w:hAnsi="Gotham Book" w:cs="Arial"/>
        </w:rPr>
        <w:t xml:space="preserve">Since </w:t>
      </w:r>
      <w:r w:rsidR="002F5207" w:rsidRPr="004A3983">
        <w:rPr>
          <w:rFonts w:ascii="Gotham Book" w:hAnsi="Gotham Book" w:cs="Arial"/>
        </w:rPr>
        <w:t>2016 when the CPR case review was initiated,</w:t>
      </w:r>
      <w:r w:rsidRPr="004A3983">
        <w:rPr>
          <w:rFonts w:ascii="Gotham Book" w:hAnsi="Gotham Book" w:cs="Arial"/>
        </w:rPr>
        <w:t xml:space="preserve"> the NSW Police Force has taken</w:t>
      </w:r>
      <w:r w:rsidR="00864C5D">
        <w:rPr>
          <w:rFonts w:ascii="Gotham Book" w:hAnsi="Gotham Book" w:cs="Arial"/>
        </w:rPr>
        <w:t> </w:t>
      </w:r>
      <w:r w:rsidRPr="004A3983">
        <w:rPr>
          <w:rFonts w:ascii="Gotham Book" w:hAnsi="Gotham Book" w:cs="Arial"/>
        </w:rPr>
        <w:t>a number of significant steps to improve its administration of the Register. In</w:t>
      </w:r>
      <w:r w:rsidR="00864C5D">
        <w:rPr>
          <w:rFonts w:ascii="Gotham Book" w:hAnsi="Gotham Book" w:cs="Arial"/>
        </w:rPr>
        <w:t> </w:t>
      </w:r>
      <w:r w:rsidRPr="004A3983">
        <w:rPr>
          <w:rFonts w:ascii="Gotham Book" w:hAnsi="Gotham Book" w:cs="Arial"/>
        </w:rPr>
        <w:t>addition to completing the CPR case review:</w:t>
      </w:r>
    </w:p>
    <w:p w14:paraId="50659D4F" w14:textId="114ED7CA" w:rsidR="00267B1D" w:rsidRPr="004A3983" w:rsidRDefault="000A255A" w:rsidP="00864C5D">
      <w:pPr>
        <w:pStyle w:val="ListBullet"/>
      </w:pPr>
      <w:r w:rsidRPr="004A3983">
        <w:t>I</w:t>
      </w:r>
      <w:r w:rsidR="00267B1D" w:rsidRPr="004A3983">
        <w:t>n September 2016 the NSW Police Force held a thematic Command Performance Assessment (COMPASS) forum about the ma</w:t>
      </w:r>
      <w:r w:rsidRPr="004A3983">
        <w:t>nagement of registrable persons.</w:t>
      </w:r>
      <w:r w:rsidR="00267B1D" w:rsidRPr="004A3983">
        <w:rPr>
          <w:rStyle w:val="FootnoteReference"/>
        </w:rPr>
        <w:footnoteReference w:id="153"/>
      </w:r>
      <w:r w:rsidR="00267B1D" w:rsidRPr="004A3983" w:rsidDel="008E6A55">
        <w:t xml:space="preserve"> </w:t>
      </w:r>
    </w:p>
    <w:p w14:paraId="23E7B051" w14:textId="79F3FE1E" w:rsidR="00970C45" w:rsidRPr="004A3983" w:rsidRDefault="000A255A" w:rsidP="00864C5D">
      <w:pPr>
        <w:pStyle w:val="ListBullet"/>
      </w:pPr>
      <w:r w:rsidRPr="004A3983">
        <w:t>I</w:t>
      </w:r>
      <w:r w:rsidR="00970C45" w:rsidRPr="004A3983">
        <w:t xml:space="preserve">n 2017 the </w:t>
      </w:r>
      <w:r w:rsidR="0018281A" w:rsidRPr="004A3983">
        <w:t xml:space="preserve">New South Wales Police Force awarded the Registry Manager </w:t>
      </w:r>
      <w:r w:rsidR="00970C45" w:rsidRPr="004A3983">
        <w:t>the Michael O’Brien Scholarship, which enabled him to travel overseas to examine the methods for managing registrable persons used in other jurisdictions and make recomme</w:t>
      </w:r>
      <w:r w:rsidR="00C43BBA" w:rsidRPr="004A3983">
        <w:t>ndations for improvements in New South Wales</w:t>
      </w:r>
      <w:r w:rsidR="00970C45" w:rsidRPr="004A3983">
        <w:t>.</w:t>
      </w:r>
      <w:r w:rsidR="00970C45" w:rsidRPr="004A3983">
        <w:rPr>
          <w:rStyle w:val="FootnoteReference"/>
        </w:rPr>
        <w:footnoteReference w:id="154"/>
      </w:r>
      <w:r w:rsidR="00970C45" w:rsidRPr="004A3983">
        <w:t xml:space="preserve"> </w:t>
      </w:r>
    </w:p>
    <w:p w14:paraId="5C1648FC" w14:textId="39C25415" w:rsidR="00B379BD" w:rsidRPr="004A3983" w:rsidRDefault="000A255A" w:rsidP="00864C5D">
      <w:pPr>
        <w:pStyle w:val="ListBullet"/>
      </w:pPr>
      <w:r w:rsidRPr="004A3983">
        <w:t>I</w:t>
      </w:r>
      <w:r w:rsidR="00B379BD" w:rsidRPr="004A3983">
        <w:t xml:space="preserve">n July 2017 the Workforce Intelligence Unit in the NSW Police Force Human Resources Command completed a comprehensive analysis of the staffing of the Registry, </w:t>
      </w:r>
      <w:r w:rsidR="002F5207" w:rsidRPr="004A3983">
        <w:t xml:space="preserve">which made </w:t>
      </w:r>
      <w:r w:rsidR="00B379BD" w:rsidRPr="004A3983">
        <w:t>22 recommendations</w:t>
      </w:r>
      <w:r w:rsidR="002F5207" w:rsidRPr="004A3983">
        <w:t xml:space="preserve"> (the Regi</w:t>
      </w:r>
      <w:r w:rsidRPr="004A3983">
        <w:t>ster Staffing Review</w:t>
      </w:r>
      <w:r w:rsidR="00DB5476" w:rsidRPr="004A3983">
        <w:t>, discussed in Chapter 5</w:t>
      </w:r>
      <w:r w:rsidRPr="004A3983">
        <w:t>).</w:t>
      </w:r>
      <w:r w:rsidR="00B379BD" w:rsidRPr="004A3983">
        <w:rPr>
          <w:rStyle w:val="FootnoteReference"/>
        </w:rPr>
        <w:footnoteReference w:id="155"/>
      </w:r>
    </w:p>
    <w:p w14:paraId="5110A83B" w14:textId="0EA7B4FE" w:rsidR="00CF5D6C" w:rsidRPr="004A3983" w:rsidRDefault="000A255A" w:rsidP="00864C5D">
      <w:pPr>
        <w:pStyle w:val="ListBullet"/>
      </w:pPr>
      <w:r w:rsidRPr="004A3983">
        <w:t>A</w:t>
      </w:r>
      <w:r w:rsidR="004D00E7" w:rsidRPr="004A3983">
        <w:t>lso in July 2017</w:t>
      </w:r>
      <w:r w:rsidRPr="004A3983">
        <w:t>,</w:t>
      </w:r>
      <w:r w:rsidR="004D00E7" w:rsidRPr="004A3983">
        <w:t xml:space="preserve"> the NSW Police Force approved an IT project to upgrade the interface between COPS and Corr</w:t>
      </w:r>
      <w:r w:rsidR="00C43BBA" w:rsidRPr="004A3983">
        <w:t>ective Services NSW</w:t>
      </w:r>
      <w:r w:rsidR="004D00E7" w:rsidRPr="004A3983">
        <w:t xml:space="preserve"> Offender Integrated Management System</w:t>
      </w:r>
      <w:r w:rsidR="00DB5476" w:rsidRPr="004A3983">
        <w:t xml:space="preserve"> (discussed in Chapter 8)</w:t>
      </w:r>
      <w:r w:rsidRPr="004A3983">
        <w:t>.</w:t>
      </w:r>
      <w:r w:rsidR="00DB5476" w:rsidRPr="004A3983">
        <w:t xml:space="preserve"> </w:t>
      </w:r>
    </w:p>
    <w:p w14:paraId="444412C8" w14:textId="620BEE2A" w:rsidR="00F454BE" w:rsidRPr="004A3983" w:rsidRDefault="00D64A12" w:rsidP="00864C5D">
      <w:pPr>
        <w:pStyle w:val="ListBullet"/>
      </w:pPr>
      <w:r w:rsidRPr="004A3983">
        <w:rPr>
          <w:rFonts w:cs="Arial"/>
        </w:rPr>
        <w:t>I</w:t>
      </w:r>
      <w:r w:rsidR="00A0713C" w:rsidRPr="004A3983">
        <w:rPr>
          <w:rFonts w:cs="Arial"/>
        </w:rPr>
        <w:t xml:space="preserve">n December 2017, </w:t>
      </w:r>
      <w:r w:rsidR="00003678" w:rsidRPr="004A3983">
        <w:rPr>
          <w:rFonts w:cs="Arial"/>
        </w:rPr>
        <w:t>as part of a restructure of the</w:t>
      </w:r>
      <w:r w:rsidR="004B68FF" w:rsidRPr="004A3983">
        <w:rPr>
          <w:rFonts w:cs="Arial"/>
        </w:rPr>
        <w:t xml:space="preserve"> </w:t>
      </w:r>
      <w:r w:rsidR="00A0713C" w:rsidRPr="004A3983">
        <w:rPr>
          <w:rFonts w:cs="Arial"/>
        </w:rPr>
        <w:t>State Crime Command</w:t>
      </w:r>
      <w:r w:rsidR="00F85826" w:rsidRPr="004A3983">
        <w:rPr>
          <w:rFonts w:cs="Arial"/>
        </w:rPr>
        <w:t>,</w:t>
      </w:r>
      <w:r w:rsidR="00A0713C" w:rsidRPr="004A3983">
        <w:rPr>
          <w:rFonts w:cs="Arial"/>
        </w:rPr>
        <w:t xml:space="preserve"> </w:t>
      </w:r>
      <w:r w:rsidR="00E15AEA" w:rsidRPr="004A3983">
        <w:rPr>
          <w:rFonts w:cs="Arial"/>
        </w:rPr>
        <w:t>11</w:t>
      </w:r>
      <w:r w:rsidR="00864C5D">
        <w:rPr>
          <w:rFonts w:cs="Arial"/>
        </w:rPr>
        <w:t> </w:t>
      </w:r>
      <w:r w:rsidR="00A0713C" w:rsidRPr="004A3983">
        <w:rPr>
          <w:rFonts w:cs="Arial"/>
        </w:rPr>
        <w:t xml:space="preserve">positions were added to the Registry, </w:t>
      </w:r>
      <w:r w:rsidR="00E15AEA" w:rsidRPr="004A3983">
        <w:rPr>
          <w:rFonts w:cs="Arial"/>
        </w:rPr>
        <w:t xml:space="preserve">including eight </w:t>
      </w:r>
      <w:r w:rsidR="00635B27" w:rsidRPr="004A3983">
        <w:rPr>
          <w:rFonts w:cs="Arial"/>
        </w:rPr>
        <w:t>sworn officers</w:t>
      </w:r>
      <w:r w:rsidRPr="004A3983">
        <w:rPr>
          <w:rFonts w:cs="Arial"/>
        </w:rPr>
        <w:t>.</w:t>
      </w:r>
      <w:r w:rsidR="00E15AEA" w:rsidRPr="004A3983">
        <w:rPr>
          <w:rFonts w:cs="Arial"/>
        </w:rPr>
        <w:t xml:space="preserve"> </w:t>
      </w:r>
      <w:r w:rsidRPr="004A3983">
        <w:rPr>
          <w:rFonts w:cs="Arial"/>
        </w:rPr>
        <w:t>T</w:t>
      </w:r>
      <w:r w:rsidR="00A0713C" w:rsidRPr="004A3983">
        <w:rPr>
          <w:rFonts w:cs="Arial"/>
        </w:rPr>
        <w:t xml:space="preserve">he addition of these officers enabled the Registry </w:t>
      </w:r>
      <w:r w:rsidR="002D2330" w:rsidRPr="004A3983">
        <w:rPr>
          <w:rFonts w:cs="Arial"/>
        </w:rPr>
        <w:t xml:space="preserve">in 2018 </w:t>
      </w:r>
      <w:r w:rsidR="00F454BE" w:rsidRPr="004A3983">
        <w:rPr>
          <w:rFonts w:cs="Arial"/>
        </w:rPr>
        <w:t>to create:</w:t>
      </w:r>
    </w:p>
    <w:p w14:paraId="79CF7346" w14:textId="3676E532" w:rsidR="00F454BE" w:rsidRPr="004A3983" w:rsidRDefault="001F3A07" w:rsidP="00677139">
      <w:pPr>
        <w:pStyle w:val="ListBullet"/>
        <w:numPr>
          <w:ilvl w:val="1"/>
          <w:numId w:val="15"/>
        </w:numPr>
      </w:pPr>
      <w:r w:rsidRPr="004A3983">
        <w:t>a</w:t>
      </w:r>
      <w:r w:rsidR="00A0713C" w:rsidRPr="004A3983">
        <w:t xml:space="preserve"> </w:t>
      </w:r>
      <w:r w:rsidR="002D2330" w:rsidRPr="004A3983">
        <w:t>dedicated</w:t>
      </w:r>
      <w:r w:rsidR="00A0713C" w:rsidRPr="004A3983">
        <w:t xml:space="preserve"> Quality Assurance </w:t>
      </w:r>
      <w:r w:rsidRPr="004A3983">
        <w:t>officer</w:t>
      </w:r>
      <w:r w:rsidR="002D2330" w:rsidRPr="004A3983">
        <w:t xml:space="preserve">, </w:t>
      </w:r>
      <w:r w:rsidRPr="004A3983">
        <w:t>who ensures that supervisory checks are completed when</w:t>
      </w:r>
      <w:r w:rsidR="00526A06" w:rsidRPr="004A3983">
        <w:t>ever</w:t>
      </w:r>
      <w:r w:rsidRPr="004A3983">
        <w:t xml:space="preserve"> a new Register case is created</w:t>
      </w:r>
      <w:r w:rsidR="00D64A12" w:rsidRPr="004A3983">
        <w:t>, and</w:t>
      </w:r>
    </w:p>
    <w:p w14:paraId="1E2CB262" w14:textId="4DC33607" w:rsidR="00F454BE" w:rsidRPr="004A3983" w:rsidRDefault="00F454BE" w:rsidP="00677139">
      <w:pPr>
        <w:pStyle w:val="ListBullet"/>
        <w:numPr>
          <w:ilvl w:val="1"/>
          <w:numId w:val="15"/>
        </w:numPr>
      </w:pPr>
      <w:r w:rsidRPr="004A3983">
        <w:lastRenderedPageBreak/>
        <w:t xml:space="preserve">a </w:t>
      </w:r>
      <w:r w:rsidR="003A2E3E" w:rsidRPr="004A3983">
        <w:t>dedicated Training Officer role, to increase training of staff both within the Registry and in the local commands</w:t>
      </w:r>
      <w:r w:rsidR="00D64A12" w:rsidRPr="004A3983">
        <w:t>.</w:t>
      </w:r>
    </w:p>
    <w:p w14:paraId="63B50BF7" w14:textId="6EF31D19" w:rsidR="00576342" w:rsidRPr="004A3983" w:rsidRDefault="00D64A12" w:rsidP="00864C5D">
      <w:pPr>
        <w:pStyle w:val="ListBullet"/>
      </w:pPr>
      <w:r w:rsidRPr="004A3983">
        <w:t>I</w:t>
      </w:r>
      <w:r w:rsidR="00F454BE" w:rsidRPr="004A3983">
        <w:t xml:space="preserve">n 2018 the Registry was also given increased legal support through the loan of a full-time legal officer from the </w:t>
      </w:r>
      <w:r w:rsidR="00A93ECA" w:rsidRPr="004A3983">
        <w:t>Prosecutions Command</w:t>
      </w:r>
      <w:r w:rsidRPr="004A3983">
        <w:t>.</w:t>
      </w:r>
      <w:r w:rsidR="00DB5476" w:rsidRPr="004A3983">
        <w:t xml:space="preserve"> </w:t>
      </w:r>
    </w:p>
    <w:p w14:paraId="573BAEE5" w14:textId="580A574A" w:rsidR="000E0659" w:rsidRPr="004A3983" w:rsidRDefault="00707663" w:rsidP="00864C5D">
      <w:pPr>
        <w:pStyle w:val="ListBullet"/>
      </w:pPr>
      <w:r w:rsidRPr="004A3983">
        <w:t xml:space="preserve">After the NSW Government agreed </w:t>
      </w:r>
      <w:r w:rsidR="00C877F2" w:rsidRPr="004A3983">
        <w:t xml:space="preserve">in November 2018 </w:t>
      </w:r>
      <w:r w:rsidRPr="004A3983">
        <w:t xml:space="preserve">to provide </w:t>
      </w:r>
      <w:r w:rsidR="00C877F2" w:rsidRPr="004A3983">
        <w:t xml:space="preserve">funding for additional officers, </w:t>
      </w:r>
      <w:r w:rsidRPr="004A3983">
        <w:t xml:space="preserve">in 2019 </w:t>
      </w:r>
      <w:r w:rsidR="00C877F2" w:rsidRPr="004A3983">
        <w:t>15</w:t>
      </w:r>
      <w:r w:rsidR="000E0659" w:rsidRPr="004A3983">
        <w:t xml:space="preserve"> officers</w:t>
      </w:r>
      <w:r w:rsidR="00C877F2" w:rsidRPr="004A3983">
        <w:t xml:space="preserve"> were </w:t>
      </w:r>
      <w:r w:rsidR="000E0659" w:rsidRPr="004A3983">
        <w:t>deployed to local commands</w:t>
      </w:r>
      <w:r w:rsidR="00C877F2" w:rsidRPr="004A3983">
        <w:t xml:space="preserve"> for the specific purpose of monitoring registrable persons. The NSW Commissioner of Police</w:t>
      </w:r>
      <w:r w:rsidR="000E0659" w:rsidRPr="004A3983">
        <w:t xml:space="preserve"> </w:t>
      </w:r>
      <w:r w:rsidR="00C877F2" w:rsidRPr="004A3983">
        <w:t>has advised that</w:t>
      </w:r>
      <w:r w:rsidR="000E0659" w:rsidRPr="004A3983">
        <w:t xml:space="preserve"> </w:t>
      </w:r>
      <w:r w:rsidR="00C877F2" w:rsidRPr="004A3983">
        <w:t>another 33 dedicated Register positions will</w:t>
      </w:r>
      <w:r w:rsidR="000E0659" w:rsidRPr="004A3983">
        <w:t xml:space="preserve"> be allocated </w:t>
      </w:r>
      <w:r w:rsidR="006533E2" w:rsidRPr="004A3983">
        <w:t xml:space="preserve">to local commands </w:t>
      </w:r>
      <w:r w:rsidR="000E0659" w:rsidRPr="004A3983">
        <w:t>in the coming years.</w:t>
      </w:r>
      <w:r w:rsidR="000E0659" w:rsidRPr="004A3983">
        <w:rPr>
          <w:rStyle w:val="FootnoteReference"/>
          <w:rFonts w:cs="Arial"/>
        </w:rPr>
        <w:footnoteReference w:id="156"/>
      </w:r>
    </w:p>
    <w:p w14:paraId="56FD761E" w14:textId="1AEDB15D" w:rsidR="000E0659" w:rsidRPr="004A3983" w:rsidRDefault="006533E2" w:rsidP="000B620D">
      <w:pPr>
        <w:spacing w:after="160"/>
        <w:ind w:right="-2"/>
        <w:rPr>
          <w:rFonts w:ascii="Gotham Book" w:hAnsi="Gotham Book"/>
        </w:rPr>
      </w:pPr>
      <w:r w:rsidRPr="004A3983">
        <w:rPr>
          <w:rFonts w:ascii="Gotham Book" w:hAnsi="Gotham Book"/>
        </w:rPr>
        <w:t xml:space="preserve">The NSW Police Force has also made </w:t>
      </w:r>
      <w:r w:rsidR="00325918" w:rsidRPr="004A3983">
        <w:rPr>
          <w:rFonts w:ascii="Gotham Book" w:hAnsi="Gotham Book"/>
        </w:rPr>
        <w:t xml:space="preserve">systemic </w:t>
      </w:r>
      <w:r w:rsidRPr="004A3983">
        <w:rPr>
          <w:rFonts w:ascii="Gotham Book" w:hAnsi="Gotham Book"/>
        </w:rPr>
        <w:t xml:space="preserve">improvements </w:t>
      </w:r>
      <w:r w:rsidR="00FC2D33" w:rsidRPr="004A3983">
        <w:rPr>
          <w:rFonts w:ascii="Gotham Book" w:hAnsi="Gotham Book"/>
        </w:rPr>
        <w:t>following</w:t>
      </w:r>
      <w:r w:rsidRPr="004A3983">
        <w:rPr>
          <w:rFonts w:ascii="Gotham Book" w:hAnsi="Gotham Book"/>
        </w:rPr>
        <w:t xml:space="preserve"> recommendations made by the Commission </w:t>
      </w:r>
      <w:r w:rsidR="00067062" w:rsidRPr="004A3983">
        <w:rPr>
          <w:rFonts w:ascii="Gotham Book" w:hAnsi="Gotham Book"/>
        </w:rPr>
        <w:t xml:space="preserve">in August 2018 </w:t>
      </w:r>
      <w:r w:rsidR="00FC2D33" w:rsidRPr="004A3983">
        <w:rPr>
          <w:rFonts w:ascii="Gotham Book" w:hAnsi="Gotham Book"/>
        </w:rPr>
        <w:t>in its</w:t>
      </w:r>
      <w:r w:rsidR="007327D7" w:rsidRPr="004A3983">
        <w:rPr>
          <w:rFonts w:ascii="Gotham Book" w:hAnsi="Gotham Book"/>
        </w:rPr>
        <w:t xml:space="preserve"> interim report on Operation Tusket</w:t>
      </w:r>
      <w:r w:rsidR="00C820C6" w:rsidRPr="004A3983">
        <w:t>:</w:t>
      </w:r>
    </w:p>
    <w:p w14:paraId="49ABD12B" w14:textId="05CABD3B" w:rsidR="00325918" w:rsidRPr="00864C5D" w:rsidRDefault="00FC2D33" w:rsidP="00864C5D">
      <w:pPr>
        <w:pStyle w:val="ListBullet"/>
      </w:pPr>
      <w:r w:rsidRPr="004A3983">
        <w:t xml:space="preserve">In </w:t>
      </w:r>
      <w:r w:rsidR="00C16B97" w:rsidRPr="00864C5D">
        <w:t xml:space="preserve">late </w:t>
      </w:r>
      <w:r w:rsidRPr="00864C5D">
        <w:t>2018</w:t>
      </w:r>
      <w:r w:rsidR="00325918" w:rsidRPr="00864C5D">
        <w:t xml:space="preserve"> Registry staff </w:t>
      </w:r>
      <w:r w:rsidRPr="00864C5D">
        <w:t xml:space="preserve">were given </w:t>
      </w:r>
      <w:r w:rsidR="00325918" w:rsidRPr="00864C5D">
        <w:t>access to Corrective Services NSW OIMS</w:t>
      </w:r>
      <w:r w:rsidRPr="00864C5D">
        <w:t>,</w:t>
      </w:r>
      <w:r w:rsidR="00325918" w:rsidRPr="00864C5D">
        <w:t xml:space="preserve"> and JusticeLink, the electronic database used by the c</w:t>
      </w:r>
      <w:r w:rsidRPr="00864C5D">
        <w:t>ourts to record court outcomes (</w:t>
      </w:r>
      <w:r w:rsidR="00325918" w:rsidRPr="00864C5D">
        <w:t xml:space="preserve">see Chapter 7 section </w:t>
      </w:r>
      <w:r w:rsidR="00325918" w:rsidRPr="00864C5D">
        <w:fldChar w:fldCharType="begin"/>
      </w:r>
      <w:r w:rsidR="00325918" w:rsidRPr="00864C5D">
        <w:instrText xml:space="preserve"> REF _Ref9351882 \r \h  \* MERGEFORMAT </w:instrText>
      </w:r>
      <w:r w:rsidR="00325918" w:rsidRPr="00864C5D">
        <w:fldChar w:fldCharType="separate"/>
      </w:r>
      <w:r w:rsidR="00022664">
        <w:rPr>
          <w:rFonts w:hint="cs"/>
          <w:cs/>
        </w:rPr>
        <w:t>‎</w:t>
      </w:r>
      <w:r w:rsidR="00022664">
        <w:t>7.6</w:t>
      </w:r>
      <w:r w:rsidR="00325918" w:rsidRPr="00864C5D">
        <w:fldChar w:fldCharType="end"/>
      </w:r>
      <w:r w:rsidRPr="00864C5D">
        <w:t>)</w:t>
      </w:r>
      <w:r w:rsidR="00325918" w:rsidRPr="00864C5D">
        <w:t>.</w:t>
      </w:r>
    </w:p>
    <w:p w14:paraId="1E0CCE1F" w14:textId="3E934761" w:rsidR="00FC2D33" w:rsidRPr="004A3983" w:rsidRDefault="002133B8" w:rsidP="00864C5D">
      <w:pPr>
        <w:pStyle w:val="ListBullet"/>
      </w:pPr>
      <w:r w:rsidRPr="00864C5D">
        <w:t>A further</w:t>
      </w:r>
      <w:r w:rsidRPr="004A3983">
        <w:t xml:space="preserve"> three sworn officer</w:t>
      </w:r>
      <w:r w:rsidR="00FC2D33" w:rsidRPr="004A3983">
        <w:t xml:space="preserve"> </w:t>
      </w:r>
      <w:r w:rsidR="007D1392" w:rsidRPr="004A3983">
        <w:t>positions were allocated to the Registry</w:t>
      </w:r>
      <w:r w:rsidR="001C7B3A" w:rsidRPr="004A3983">
        <w:t xml:space="preserve"> in 2019</w:t>
      </w:r>
      <w:r w:rsidR="007D1392" w:rsidRPr="004A3983">
        <w:t>.</w:t>
      </w:r>
      <w:r w:rsidR="00FC2D33" w:rsidRPr="004A3983">
        <w:t xml:space="preserve"> </w:t>
      </w:r>
    </w:p>
    <w:p w14:paraId="69581A14" w14:textId="33F35EA1" w:rsidR="00E06E3C" w:rsidRPr="004A3983" w:rsidRDefault="00642736" w:rsidP="0008468B">
      <w:pPr>
        <w:rPr>
          <w:rFonts w:ascii="Gotham Book" w:hAnsi="Gotham Book"/>
        </w:rPr>
      </w:pPr>
      <w:bookmarkStart w:id="227" w:name="_Toc9428369"/>
      <w:bookmarkStart w:id="228" w:name="_Toc12020321"/>
      <w:bookmarkEnd w:id="227"/>
      <w:bookmarkEnd w:id="228"/>
      <w:r w:rsidRPr="004A3983">
        <w:rPr>
          <w:rFonts w:ascii="Gotham Book" w:hAnsi="Gotham Book"/>
        </w:rPr>
        <w:t>T</w:t>
      </w:r>
      <w:r w:rsidR="00432955" w:rsidRPr="004A3983">
        <w:rPr>
          <w:rFonts w:ascii="Gotham Book" w:hAnsi="Gotham Book"/>
        </w:rPr>
        <w:t xml:space="preserve">hese reviews and changes have </w:t>
      </w:r>
      <w:r w:rsidR="005A2204" w:rsidRPr="004A3983">
        <w:rPr>
          <w:rFonts w:ascii="Gotham Book" w:hAnsi="Gotham Book"/>
        </w:rPr>
        <w:t>substantially</w:t>
      </w:r>
      <w:r w:rsidR="00432955" w:rsidRPr="004A3983">
        <w:rPr>
          <w:rFonts w:ascii="Gotham Book" w:hAnsi="Gotham Book"/>
        </w:rPr>
        <w:t xml:space="preserve"> reduced the </w:t>
      </w:r>
      <w:r w:rsidR="005A2204" w:rsidRPr="004A3983">
        <w:rPr>
          <w:rFonts w:ascii="Gotham Book" w:hAnsi="Gotham Book"/>
        </w:rPr>
        <w:t>error rate in the Register</w:t>
      </w:r>
      <w:r w:rsidR="000C5648" w:rsidRPr="004A3983">
        <w:rPr>
          <w:rFonts w:ascii="Gotham Book" w:hAnsi="Gotham Book"/>
        </w:rPr>
        <w:t>, and will make future errors less likely</w:t>
      </w:r>
      <w:r w:rsidR="005A2204" w:rsidRPr="004A3983">
        <w:rPr>
          <w:rFonts w:ascii="Gotham Book" w:hAnsi="Gotham Book"/>
        </w:rPr>
        <w:t xml:space="preserve">. </w:t>
      </w:r>
      <w:r w:rsidRPr="004A3983">
        <w:rPr>
          <w:rFonts w:ascii="Gotham Book" w:hAnsi="Gotham Book"/>
        </w:rPr>
        <w:t>The new quality assurance processes in the Registry</w:t>
      </w:r>
      <w:r w:rsidR="00BA09F9" w:rsidRPr="004A3983">
        <w:rPr>
          <w:rFonts w:ascii="Gotham Book" w:hAnsi="Gotham Book"/>
        </w:rPr>
        <w:t xml:space="preserve"> </w:t>
      </w:r>
      <w:r w:rsidR="005A2204" w:rsidRPr="004A3983">
        <w:rPr>
          <w:rFonts w:ascii="Gotham Book" w:hAnsi="Gotham Book"/>
        </w:rPr>
        <w:t>are also</w:t>
      </w:r>
      <w:r w:rsidR="00BA09F9" w:rsidRPr="004A3983">
        <w:rPr>
          <w:rFonts w:ascii="Gotham Book" w:hAnsi="Gotham Book"/>
        </w:rPr>
        <w:t xml:space="preserve"> expected to </w:t>
      </w:r>
      <w:r w:rsidR="002D2330" w:rsidRPr="004A3983">
        <w:rPr>
          <w:rFonts w:ascii="Gotham Book" w:hAnsi="Gotham Book"/>
        </w:rPr>
        <w:t>mitigate the risk of unlawful, unjust or oppressive conduct</w:t>
      </w:r>
      <w:r w:rsidRPr="004A3983">
        <w:rPr>
          <w:rFonts w:ascii="Gotham Book" w:hAnsi="Gotham Book"/>
        </w:rPr>
        <w:t xml:space="preserve">, by ensuring that entries on the Register are reviewed before being relied upon by officers in the local commands. </w:t>
      </w:r>
    </w:p>
    <w:p w14:paraId="5FD5E96A" w14:textId="5865F393" w:rsidR="00214958" w:rsidRPr="004A3983" w:rsidRDefault="00773977" w:rsidP="00214958">
      <w:pPr>
        <w:spacing w:after="160"/>
      </w:pPr>
      <w:r w:rsidRPr="004A3983">
        <w:rPr>
          <w:rFonts w:ascii="Gotham Book" w:hAnsi="Gotham Book"/>
        </w:rPr>
        <w:t xml:space="preserve">However </w:t>
      </w:r>
      <w:r w:rsidR="00214958" w:rsidRPr="004A3983">
        <w:rPr>
          <w:rFonts w:ascii="Gotham Book" w:hAnsi="Gotham Book"/>
        </w:rPr>
        <w:t>the</w:t>
      </w:r>
      <w:r w:rsidR="00D270C1" w:rsidRPr="004A3983">
        <w:rPr>
          <w:rFonts w:ascii="Gotham Book" w:hAnsi="Gotham Book"/>
        </w:rPr>
        <w:t xml:space="preserve">re </w:t>
      </w:r>
      <w:r w:rsidRPr="004A3983">
        <w:rPr>
          <w:rFonts w:ascii="Gotham Book" w:hAnsi="Gotham Book"/>
        </w:rPr>
        <w:t xml:space="preserve">are </w:t>
      </w:r>
      <w:r w:rsidR="00214958" w:rsidRPr="004A3983">
        <w:rPr>
          <w:rFonts w:ascii="Gotham Book" w:hAnsi="Gotham Book"/>
        </w:rPr>
        <w:t xml:space="preserve">systemic problems which </w:t>
      </w:r>
      <w:r w:rsidRPr="004A3983">
        <w:rPr>
          <w:rFonts w:ascii="Gotham Book" w:hAnsi="Gotham Book"/>
        </w:rPr>
        <w:t xml:space="preserve">will continue to </w:t>
      </w:r>
      <w:r w:rsidR="00214958" w:rsidRPr="004A3983">
        <w:rPr>
          <w:rFonts w:ascii="Gotham Book" w:hAnsi="Gotham Book"/>
        </w:rPr>
        <w:t xml:space="preserve">create risks of </w:t>
      </w:r>
      <w:r w:rsidR="00D270C1" w:rsidRPr="004A3983">
        <w:rPr>
          <w:rFonts w:ascii="Gotham Book" w:hAnsi="Gotham Book"/>
        </w:rPr>
        <w:t>errors</w:t>
      </w:r>
      <w:r w:rsidR="00214958" w:rsidRPr="004A3983">
        <w:rPr>
          <w:rFonts w:ascii="Gotham Book" w:hAnsi="Gotham Book"/>
        </w:rPr>
        <w:t xml:space="preserve"> in the Register</w:t>
      </w:r>
      <w:r w:rsidRPr="004A3983">
        <w:rPr>
          <w:rFonts w:ascii="Gotham Book" w:hAnsi="Gotham Book"/>
        </w:rPr>
        <w:t>, at least until the legislative framework is simplified</w:t>
      </w:r>
      <w:r w:rsidR="00214958" w:rsidRPr="004A3983">
        <w:rPr>
          <w:rFonts w:ascii="Gotham Book" w:hAnsi="Gotham Book"/>
        </w:rPr>
        <w:t xml:space="preserve">. </w:t>
      </w:r>
      <w:r w:rsidR="00D270C1" w:rsidRPr="004A3983">
        <w:rPr>
          <w:rFonts w:ascii="Gotham Book" w:hAnsi="Gotham Book"/>
        </w:rPr>
        <w:t>These problems are discussed in</w:t>
      </w:r>
      <w:r w:rsidR="001803CE" w:rsidRPr="004A3983">
        <w:rPr>
          <w:rFonts w:ascii="Gotham Book" w:hAnsi="Gotham Book"/>
        </w:rPr>
        <w:t xml:space="preserve"> the second half of this report.</w:t>
      </w:r>
      <w:r w:rsidR="00D270C1" w:rsidRPr="004A3983">
        <w:rPr>
          <w:rFonts w:ascii="Gotham Book" w:hAnsi="Gotham Book"/>
        </w:rPr>
        <w:t xml:space="preserve"> </w:t>
      </w:r>
    </w:p>
    <w:p w14:paraId="178CE7CD" w14:textId="77777777" w:rsidR="00D270C1" w:rsidRPr="004A3983" w:rsidRDefault="00D270C1" w:rsidP="0008468B">
      <w:pPr>
        <w:rPr>
          <w:rFonts w:ascii="Gotham Book" w:hAnsi="Gotham Book"/>
        </w:rPr>
      </w:pPr>
    </w:p>
    <w:p w14:paraId="7D96EAE4" w14:textId="58A26885" w:rsidR="005A2204" w:rsidRPr="004A3983" w:rsidRDefault="005A2204" w:rsidP="0008468B">
      <w:pPr>
        <w:rPr>
          <w:rFonts w:ascii="Gotham Book" w:hAnsi="Gotham Book"/>
        </w:rPr>
        <w:sectPr w:rsidR="005A2204" w:rsidRPr="004A3983" w:rsidSect="00C36AFD">
          <w:headerReference w:type="even" r:id="rId41"/>
          <w:headerReference w:type="default" r:id="rId42"/>
          <w:footerReference w:type="default" r:id="rId43"/>
          <w:headerReference w:type="first" r:id="rId44"/>
          <w:footerReference w:type="first" r:id="rId45"/>
          <w:pgSz w:w="11906" w:h="16838"/>
          <w:pgMar w:top="720" w:right="1276" w:bottom="1418" w:left="1276" w:header="709" w:footer="567" w:gutter="0"/>
          <w:cols w:space="708"/>
          <w:titlePg/>
          <w:docGrid w:linePitch="360"/>
        </w:sectPr>
      </w:pPr>
    </w:p>
    <w:p w14:paraId="64604750" w14:textId="77777777" w:rsidR="008B1CB3" w:rsidRPr="004A3983" w:rsidRDefault="008B1CB3" w:rsidP="008B1CB3"/>
    <w:p w14:paraId="5825E484" w14:textId="5F8E92A5" w:rsidR="008B1CB3" w:rsidRPr="004A3983" w:rsidRDefault="008B1CB3" w:rsidP="001C3982">
      <w:pPr>
        <w:pStyle w:val="Heading1"/>
        <w:framePr w:wrap="around"/>
      </w:pPr>
      <w:bookmarkStart w:id="229" w:name="_Ref9257971"/>
      <w:r w:rsidRPr="004A3983">
        <w:rPr>
          <w:color w:val="auto"/>
        </w:rPr>
        <w:br/>
      </w:r>
      <w:bookmarkStart w:id="230" w:name="_Ref9349261"/>
      <w:bookmarkStart w:id="231" w:name="_Toc22627766"/>
      <w:r w:rsidRPr="004A3983">
        <w:t>Responses to persons subjected to unlawful or unjust action</w:t>
      </w:r>
      <w:bookmarkEnd w:id="229"/>
      <w:bookmarkEnd w:id="230"/>
      <w:r w:rsidRPr="004A3983">
        <w:t>s</w:t>
      </w:r>
      <w:bookmarkEnd w:id="231"/>
    </w:p>
    <w:p w14:paraId="1CBE7B93" w14:textId="65787A5E" w:rsidR="003064AF" w:rsidRPr="004A3983" w:rsidRDefault="003064AF" w:rsidP="00F03C93">
      <w:pPr>
        <w:spacing w:after="160"/>
        <w:ind w:right="260"/>
        <w:rPr>
          <w:color w:val="0067A0" w:themeColor="accent1"/>
          <w:sz w:val="29"/>
          <w:szCs w:val="24"/>
        </w:rPr>
      </w:pPr>
      <w:r w:rsidRPr="004A3983">
        <w:br w:type="page"/>
      </w:r>
    </w:p>
    <w:p w14:paraId="3B468982" w14:textId="30F4DB70" w:rsidR="003064AF" w:rsidRPr="004A3983" w:rsidRDefault="003064AF" w:rsidP="00D270C0">
      <w:pPr>
        <w:pStyle w:val="Heading2"/>
        <w:spacing w:after="160"/>
        <w:ind w:right="-2"/>
      </w:pPr>
      <w:bookmarkStart w:id="232" w:name="_Toc22627767"/>
      <w:r w:rsidRPr="004A3983">
        <w:lastRenderedPageBreak/>
        <w:t>Introduction</w:t>
      </w:r>
      <w:bookmarkEnd w:id="232"/>
    </w:p>
    <w:p w14:paraId="122BF81A" w14:textId="5B593377" w:rsidR="00557832" w:rsidRPr="004A3983" w:rsidRDefault="003064AF" w:rsidP="00D270C0">
      <w:pPr>
        <w:spacing w:after="160"/>
        <w:ind w:right="-2"/>
        <w:rPr>
          <w:rFonts w:ascii="Gotham Book" w:hAnsi="Gotham Book" w:cs="Arial"/>
        </w:rPr>
      </w:pPr>
      <w:r w:rsidRPr="004A3983">
        <w:rPr>
          <w:rFonts w:ascii="Gotham Book" w:hAnsi="Gotham Book" w:cs="Arial"/>
        </w:rPr>
        <w:t>Th</w:t>
      </w:r>
      <w:r w:rsidR="00F671C0" w:rsidRPr="004A3983">
        <w:rPr>
          <w:rFonts w:ascii="Gotham Book" w:hAnsi="Gotham Book" w:cs="Arial"/>
        </w:rPr>
        <w:t>e NSW Police Force review of</w:t>
      </w:r>
      <w:r w:rsidRPr="004A3983">
        <w:rPr>
          <w:rFonts w:ascii="Gotham Book" w:hAnsi="Gotham Book" w:cs="Arial"/>
        </w:rPr>
        <w:t xml:space="preserve"> Child Protection Register case files (the CPR case review) esta</w:t>
      </w:r>
      <w:r w:rsidR="00F671C0" w:rsidRPr="004A3983">
        <w:rPr>
          <w:rFonts w:ascii="Gotham Book" w:hAnsi="Gotham Book" w:cs="Arial"/>
        </w:rPr>
        <w:t xml:space="preserve">blished that </w:t>
      </w:r>
      <w:r w:rsidRPr="004A3983">
        <w:rPr>
          <w:rFonts w:ascii="Gotham Book" w:hAnsi="Gotham Book" w:cs="Arial"/>
        </w:rPr>
        <w:t xml:space="preserve">43 persons had been placed on the </w:t>
      </w:r>
      <w:r w:rsidR="00876F07" w:rsidRPr="004A3983">
        <w:rPr>
          <w:rFonts w:ascii="Gotham Book" w:hAnsi="Gotham Book" w:cs="Arial"/>
        </w:rPr>
        <w:t xml:space="preserve">Child Protection </w:t>
      </w:r>
      <w:r w:rsidRPr="004A3983">
        <w:rPr>
          <w:rFonts w:ascii="Gotham Book" w:hAnsi="Gotham Book" w:cs="Arial"/>
        </w:rPr>
        <w:t xml:space="preserve">Register </w:t>
      </w:r>
      <w:r w:rsidR="00876F07" w:rsidRPr="004A3983">
        <w:rPr>
          <w:rFonts w:ascii="Gotham Book" w:hAnsi="Gotham Book" w:cs="Arial"/>
        </w:rPr>
        <w:t xml:space="preserve">(the Register) </w:t>
      </w:r>
      <w:r w:rsidRPr="004A3983">
        <w:rPr>
          <w:rFonts w:ascii="Gotham Book" w:hAnsi="Gotham Book" w:cs="Arial"/>
        </w:rPr>
        <w:t>in error,</w:t>
      </w:r>
      <w:r w:rsidRPr="004A3983">
        <w:rPr>
          <w:rStyle w:val="FootnoteReference"/>
          <w:rFonts w:ascii="Gotham Book" w:hAnsi="Gotham Book" w:cs="Arial"/>
        </w:rPr>
        <w:footnoteReference w:id="157"/>
      </w:r>
      <w:r w:rsidRPr="004A3983">
        <w:rPr>
          <w:rFonts w:ascii="Gotham Book" w:hAnsi="Gotham Book" w:cs="Arial"/>
        </w:rPr>
        <w:t xml:space="preserve"> and </w:t>
      </w:r>
      <w:r w:rsidR="008203AF" w:rsidRPr="004A3983">
        <w:rPr>
          <w:rFonts w:ascii="Gotham Book" w:hAnsi="Gotham Book" w:cs="Arial"/>
        </w:rPr>
        <w:t xml:space="preserve">the NSW Police Force had incorrectly calculated the reporting periods of </w:t>
      </w:r>
      <w:r w:rsidRPr="004A3983">
        <w:rPr>
          <w:rFonts w:ascii="Gotham Book" w:hAnsi="Gotham Book" w:cs="Arial"/>
        </w:rPr>
        <w:t xml:space="preserve">around 144 persons </w:t>
      </w:r>
      <w:r w:rsidR="008203AF" w:rsidRPr="004A3983">
        <w:rPr>
          <w:rFonts w:ascii="Gotham Book" w:hAnsi="Gotham Book" w:cs="Arial"/>
        </w:rPr>
        <w:t xml:space="preserve">as continuing </w:t>
      </w:r>
      <w:r w:rsidRPr="004A3983">
        <w:rPr>
          <w:rFonts w:ascii="Gotham Book" w:hAnsi="Gotham Book" w:cs="Arial"/>
        </w:rPr>
        <w:t xml:space="preserve">for years longer than lawfully permitted under the </w:t>
      </w:r>
      <w:r w:rsidRPr="004A3983">
        <w:rPr>
          <w:rFonts w:ascii="Gotham Book" w:hAnsi="Gotham Book" w:cs="Arial"/>
          <w:i/>
        </w:rPr>
        <w:t>Child Protection (Offenders Registration) Act 2000</w:t>
      </w:r>
      <w:r w:rsidRPr="004A3983">
        <w:rPr>
          <w:rFonts w:ascii="Gotham Book" w:hAnsi="Gotham Book" w:cs="Arial"/>
        </w:rPr>
        <w:t xml:space="preserve"> (CPOR Act). </w:t>
      </w:r>
      <w:r w:rsidR="00557832" w:rsidRPr="004A3983">
        <w:rPr>
          <w:rFonts w:ascii="Gotham Book" w:hAnsi="Gotham Book"/>
        </w:rPr>
        <w:t xml:space="preserve">It also identified 89 persons whose reporting periods were incorrect in NSW Police Force records because </w:t>
      </w:r>
      <w:r w:rsidR="00993F87" w:rsidRPr="004A3983">
        <w:rPr>
          <w:rFonts w:ascii="Gotham Book" w:hAnsi="Gotham Book"/>
        </w:rPr>
        <w:t xml:space="preserve">of changes </w:t>
      </w:r>
      <w:r w:rsidR="00557832" w:rsidRPr="004A3983">
        <w:rPr>
          <w:rFonts w:ascii="Gotham Book" w:hAnsi="Gotham Book"/>
        </w:rPr>
        <w:t>to the</w:t>
      </w:r>
      <w:r w:rsidR="00993F87" w:rsidRPr="004A3983">
        <w:rPr>
          <w:rFonts w:ascii="Gotham Book" w:hAnsi="Gotham Book"/>
        </w:rPr>
        <w:t xml:space="preserve"> </w:t>
      </w:r>
      <w:r w:rsidR="00557832" w:rsidRPr="004A3983">
        <w:rPr>
          <w:rFonts w:ascii="Gotham Book" w:hAnsi="Gotham Book"/>
          <w:i/>
        </w:rPr>
        <w:t xml:space="preserve">Child Protection (Offender Reporting) Act 2004 </w:t>
      </w:r>
      <w:r w:rsidR="00557832" w:rsidRPr="004A3983">
        <w:rPr>
          <w:rFonts w:ascii="Gotham Book" w:hAnsi="Gotham Book"/>
        </w:rPr>
        <w:t xml:space="preserve">in </w:t>
      </w:r>
      <w:r w:rsidR="00993F87" w:rsidRPr="004A3983">
        <w:rPr>
          <w:rFonts w:ascii="Gotham Book" w:hAnsi="Gotham Book"/>
        </w:rPr>
        <w:t>Queensland</w:t>
      </w:r>
      <w:r w:rsidR="00557832" w:rsidRPr="004A3983">
        <w:rPr>
          <w:rFonts w:ascii="Gotham Book" w:hAnsi="Gotham Book"/>
        </w:rPr>
        <w:t xml:space="preserve">. </w:t>
      </w:r>
    </w:p>
    <w:p w14:paraId="369836AB" w14:textId="21216545" w:rsidR="003064AF" w:rsidRPr="004A3983" w:rsidRDefault="003064AF" w:rsidP="00D270C0">
      <w:pPr>
        <w:spacing w:after="160"/>
        <w:ind w:right="-2"/>
        <w:rPr>
          <w:rFonts w:ascii="Gotham Book" w:hAnsi="Gotham Book" w:cs="Arial"/>
        </w:rPr>
      </w:pPr>
      <w:r w:rsidRPr="004A3983">
        <w:rPr>
          <w:rFonts w:ascii="Gotham Book" w:hAnsi="Gotham Book" w:cs="Arial"/>
        </w:rPr>
        <w:t xml:space="preserve">As outlined in </w:t>
      </w:r>
      <w:r w:rsidR="00BB180B" w:rsidRPr="004A3983">
        <w:rPr>
          <w:rFonts w:ascii="Gotham Book" w:hAnsi="Gotham Book" w:cs="Arial"/>
        </w:rPr>
        <w:t xml:space="preserve">Chapter </w:t>
      </w:r>
      <w:r w:rsidR="00BB180B" w:rsidRPr="004A3983">
        <w:rPr>
          <w:rFonts w:ascii="Gotham Book" w:hAnsi="Gotham Book" w:cs="Arial"/>
        </w:rPr>
        <w:fldChar w:fldCharType="begin"/>
      </w:r>
      <w:r w:rsidR="00BB180B" w:rsidRPr="004A3983">
        <w:rPr>
          <w:rFonts w:ascii="Gotham Book" w:hAnsi="Gotham Book" w:cs="Arial"/>
        </w:rPr>
        <w:instrText xml:space="preserve"> REF _Ref9935093 \r \h  \* MERGEFORMAT </w:instrText>
      </w:r>
      <w:r w:rsidR="00BB180B" w:rsidRPr="004A3983">
        <w:rPr>
          <w:rFonts w:ascii="Gotham Book" w:hAnsi="Gotham Book" w:cs="Arial"/>
        </w:rPr>
      </w:r>
      <w:r w:rsidR="00BB180B" w:rsidRPr="004A3983">
        <w:rPr>
          <w:rFonts w:ascii="Gotham Book" w:hAnsi="Gotham Book" w:cs="Arial"/>
        </w:rPr>
        <w:fldChar w:fldCharType="separate"/>
      </w:r>
      <w:r w:rsidR="00022664">
        <w:rPr>
          <w:rFonts w:ascii="Gotham Book" w:hAnsi="Gotham Book" w:cs="Arial" w:hint="cs"/>
          <w:cs/>
        </w:rPr>
        <w:t>‎</w:t>
      </w:r>
      <w:r w:rsidR="00022664">
        <w:rPr>
          <w:rFonts w:ascii="Gotham Book" w:hAnsi="Gotham Book" w:cs="Arial"/>
        </w:rPr>
        <w:t>3</w:t>
      </w:r>
      <w:r w:rsidR="00BB180B" w:rsidRPr="004A3983">
        <w:rPr>
          <w:rFonts w:ascii="Gotham Book" w:hAnsi="Gotham Book" w:cs="Arial"/>
        </w:rPr>
        <w:fldChar w:fldCharType="end"/>
      </w:r>
      <w:r w:rsidRPr="004A3983">
        <w:rPr>
          <w:rFonts w:ascii="Gotham Book" w:hAnsi="Gotham Book" w:cs="Arial"/>
        </w:rPr>
        <w:t>, a number of these individuals were subjected to unlawful or unjust actions by the NSW Police Force as a consequenc</w:t>
      </w:r>
      <w:r w:rsidR="007D4E22" w:rsidRPr="004A3983">
        <w:rPr>
          <w:rFonts w:ascii="Gotham Book" w:hAnsi="Gotham Book" w:cs="Arial"/>
        </w:rPr>
        <w:t>e of the errors in the Register, including:</w:t>
      </w:r>
    </w:p>
    <w:p w14:paraId="08760C20" w14:textId="465D1956" w:rsidR="003064AF" w:rsidRPr="004A3983" w:rsidRDefault="003064AF" w:rsidP="00864C5D">
      <w:pPr>
        <w:pStyle w:val="ListBullet"/>
      </w:pPr>
      <w:r w:rsidRPr="004A3983">
        <w:t>person</w:t>
      </w:r>
      <w:r w:rsidR="00A641A2" w:rsidRPr="004A3983">
        <w:t>s</w:t>
      </w:r>
      <w:r w:rsidRPr="004A3983">
        <w:t xml:space="preserve"> being unlawfully required to report their personal information</w:t>
      </w:r>
      <w:r w:rsidR="00377AC5" w:rsidRPr="004A3983">
        <w:t xml:space="preserve"> to police for</w:t>
      </w:r>
      <w:r w:rsidRPr="004A3983">
        <w:t xml:space="preserve"> a number of years;</w:t>
      </w:r>
    </w:p>
    <w:p w14:paraId="33BBDE79" w14:textId="12D63B50" w:rsidR="003064AF" w:rsidRPr="004A3983" w:rsidRDefault="003064AF" w:rsidP="00864C5D">
      <w:pPr>
        <w:pStyle w:val="ListBullet"/>
      </w:pPr>
      <w:r w:rsidRPr="004A3983">
        <w:t>persons’ homes being unlawfully inspected</w:t>
      </w:r>
      <w:r w:rsidR="003D69D9" w:rsidRPr="004A3983">
        <w:t>, and</w:t>
      </w:r>
    </w:p>
    <w:p w14:paraId="4952A04C" w14:textId="560B7DD3" w:rsidR="003064AF" w:rsidRPr="004A3983" w:rsidRDefault="003064AF" w:rsidP="00864C5D">
      <w:pPr>
        <w:pStyle w:val="ListBullet"/>
      </w:pPr>
      <w:r w:rsidRPr="004A3983">
        <w:t>p</w:t>
      </w:r>
      <w:r w:rsidR="0078011A" w:rsidRPr="004A3983">
        <w:t>ersons being charged, arrested</w:t>
      </w:r>
      <w:r w:rsidR="00A5023E" w:rsidRPr="004A3983">
        <w:t xml:space="preserve">, </w:t>
      </w:r>
      <w:r w:rsidRPr="004A3983">
        <w:t>convicted and sentenced t</w:t>
      </w:r>
      <w:r w:rsidR="00A5023E" w:rsidRPr="004A3983">
        <w:t>o imprisonment</w:t>
      </w:r>
      <w:r w:rsidR="002F6B1C" w:rsidRPr="004A3983">
        <w:t xml:space="preserve"> for</w:t>
      </w:r>
      <w:r w:rsidR="007D4E22" w:rsidRPr="004A3983">
        <w:t xml:space="preserve"> offences relating</w:t>
      </w:r>
      <w:r w:rsidR="00195441" w:rsidRPr="004A3983">
        <w:t xml:space="preserve"> to reporting </w:t>
      </w:r>
      <w:r w:rsidR="004C209F" w:rsidRPr="004A3983">
        <w:t xml:space="preserve">obligations </w:t>
      </w:r>
      <w:r w:rsidRPr="004A3983">
        <w:t xml:space="preserve">under the CPOR Act, when </w:t>
      </w:r>
      <w:r w:rsidR="00306349" w:rsidRPr="004A3983">
        <w:t xml:space="preserve">those </w:t>
      </w:r>
      <w:r w:rsidR="00454DA2" w:rsidRPr="004A3983">
        <w:t>reporting obligations</w:t>
      </w:r>
      <w:r w:rsidR="00306349" w:rsidRPr="004A3983">
        <w:t xml:space="preserve"> did not apply to them </w:t>
      </w:r>
      <w:r w:rsidRPr="004A3983">
        <w:t>at the relevant time.</w:t>
      </w:r>
    </w:p>
    <w:p w14:paraId="1F47AEA2" w14:textId="6B95D391" w:rsidR="008F0D54" w:rsidRPr="004A3983" w:rsidRDefault="008F0D54" w:rsidP="00D270C0">
      <w:pPr>
        <w:spacing w:after="160"/>
        <w:ind w:right="-2"/>
        <w:rPr>
          <w:rFonts w:ascii="Gotham Book" w:hAnsi="Gotham Book" w:cs="Arial"/>
        </w:rPr>
      </w:pPr>
      <w:r w:rsidRPr="004A3983">
        <w:rPr>
          <w:rFonts w:ascii="Gotham Book" w:hAnsi="Gotham Book" w:cs="Arial"/>
        </w:rPr>
        <w:t>In this chapter we discuss the response</w:t>
      </w:r>
      <w:r w:rsidR="006F3D0D" w:rsidRPr="004A3983">
        <w:rPr>
          <w:rFonts w:ascii="Gotham Book" w:hAnsi="Gotham Book" w:cs="Arial"/>
        </w:rPr>
        <w:t>s</w:t>
      </w:r>
      <w:r w:rsidRPr="004A3983">
        <w:rPr>
          <w:rFonts w:ascii="Gotham Book" w:hAnsi="Gotham Book" w:cs="Arial"/>
        </w:rPr>
        <w:t xml:space="preserve"> of the NSW Police Force to these persons. </w:t>
      </w:r>
    </w:p>
    <w:p w14:paraId="52839F80" w14:textId="09AA857F" w:rsidR="009F36CE" w:rsidRPr="004A3983" w:rsidRDefault="009F36CE" w:rsidP="00D270C0">
      <w:pPr>
        <w:spacing w:after="160"/>
        <w:ind w:right="-2"/>
        <w:rPr>
          <w:rFonts w:ascii="Gotham Book" w:hAnsi="Gotham Book" w:cs="Arial"/>
        </w:rPr>
      </w:pPr>
      <w:r w:rsidRPr="004A3983">
        <w:rPr>
          <w:rFonts w:ascii="Gotham Book" w:hAnsi="Gotham Book" w:cs="Arial"/>
        </w:rPr>
        <w:t xml:space="preserve">The NSW Police Force was </w:t>
      </w:r>
      <w:r w:rsidR="003D69D9" w:rsidRPr="004A3983">
        <w:rPr>
          <w:rFonts w:ascii="Gotham Book" w:hAnsi="Gotham Book" w:cs="Arial"/>
        </w:rPr>
        <w:t xml:space="preserve">generally </w:t>
      </w:r>
      <w:r w:rsidRPr="004A3983">
        <w:rPr>
          <w:rFonts w:ascii="Gotham Book" w:hAnsi="Gotham Book" w:cs="Arial"/>
        </w:rPr>
        <w:t xml:space="preserve">proactive in seeking annulments </w:t>
      </w:r>
      <w:r w:rsidR="00BE7082" w:rsidRPr="004A3983">
        <w:rPr>
          <w:rFonts w:ascii="Gotham Book" w:hAnsi="Gotham Book" w:cs="Arial"/>
        </w:rPr>
        <w:t>when it discovered</w:t>
      </w:r>
      <w:r w:rsidRPr="004A3983">
        <w:rPr>
          <w:rFonts w:ascii="Gotham Book" w:hAnsi="Gotham Book" w:cs="Arial"/>
        </w:rPr>
        <w:t xml:space="preserve"> that persons had been wrongly convicted</w:t>
      </w:r>
      <w:r w:rsidR="00200770" w:rsidRPr="004A3983">
        <w:rPr>
          <w:rFonts w:ascii="Gotham Book" w:hAnsi="Gotham Book" w:cs="Arial"/>
        </w:rPr>
        <w:t xml:space="preserve"> for offences under the CPOR</w:t>
      </w:r>
      <w:r w:rsidR="00864C5D">
        <w:rPr>
          <w:rFonts w:ascii="Gotham Book" w:hAnsi="Gotham Book" w:cs="Arial"/>
        </w:rPr>
        <w:t> </w:t>
      </w:r>
      <w:r w:rsidR="00200770" w:rsidRPr="004A3983">
        <w:rPr>
          <w:rFonts w:ascii="Gotham Book" w:hAnsi="Gotham Book" w:cs="Arial"/>
        </w:rPr>
        <w:t>Act</w:t>
      </w:r>
      <w:r w:rsidRPr="004A3983">
        <w:rPr>
          <w:rFonts w:ascii="Gotham Book" w:hAnsi="Gotham Book" w:cs="Arial"/>
        </w:rPr>
        <w:t>.</w:t>
      </w:r>
    </w:p>
    <w:p w14:paraId="7EDCEC3B" w14:textId="350C38A9" w:rsidR="003064AF" w:rsidRPr="004A3983" w:rsidRDefault="003064AF" w:rsidP="00D270C0">
      <w:pPr>
        <w:spacing w:after="160"/>
        <w:ind w:right="-2"/>
        <w:rPr>
          <w:rFonts w:ascii="Gotham Book" w:hAnsi="Gotham Book" w:cs="Arial"/>
        </w:rPr>
      </w:pPr>
      <w:r w:rsidRPr="004A3983">
        <w:rPr>
          <w:rFonts w:ascii="Gotham Book" w:hAnsi="Gotham Book" w:cs="Arial"/>
        </w:rPr>
        <w:t xml:space="preserve">The NSW Police Force </w:t>
      </w:r>
      <w:r w:rsidR="001549CA" w:rsidRPr="004A3983">
        <w:rPr>
          <w:rFonts w:ascii="Gotham Book" w:hAnsi="Gotham Book" w:cs="Arial"/>
        </w:rPr>
        <w:t>also notified</w:t>
      </w:r>
      <w:r w:rsidR="007B7CD5" w:rsidRPr="004A3983">
        <w:rPr>
          <w:rFonts w:ascii="Gotham Book" w:hAnsi="Gotham Book" w:cs="Arial"/>
        </w:rPr>
        <w:t xml:space="preserve"> </w:t>
      </w:r>
      <w:r w:rsidR="00E36AEA" w:rsidRPr="004A3983">
        <w:rPr>
          <w:rFonts w:ascii="Gotham Book" w:hAnsi="Gotham Book" w:cs="Arial"/>
        </w:rPr>
        <w:t>those persons who it identified were reporting their information to police when they had no obligation to do so under the CPOR Act,</w:t>
      </w:r>
      <w:r w:rsidR="007B7CD5" w:rsidRPr="004A3983">
        <w:rPr>
          <w:rFonts w:ascii="Gotham Book" w:hAnsi="Gotham Book" w:cs="Arial"/>
        </w:rPr>
        <w:t xml:space="preserve"> </w:t>
      </w:r>
      <w:r w:rsidR="000513FC" w:rsidRPr="004A3983">
        <w:rPr>
          <w:rFonts w:ascii="Gotham Book" w:hAnsi="Gotham Book" w:cs="Arial"/>
        </w:rPr>
        <w:t>to ensure they did not</w:t>
      </w:r>
      <w:r w:rsidR="007B7CD5" w:rsidRPr="004A3983">
        <w:rPr>
          <w:rFonts w:ascii="Gotham Book" w:hAnsi="Gotham Book" w:cs="Arial"/>
        </w:rPr>
        <w:t xml:space="preserve"> continue </w:t>
      </w:r>
      <w:r w:rsidR="000513FC" w:rsidRPr="004A3983">
        <w:rPr>
          <w:rFonts w:ascii="Gotham Book" w:hAnsi="Gotham Book" w:cs="Arial"/>
        </w:rPr>
        <w:t>to report</w:t>
      </w:r>
      <w:r w:rsidR="007B7CD5" w:rsidRPr="004A3983">
        <w:rPr>
          <w:rFonts w:ascii="Gotham Book" w:hAnsi="Gotham Book" w:cs="Arial"/>
        </w:rPr>
        <w:t xml:space="preserve"> their information. </w:t>
      </w:r>
    </w:p>
    <w:p w14:paraId="4EEC7780" w14:textId="07A881EA" w:rsidR="00662B8F" w:rsidRPr="004A3983" w:rsidRDefault="003064AF" w:rsidP="00D270C0">
      <w:pPr>
        <w:spacing w:after="160"/>
        <w:ind w:right="-2"/>
        <w:rPr>
          <w:rFonts w:ascii="Gotham Book" w:hAnsi="Gotham Book" w:cs="Arial"/>
        </w:rPr>
      </w:pPr>
      <w:r w:rsidRPr="004A3983">
        <w:rPr>
          <w:rFonts w:ascii="Gotham Book" w:hAnsi="Gotham Book" w:cs="Arial"/>
        </w:rPr>
        <w:t xml:space="preserve">However, </w:t>
      </w:r>
      <w:r w:rsidR="000513FC" w:rsidRPr="004A3983">
        <w:rPr>
          <w:rFonts w:ascii="Gotham Book" w:hAnsi="Gotham Book" w:cs="Arial"/>
        </w:rPr>
        <w:t>in writing letters to these persons to notify them they did not need to report, the NSW Police Force</w:t>
      </w:r>
      <w:r w:rsidRPr="004A3983">
        <w:rPr>
          <w:rFonts w:ascii="Gotham Book" w:hAnsi="Gotham Book" w:cs="Arial"/>
        </w:rPr>
        <w:t xml:space="preserve"> </w:t>
      </w:r>
      <w:r w:rsidR="000513FC" w:rsidRPr="004A3983">
        <w:rPr>
          <w:rFonts w:ascii="Gotham Book" w:hAnsi="Gotham Book" w:cs="Arial"/>
        </w:rPr>
        <w:t xml:space="preserve">intentionally </w:t>
      </w:r>
      <w:r w:rsidRPr="004A3983">
        <w:rPr>
          <w:rFonts w:ascii="Gotham Book" w:hAnsi="Gotham Book" w:cs="Arial"/>
        </w:rPr>
        <w:t>limit</w:t>
      </w:r>
      <w:r w:rsidR="000513FC" w:rsidRPr="004A3983">
        <w:rPr>
          <w:rFonts w:ascii="Gotham Book" w:hAnsi="Gotham Book" w:cs="Arial"/>
        </w:rPr>
        <w:t>e</w:t>
      </w:r>
      <w:r w:rsidR="0083002F" w:rsidRPr="004A3983">
        <w:rPr>
          <w:rFonts w:ascii="Gotham Book" w:hAnsi="Gotham Book" w:cs="Arial"/>
        </w:rPr>
        <w:t>d the information it provided</w:t>
      </w:r>
      <w:r w:rsidRPr="004A3983">
        <w:rPr>
          <w:rFonts w:ascii="Gotham Book" w:hAnsi="Gotham Book" w:cs="Arial"/>
        </w:rPr>
        <w:t>.</w:t>
      </w:r>
      <w:r w:rsidR="000513FC" w:rsidRPr="004A3983">
        <w:rPr>
          <w:rFonts w:ascii="Gotham Book" w:hAnsi="Gotham Book" w:cs="Arial"/>
        </w:rPr>
        <w:t xml:space="preserve"> It did not inform them that the NSW Police Force had made an error in their cases. </w:t>
      </w:r>
      <w:r w:rsidR="003D69D9" w:rsidRPr="004A3983">
        <w:rPr>
          <w:rFonts w:ascii="Gotham Book" w:hAnsi="Gotham Book" w:cs="Arial"/>
        </w:rPr>
        <w:t>I</w:t>
      </w:r>
      <w:r w:rsidR="00F671C0" w:rsidRPr="004A3983">
        <w:rPr>
          <w:rFonts w:ascii="Gotham Book" w:hAnsi="Gotham Book" w:cs="Arial"/>
        </w:rPr>
        <w:t>nternal emails reveal that</w:t>
      </w:r>
      <w:r w:rsidR="00886F4B" w:rsidRPr="004A3983">
        <w:rPr>
          <w:rFonts w:ascii="Gotham Book" w:hAnsi="Gotham Book" w:cs="Arial"/>
        </w:rPr>
        <w:t xml:space="preserve"> these letters were written</w:t>
      </w:r>
      <w:r w:rsidR="00357931" w:rsidRPr="004A3983">
        <w:rPr>
          <w:rFonts w:ascii="Gotham Book" w:hAnsi="Gotham Book" w:cs="Arial"/>
        </w:rPr>
        <w:t>, on advice of internal legal counsel,</w:t>
      </w:r>
      <w:r w:rsidR="000B0F60" w:rsidRPr="004A3983">
        <w:rPr>
          <w:rFonts w:ascii="Gotham Book" w:hAnsi="Gotham Book" w:cs="Arial"/>
        </w:rPr>
        <w:t xml:space="preserve"> </w:t>
      </w:r>
      <w:r w:rsidR="00EA678F" w:rsidRPr="004A3983">
        <w:rPr>
          <w:rFonts w:ascii="Gotham Book" w:hAnsi="Gotham Book" w:cs="Arial"/>
        </w:rPr>
        <w:t>in such a way as to minimise the prospect of civil claims.</w:t>
      </w:r>
    </w:p>
    <w:p w14:paraId="76D2BDF1" w14:textId="3592E4AB" w:rsidR="003064AF" w:rsidRPr="004A3983" w:rsidRDefault="004128AF" w:rsidP="00D270C0">
      <w:pPr>
        <w:spacing w:after="160"/>
        <w:ind w:right="-2"/>
        <w:rPr>
          <w:rFonts w:ascii="Gotham Book" w:hAnsi="Gotham Book" w:cs="Arial"/>
        </w:rPr>
      </w:pPr>
      <w:r w:rsidRPr="004A3983">
        <w:rPr>
          <w:rFonts w:ascii="Gotham Book" w:hAnsi="Gotham Book" w:cs="Arial"/>
        </w:rPr>
        <w:t>The language the NS</w:t>
      </w:r>
      <w:r w:rsidR="00D736F3" w:rsidRPr="004A3983">
        <w:rPr>
          <w:rFonts w:ascii="Gotham Book" w:hAnsi="Gotham Book" w:cs="Arial"/>
        </w:rPr>
        <w:t>W Police Force chose to use, combined with</w:t>
      </w:r>
      <w:r w:rsidRPr="004A3983">
        <w:rPr>
          <w:rFonts w:ascii="Gotham Book" w:hAnsi="Gotham Book" w:cs="Arial"/>
        </w:rPr>
        <w:t xml:space="preserve"> t</w:t>
      </w:r>
      <w:r w:rsidR="006524C4" w:rsidRPr="004A3983">
        <w:rPr>
          <w:rFonts w:ascii="Gotham Book" w:hAnsi="Gotham Book" w:cs="Arial"/>
        </w:rPr>
        <w:t>he information it chose to omit</w:t>
      </w:r>
      <w:r w:rsidRPr="004A3983">
        <w:rPr>
          <w:rFonts w:ascii="Gotham Book" w:hAnsi="Gotham Book" w:cs="Arial"/>
        </w:rPr>
        <w:t xml:space="preserve"> from at least three letters </w:t>
      </w:r>
      <w:r w:rsidR="006E178F" w:rsidRPr="004A3983">
        <w:rPr>
          <w:rFonts w:ascii="Gotham Book" w:hAnsi="Gotham Book" w:cs="Arial"/>
        </w:rPr>
        <w:t>constituted a significant depar</w:t>
      </w:r>
      <w:r w:rsidR="00EE5597" w:rsidRPr="004A3983">
        <w:rPr>
          <w:rFonts w:ascii="Gotham Book" w:hAnsi="Gotham Book" w:cs="Arial"/>
        </w:rPr>
        <w:t>ture from the standards that apply</w:t>
      </w:r>
      <w:r w:rsidR="006E178F" w:rsidRPr="004A3983">
        <w:rPr>
          <w:rFonts w:ascii="Gotham Book" w:hAnsi="Gotham Book" w:cs="Arial"/>
        </w:rPr>
        <w:t xml:space="preserve"> to agencies of the State in dealing with persons injured, or who</w:t>
      </w:r>
      <w:r w:rsidR="00316BB1" w:rsidRPr="004A3983">
        <w:rPr>
          <w:rFonts w:ascii="Gotham Book" w:hAnsi="Gotham Book" w:cs="Arial"/>
        </w:rPr>
        <w:t>se</w:t>
      </w:r>
      <w:r w:rsidR="006E178F" w:rsidRPr="004A3983">
        <w:rPr>
          <w:rFonts w:ascii="Gotham Book" w:hAnsi="Gotham Book" w:cs="Arial"/>
        </w:rPr>
        <w:t xml:space="preserve"> legal rights were seriously breached by their actions</w:t>
      </w:r>
      <w:r w:rsidRPr="004A3983">
        <w:rPr>
          <w:rFonts w:ascii="Gotham Book" w:hAnsi="Gotham Book" w:cs="Arial"/>
        </w:rPr>
        <w:t>.</w:t>
      </w:r>
      <w:r w:rsidR="00EA678F" w:rsidRPr="004A3983">
        <w:rPr>
          <w:rFonts w:ascii="Gotham Book" w:hAnsi="Gotham Book" w:cs="Arial"/>
        </w:rPr>
        <w:t xml:space="preserve"> </w:t>
      </w:r>
      <w:r w:rsidR="00E96292" w:rsidRPr="004A3983">
        <w:rPr>
          <w:rFonts w:ascii="Gotham Book" w:hAnsi="Gotham Book" w:cs="Arial"/>
        </w:rPr>
        <w:t>T</w:t>
      </w:r>
      <w:r w:rsidR="003064AF" w:rsidRPr="004A3983">
        <w:rPr>
          <w:rFonts w:ascii="Gotham Book" w:hAnsi="Gotham Book" w:cs="Arial"/>
        </w:rPr>
        <w:t xml:space="preserve">he </w:t>
      </w:r>
      <w:r w:rsidR="00846043" w:rsidRPr="004A3983">
        <w:rPr>
          <w:rFonts w:ascii="Gotham Book" w:hAnsi="Gotham Book" w:cs="Arial"/>
        </w:rPr>
        <w:t>decisions by the NSW Police Force</w:t>
      </w:r>
      <w:r w:rsidR="002D17C8" w:rsidRPr="004A3983">
        <w:rPr>
          <w:rFonts w:ascii="Gotham Book" w:hAnsi="Gotham Book" w:cs="Arial"/>
        </w:rPr>
        <w:t xml:space="preserve"> to </w:t>
      </w:r>
      <w:r w:rsidR="00EA678F" w:rsidRPr="004A3983">
        <w:rPr>
          <w:rFonts w:ascii="Gotham Book" w:hAnsi="Gotham Book" w:cs="Arial"/>
        </w:rPr>
        <w:t>write these letter</w:t>
      </w:r>
      <w:r w:rsidR="0030622A" w:rsidRPr="004A3983">
        <w:rPr>
          <w:rFonts w:ascii="Gotham Book" w:hAnsi="Gotham Book" w:cs="Arial"/>
        </w:rPr>
        <w:t>s</w:t>
      </w:r>
      <w:r w:rsidR="00EA678F" w:rsidRPr="004A3983">
        <w:rPr>
          <w:rFonts w:ascii="Gotham Book" w:hAnsi="Gotham Book" w:cs="Arial"/>
        </w:rPr>
        <w:t xml:space="preserve"> </w:t>
      </w:r>
      <w:r w:rsidR="007119E2" w:rsidRPr="004A3983">
        <w:rPr>
          <w:rFonts w:ascii="Gotham Book" w:hAnsi="Gotham Book" w:cs="Arial"/>
        </w:rPr>
        <w:t>amount</w:t>
      </w:r>
      <w:r w:rsidR="007538DE" w:rsidRPr="004A3983">
        <w:rPr>
          <w:rFonts w:ascii="Gotham Book" w:hAnsi="Gotham Book" w:cs="Arial"/>
        </w:rPr>
        <w:t>ed</w:t>
      </w:r>
      <w:r w:rsidR="0030622A" w:rsidRPr="004A3983">
        <w:rPr>
          <w:rFonts w:ascii="Gotham Book" w:hAnsi="Gotham Book" w:cs="Arial"/>
        </w:rPr>
        <w:t xml:space="preserve"> to conduct on the part of the agency that was unreasonable or unjust in its effect</w:t>
      </w:r>
      <w:r w:rsidR="003064AF" w:rsidRPr="004A3983">
        <w:rPr>
          <w:rFonts w:ascii="Gotham Book" w:hAnsi="Gotham Book" w:cs="Arial"/>
        </w:rPr>
        <w:t>.</w:t>
      </w:r>
      <w:r w:rsidR="003141C4" w:rsidRPr="004A3983">
        <w:rPr>
          <w:rStyle w:val="FootnoteReference"/>
          <w:rFonts w:ascii="Gotham Book" w:hAnsi="Gotham Book" w:cs="Arial"/>
        </w:rPr>
        <w:footnoteReference w:id="158"/>
      </w:r>
    </w:p>
    <w:p w14:paraId="66847860" w14:textId="19A8FC3E" w:rsidR="00F671C0" w:rsidRPr="004A3983" w:rsidRDefault="00A412C4" w:rsidP="00D270C0">
      <w:pPr>
        <w:spacing w:after="160"/>
        <w:ind w:right="-2"/>
        <w:rPr>
          <w:rFonts w:ascii="Gotham Book" w:hAnsi="Gotham Book" w:cs="Arial"/>
        </w:rPr>
      </w:pPr>
      <w:r w:rsidRPr="004A3983">
        <w:rPr>
          <w:rFonts w:ascii="Gotham Book" w:hAnsi="Gotham Book" w:cs="Arial"/>
        </w:rPr>
        <w:lastRenderedPageBreak/>
        <w:t>The NSW Police Force also made a decision</w:t>
      </w:r>
      <w:r w:rsidR="00F671C0" w:rsidRPr="004A3983">
        <w:rPr>
          <w:rFonts w:ascii="Gotham Book" w:hAnsi="Gotham Book" w:cs="Arial"/>
        </w:rPr>
        <w:t xml:space="preserve"> </w:t>
      </w:r>
      <w:r w:rsidRPr="004A3983">
        <w:rPr>
          <w:rFonts w:ascii="Gotham Book" w:hAnsi="Gotham Book" w:cs="Arial"/>
        </w:rPr>
        <w:t xml:space="preserve">in July 2016 </w:t>
      </w:r>
      <w:r w:rsidR="00A46DB5" w:rsidRPr="004A3983">
        <w:rPr>
          <w:rFonts w:ascii="Gotham Book" w:hAnsi="Gotham Book" w:cs="Arial"/>
        </w:rPr>
        <w:t xml:space="preserve">that </w:t>
      </w:r>
      <w:r w:rsidRPr="004A3983">
        <w:rPr>
          <w:rFonts w:ascii="Gotham Book" w:hAnsi="Gotham Book" w:cs="Arial"/>
        </w:rPr>
        <w:t xml:space="preserve">it </w:t>
      </w:r>
      <w:r w:rsidR="00B95184" w:rsidRPr="004A3983">
        <w:rPr>
          <w:rFonts w:ascii="Gotham Book" w:hAnsi="Gotham Book" w:cs="Arial"/>
        </w:rPr>
        <w:t xml:space="preserve">did not need </w:t>
      </w:r>
      <w:r w:rsidR="00F671C0" w:rsidRPr="004A3983">
        <w:rPr>
          <w:rFonts w:ascii="Gotham Book" w:hAnsi="Gotham Book" w:cs="Arial"/>
        </w:rPr>
        <w:t>to send any notification to persons who had been on the Register incorrectly for a period of time, but were no longer on the Register</w:t>
      </w:r>
      <w:r w:rsidR="003C04BF" w:rsidRPr="004A3983">
        <w:rPr>
          <w:rFonts w:ascii="Gotham Book" w:hAnsi="Gotham Book" w:cs="Arial"/>
        </w:rPr>
        <w:t xml:space="preserve"> at that point</w:t>
      </w:r>
      <w:r w:rsidR="007B24C2" w:rsidRPr="004A3983">
        <w:rPr>
          <w:rFonts w:ascii="Gotham Book" w:hAnsi="Gotham Book" w:cs="Arial"/>
        </w:rPr>
        <w:t>.</w:t>
      </w:r>
      <w:r w:rsidRPr="004A3983">
        <w:rPr>
          <w:rFonts w:ascii="Gotham Book" w:hAnsi="Gotham Book" w:cs="Arial"/>
        </w:rPr>
        <w:t xml:space="preserve"> </w:t>
      </w:r>
    </w:p>
    <w:p w14:paraId="111ABFA1" w14:textId="51D60EB5" w:rsidR="003064AF" w:rsidRPr="004A3983" w:rsidRDefault="006D193E" w:rsidP="00D270C0">
      <w:pPr>
        <w:spacing w:after="160"/>
        <w:ind w:right="-2"/>
        <w:rPr>
          <w:rFonts w:ascii="Gotham Book" w:hAnsi="Gotham Book" w:cs="Arial"/>
        </w:rPr>
      </w:pPr>
      <w:r w:rsidRPr="004A3983">
        <w:rPr>
          <w:rFonts w:ascii="Gotham Book" w:hAnsi="Gotham Book" w:cs="Arial"/>
        </w:rPr>
        <w:t xml:space="preserve">This chapter concludes with </w:t>
      </w:r>
      <w:r w:rsidR="003C04BF" w:rsidRPr="004A3983">
        <w:rPr>
          <w:rFonts w:ascii="Gotham Book" w:hAnsi="Gotham Book" w:cs="Arial"/>
        </w:rPr>
        <w:t xml:space="preserve">a </w:t>
      </w:r>
      <w:r w:rsidR="003064AF" w:rsidRPr="004A3983">
        <w:rPr>
          <w:rFonts w:ascii="Gotham Book" w:hAnsi="Gotham Book" w:cs="Arial"/>
        </w:rPr>
        <w:t xml:space="preserve">recommendation that the NSW Police Force </w:t>
      </w:r>
      <w:r w:rsidR="005B1A51" w:rsidRPr="004A3983">
        <w:rPr>
          <w:rFonts w:ascii="Gotham Book" w:hAnsi="Gotham Book" w:cs="Arial"/>
        </w:rPr>
        <w:t>notify</w:t>
      </w:r>
      <w:r w:rsidR="00CB4AEE" w:rsidRPr="004A3983">
        <w:rPr>
          <w:rFonts w:ascii="Gotham Book" w:hAnsi="Gotham Book" w:cs="Arial"/>
        </w:rPr>
        <w:t xml:space="preserve"> all those persons who </w:t>
      </w:r>
      <w:r w:rsidR="005B1A51" w:rsidRPr="004A3983">
        <w:rPr>
          <w:rFonts w:ascii="Gotham Book" w:hAnsi="Gotham Book" w:cs="Arial"/>
        </w:rPr>
        <w:t>may</w:t>
      </w:r>
      <w:r w:rsidR="00CB4AEE" w:rsidRPr="004A3983">
        <w:rPr>
          <w:rFonts w:ascii="Gotham Book" w:hAnsi="Gotham Book" w:cs="Arial"/>
        </w:rPr>
        <w:t xml:space="preserve"> have</w:t>
      </w:r>
      <w:r w:rsidR="005B1A51" w:rsidRPr="004A3983">
        <w:rPr>
          <w:rFonts w:ascii="Gotham Book" w:hAnsi="Gotham Book" w:cs="Arial"/>
        </w:rPr>
        <w:t xml:space="preserve"> </w:t>
      </w:r>
      <w:r w:rsidRPr="004A3983">
        <w:rPr>
          <w:rFonts w:ascii="Gotham Book" w:hAnsi="Gotham Book" w:cs="Arial"/>
        </w:rPr>
        <w:t xml:space="preserve">been subjected to unlawful </w:t>
      </w:r>
      <w:r w:rsidR="00A32A3B" w:rsidRPr="004A3983">
        <w:rPr>
          <w:rFonts w:ascii="Gotham Book" w:hAnsi="Gotham Book" w:cs="Arial"/>
        </w:rPr>
        <w:t xml:space="preserve">or unjust </w:t>
      </w:r>
      <w:r w:rsidRPr="004A3983">
        <w:rPr>
          <w:rFonts w:ascii="Gotham Book" w:hAnsi="Gotham Book" w:cs="Arial"/>
        </w:rPr>
        <w:t>actions as a r</w:t>
      </w:r>
      <w:r w:rsidR="005B1A51" w:rsidRPr="004A3983">
        <w:rPr>
          <w:rFonts w:ascii="Gotham Book" w:hAnsi="Gotham Book" w:cs="Arial"/>
        </w:rPr>
        <w:t>esult of errors in the Register</w:t>
      </w:r>
      <w:r w:rsidR="00D92F12" w:rsidRPr="004A3983">
        <w:rPr>
          <w:rFonts w:ascii="Gotham Book" w:hAnsi="Gotham Book" w:cs="Arial"/>
        </w:rPr>
        <w:t>.</w:t>
      </w:r>
      <w:r w:rsidR="00956A15" w:rsidRPr="004A3983">
        <w:rPr>
          <w:rFonts w:ascii="Gotham Book" w:hAnsi="Gotham Book" w:cs="Arial"/>
        </w:rPr>
        <w:t xml:space="preserve"> </w:t>
      </w:r>
    </w:p>
    <w:p w14:paraId="26C42115" w14:textId="06E9AAD1" w:rsidR="003B4199" w:rsidRPr="004A3983" w:rsidRDefault="003B4199" w:rsidP="00D270C0">
      <w:pPr>
        <w:pStyle w:val="Heading2"/>
        <w:spacing w:after="160"/>
        <w:ind w:right="-2"/>
      </w:pPr>
      <w:bookmarkStart w:id="233" w:name="_Toc8913513"/>
      <w:bookmarkStart w:id="234" w:name="_Toc9428374"/>
      <w:bookmarkStart w:id="235" w:name="_Ref9851102"/>
      <w:bookmarkStart w:id="236" w:name="_Toc12020326"/>
      <w:bookmarkStart w:id="237" w:name="_Toc22627768"/>
      <w:r w:rsidRPr="004A3983">
        <w:t xml:space="preserve">NSW Police Force applied for </w:t>
      </w:r>
      <w:r w:rsidR="004E1F77" w:rsidRPr="004A3983">
        <w:t>a</w:t>
      </w:r>
      <w:r w:rsidRPr="004A3983">
        <w:t>nnulments of wrongful convictions under the CPOR Act</w:t>
      </w:r>
      <w:bookmarkEnd w:id="233"/>
      <w:bookmarkEnd w:id="234"/>
      <w:bookmarkEnd w:id="235"/>
      <w:bookmarkEnd w:id="236"/>
      <w:bookmarkEnd w:id="237"/>
    </w:p>
    <w:p w14:paraId="32332672" w14:textId="040495D2" w:rsidR="008347E5" w:rsidRPr="004A3983" w:rsidRDefault="003B4199" w:rsidP="00D270C0">
      <w:pPr>
        <w:spacing w:after="160"/>
        <w:ind w:right="-2"/>
        <w:rPr>
          <w:rFonts w:ascii="Gotham Book" w:hAnsi="Gotham Book" w:cs="Arial"/>
        </w:rPr>
      </w:pPr>
      <w:r w:rsidRPr="004A3983">
        <w:rPr>
          <w:rFonts w:ascii="Gotham Book" w:hAnsi="Gotham Book" w:cs="Arial"/>
        </w:rPr>
        <w:t>On 11 August 2016 the Manager</w:t>
      </w:r>
      <w:r w:rsidR="00A22A66" w:rsidRPr="004A3983">
        <w:rPr>
          <w:rFonts w:ascii="Gotham Book" w:hAnsi="Gotham Book" w:cs="Arial"/>
        </w:rPr>
        <w:t xml:space="preserve"> of the Child Protection Registry (the Registry Manager)</w:t>
      </w:r>
      <w:r w:rsidRPr="004A3983">
        <w:rPr>
          <w:rFonts w:ascii="Gotham Book" w:hAnsi="Gotham Book" w:cs="Arial"/>
        </w:rPr>
        <w:t xml:space="preserve"> requested advice from the </w:t>
      </w:r>
      <w:r w:rsidR="008347E5" w:rsidRPr="004A3983">
        <w:rPr>
          <w:rFonts w:ascii="Gotham Book" w:hAnsi="Gotham Book" w:cs="Arial"/>
        </w:rPr>
        <w:t>O</w:t>
      </w:r>
      <w:r w:rsidR="00D312E0" w:rsidRPr="004A3983">
        <w:rPr>
          <w:rFonts w:ascii="Gotham Book" w:hAnsi="Gotham Book" w:cs="Arial"/>
        </w:rPr>
        <w:t>ffice of the General Counsel (O</w:t>
      </w:r>
      <w:r w:rsidR="008347E5" w:rsidRPr="004A3983">
        <w:rPr>
          <w:rFonts w:ascii="Gotham Book" w:hAnsi="Gotham Book" w:cs="Arial"/>
        </w:rPr>
        <w:t>G</w:t>
      </w:r>
      <w:r w:rsidR="00D312E0" w:rsidRPr="004A3983">
        <w:rPr>
          <w:rFonts w:ascii="Gotham Book" w:hAnsi="Gotham Book" w:cs="Arial"/>
        </w:rPr>
        <w:t>C</w:t>
      </w:r>
      <w:r w:rsidR="008347E5" w:rsidRPr="004A3983">
        <w:rPr>
          <w:rFonts w:ascii="Gotham Book" w:hAnsi="Gotham Book" w:cs="Arial"/>
        </w:rPr>
        <w:t>) about how</w:t>
      </w:r>
      <w:r w:rsidR="00356694" w:rsidRPr="004A3983">
        <w:rPr>
          <w:rFonts w:ascii="Gotham Book" w:hAnsi="Gotham Book" w:cs="Arial"/>
        </w:rPr>
        <w:t xml:space="preserve"> to apply for annulments of </w:t>
      </w:r>
      <w:r w:rsidR="008347E5" w:rsidRPr="004A3983">
        <w:rPr>
          <w:rFonts w:ascii="Gotham Book" w:hAnsi="Gotham Book" w:cs="Arial"/>
        </w:rPr>
        <w:t>convictions for persons wh</w:t>
      </w:r>
      <w:r w:rsidR="009447CC" w:rsidRPr="004A3983">
        <w:rPr>
          <w:rFonts w:ascii="Gotham Book" w:hAnsi="Gotham Book" w:cs="Arial"/>
        </w:rPr>
        <w:t>o had been wrongly convicted of</w:t>
      </w:r>
      <w:r w:rsidR="008347E5" w:rsidRPr="004A3983">
        <w:rPr>
          <w:rFonts w:ascii="Gotham Book" w:hAnsi="Gotham Book" w:cs="Arial"/>
        </w:rPr>
        <w:t xml:space="preserve"> offences under the CPOR Act, as a result of errors in the Register.</w:t>
      </w:r>
      <w:r w:rsidR="008347E5" w:rsidRPr="004A3983">
        <w:rPr>
          <w:rStyle w:val="FootnoteReference"/>
          <w:rFonts w:ascii="Gotham Book" w:hAnsi="Gotham Book" w:cs="Arial"/>
        </w:rPr>
        <w:footnoteReference w:id="159"/>
      </w:r>
      <w:r w:rsidR="008347E5" w:rsidRPr="004A3983">
        <w:rPr>
          <w:rFonts w:ascii="Gotham Book" w:hAnsi="Gotham Book" w:cs="Arial"/>
        </w:rPr>
        <w:t xml:space="preserve"> The OGC is a command within the NSW Police Force that provides legal services to the Commissioner of Police and other officers.</w:t>
      </w:r>
      <w:r w:rsidR="008347E5" w:rsidRPr="004A3983">
        <w:rPr>
          <w:rStyle w:val="FootnoteReference"/>
          <w:rFonts w:ascii="Gotham Book" w:hAnsi="Gotham Book" w:cs="Arial"/>
        </w:rPr>
        <w:footnoteReference w:id="160"/>
      </w:r>
      <w:r w:rsidR="00097A84" w:rsidRPr="004A3983">
        <w:rPr>
          <w:rFonts w:ascii="Gotham Book" w:hAnsi="Gotham Book" w:cs="Arial"/>
        </w:rPr>
        <w:t xml:space="preserve"> It is headed by </w:t>
      </w:r>
      <w:r w:rsidR="008347E5" w:rsidRPr="004A3983">
        <w:rPr>
          <w:rFonts w:ascii="Gotham Book" w:hAnsi="Gotham Book" w:cs="Arial"/>
        </w:rPr>
        <w:t xml:space="preserve">General Counsel, and contains various units. </w:t>
      </w:r>
    </w:p>
    <w:p w14:paraId="28A815D9" w14:textId="670A98B5" w:rsidR="003B4199" w:rsidRPr="004A3983" w:rsidRDefault="003B4199" w:rsidP="00D270C0">
      <w:pPr>
        <w:spacing w:after="160"/>
        <w:ind w:right="-2"/>
        <w:rPr>
          <w:rFonts w:ascii="Gotham Book" w:hAnsi="Gotham Book" w:cs="Arial"/>
        </w:rPr>
      </w:pPr>
      <w:r w:rsidRPr="004A3983">
        <w:rPr>
          <w:rFonts w:ascii="Gotham Book" w:hAnsi="Gotham Book" w:cs="Arial"/>
        </w:rPr>
        <w:t xml:space="preserve">The Registry Manager included in his </w:t>
      </w:r>
      <w:r w:rsidR="008347E5" w:rsidRPr="004A3983">
        <w:rPr>
          <w:rFonts w:ascii="Gotham Book" w:hAnsi="Gotham Book" w:cs="Arial"/>
        </w:rPr>
        <w:t>request for advice</w:t>
      </w:r>
      <w:r w:rsidRPr="004A3983">
        <w:rPr>
          <w:rFonts w:ascii="Gotham Book" w:hAnsi="Gotham Book" w:cs="Arial"/>
        </w:rPr>
        <w:t xml:space="preserve"> the detail</w:t>
      </w:r>
      <w:r w:rsidR="00316BB1" w:rsidRPr="004A3983">
        <w:rPr>
          <w:rFonts w:ascii="Gotham Book" w:hAnsi="Gotham Book" w:cs="Arial"/>
        </w:rPr>
        <w:t>s</w:t>
      </w:r>
      <w:r w:rsidRPr="004A3983">
        <w:rPr>
          <w:rFonts w:ascii="Gotham Book" w:hAnsi="Gotham Book" w:cs="Arial"/>
        </w:rPr>
        <w:t xml:space="preserve"> of three particular cases</w:t>
      </w:r>
      <w:r w:rsidR="00C02007" w:rsidRPr="004A3983">
        <w:rPr>
          <w:rFonts w:ascii="Gotham Book" w:hAnsi="Gotham Book" w:cs="Arial"/>
        </w:rPr>
        <w:t>.</w:t>
      </w:r>
      <w:r w:rsidR="00C02007" w:rsidRPr="004A3983">
        <w:rPr>
          <w:rStyle w:val="FootnoteReference"/>
          <w:rFonts w:ascii="Gotham Book" w:hAnsi="Gotham Book" w:cs="Arial"/>
        </w:rPr>
        <w:footnoteReference w:id="161"/>
      </w:r>
      <w:r w:rsidRPr="004A3983">
        <w:rPr>
          <w:rFonts w:ascii="Gotham Book" w:hAnsi="Gotham Book" w:cs="Arial"/>
        </w:rPr>
        <w:t xml:space="preserve"> The Registry Manager wrote that: </w:t>
      </w:r>
    </w:p>
    <w:p w14:paraId="535AF541" w14:textId="77777777" w:rsidR="003B4199" w:rsidRPr="004A3983" w:rsidRDefault="003B4199" w:rsidP="00864C5D">
      <w:pPr>
        <w:pStyle w:val="Quotesmall1cm"/>
      </w:pPr>
      <w:r w:rsidRPr="004A3983">
        <w:t>The Registry is now seeking advice from the OGC regarding the annulment of convictions and sentences imposed upon the three above-mentioned persons, and any other person that may fall into the same category as those mentioned above.</w:t>
      </w:r>
    </w:p>
    <w:p w14:paraId="637FAD21" w14:textId="3F8D1C2E" w:rsidR="003B4199" w:rsidRPr="004A3983" w:rsidRDefault="003B4199" w:rsidP="00864C5D">
      <w:pPr>
        <w:pStyle w:val="Quotesmall1cm"/>
      </w:pPr>
      <w:r w:rsidRPr="004A3983">
        <w:t xml:space="preserve">…it is believed that </w:t>
      </w:r>
      <w:r w:rsidR="004F30E8" w:rsidRPr="004A3983">
        <w:t xml:space="preserve">[the] </w:t>
      </w:r>
      <w:r w:rsidRPr="004A3983">
        <w:t>NSWPF, knowing now that these three persons should not have had their res</w:t>
      </w:r>
      <w:r w:rsidR="00992A4D" w:rsidRPr="004A3983">
        <w:t>pective above charges laid, has</w:t>
      </w:r>
      <w:r w:rsidRPr="004A3983">
        <w:t xml:space="preserve"> an obligation to apply for annulment of these convictions, and subsequent sentences imposed…a request is made for advice from the OGC as to the process and in particular regarding any possible litigation that may occur.</w:t>
      </w:r>
      <w:r w:rsidRPr="004A3983">
        <w:rPr>
          <w:rStyle w:val="FootnoteReference"/>
          <w:rFonts w:cs="Arial"/>
        </w:rPr>
        <w:footnoteReference w:id="162"/>
      </w:r>
    </w:p>
    <w:p w14:paraId="3421C81F" w14:textId="3CFA8E76" w:rsidR="003B4199" w:rsidRPr="004A3983" w:rsidRDefault="003B4199" w:rsidP="00D270C0">
      <w:pPr>
        <w:spacing w:after="160"/>
        <w:ind w:right="-2"/>
        <w:rPr>
          <w:rFonts w:ascii="Gotham Book" w:hAnsi="Gotham Book" w:cs="Arial"/>
        </w:rPr>
      </w:pPr>
      <w:r w:rsidRPr="004A3983">
        <w:rPr>
          <w:rFonts w:ascii="Gotham Book" w:hAnsi="Gotham Book" w:cs="Arial"/>
        </w:rPr>
        <w:t xml:space="preserve">On 26 August 2016 </w:t>
      </w:r>
      <w:r w:rsidR="00834642" w:rsidRPr="004A3983">
        <w:rPr>
          <w:rFonts w:ascii="Gotham Book" w:hAnsi="Gotham Book" w:cs="Arial"/>
        </w:rPr>
        <w:t>a</w:t>
      </w:r>
      <w:r w:rsidRPr="004A3983">
        <w:rPr>
          <w:rFonts w:ascii="Gotham Book" w:hAnsi="Gotham Book" w:cs="Arial"/>
        </w:rPr>
        <w:t xml:space="preserve"> solicitor </w:t>
      </w:r>
      <w:r w:rsidR="00834642" w:rsidRPr="004A3983">
        <w:rPr>
          <w:rFonts w:ascii="Gotham Book" w:hAnsi="Gotham Book" w:cs="Arial"/>
        </w:rPr>
        <w:t>in the OGC</w:t>
      </w:r>
      <w:r w:rsidR="00A76DF4" w:rsidRPr="004A3983">
        <w:rPr>
          <w:rFonts w:ascii="Gotham Book" w:hAnsi="Gotham Book" w:cs="Arial"/>
        </w:rPr>
        <w:t xml:space="preserve"> (hereafter referred to as ‘the OGC solicitor’)</w:t>
      </w:r>
      <w:r w:rsidR="00992A4D" w:rsidRPr="004A3983">
        <w:rPr>
          <w:rFonts w:ascii="Gotham Book" w:hAnsi="Gotham Book" w:cs="Arial"/>
        </w:rPr>
        <w:t xml:space="preserve"> provided</w:t>
      </w:r>
      <w:r w:rsidRPr="004A3983">
        <w:rPr>
          <w:rFonts w:ascii="Gotham Book" w:hAnsi="Gotham Book" w:cs="Arial"/>
        </w:rPr>
        <w:t xml:space="preserve"> advice in response to the Registry Manager’s request</w:t>
      </w:r>
      <w:r w:rsidR="00992A4D" w:rsidRPr="004A3983">
        <w:rPr>
          <w:rFonts w:ascii="Gotham Book" w:hAnsi="Gotham Book" w:cs="Arial"/>
        </w:rPr>
        <w:t xml:space="preserve">, </w:t>
      </w:r>
      <w:r w:rsidR="00911A18" w:rsidRPr="004A3983">
        <w:rPr>
          <w:rFonts w:ascii="Gotham Book" w:hAnsi="Gotham Book" w:cs="Arial"/>
        </w:rPr>
        <w:t>which included the following comments</w:t>
      </w:r>
      <w:r w:rsidRPr="004A3983">
        <w:rPr>
          <w:rFonts w:ascii="Gotham Book" w:hAnsi="Gotham Book" w:cs="Arial"/>
        </w:rPr>
        <w:t xml:space="preserve">: </w:t>
      </w:r>
    </w:p>
    <w:p w14:paraId="1CA84DD5" w14:textId="28CBE807" w:rsidR="003B4199" w:rsidRPr="004A3983" w:rsidRDefault="003B4199" w:rsidP="00864C5D">
      <w:pPr>
        <w:pStyle w:val="Quotesmall1cm"/>
      </w:pPr>
      <w:r w:rsidRPr="004A3983">
        <w:t>… steps should be taken immediately to prioritise the review of cases where registrable persons are presently incarcerated and to correct any errors forthwith with the view of ensuring that registrable persons are not wrongfully imprisoned…</w:t>
      </w:r>
      <w:r w:rsidR="00EA7702" w:rsidRPr="004A3983">
        <w:t xml:space="preserve">Of course there is the moral obligation we have to ensure people are not wrongfully imprisoned. </w:t>
      </w:r>
      <w:r w:rsidRPr="004A3983">
        <w:t xml:space="preserve">We are also </w:t>
      </w:r>
      <w:r w:rsidRPr="004A3983">
        <w:lastRenderedPageBreak/>
        <w:t>obliged to correct situations where registrable persons have been wrongfully convicted of offences even if they are not presently incarcerated.</w:t>
      </w:r>
      <w:r w:rsidRPr="004A3983">
        <w:rPr>
          <w:rStyle w:val="FootnoteReference"/>
          <w:rFonts w:cs="Arial"/>
        </w:rPr>
        <w:footnoteReference w:id="163"/>
      </w:r>
    </w:p>
    <w:p w14:paraId="7FBEA33D" w14:textId="013E1ADE" w:rsidR="003B4199" w:rsidRPr="004A3983" w:rsidRDefault="00992A4D" w:rsidP="00D270C0">
      <w:pPr>
        <w:spacing w:after="160"/>
        <w:ind w:right="-2"/>
        <w:rPr>
          <w:rFonts w:ascii="Gotham Book" w:hAnsi="Gotham Book" w:cs="Arial"/>
        </w:rPr>
      </w:pPr>
      <w:r w:rsidRPr="004A3983">
        <w:rPr>
          <w:rFonts w:ascii="Gotham Book" w:hAnsi="Gotham Book" w:cs="Arial"/>
        </w:rPr>
        <w:t xml:space="preserve">The solicitor </w:t>
      </w:r>
      <w:r w:rsidR="003B4199" w:rsidRPr="004A3983">
        <w:rPr>
          <w:rFonts w:ascii="Gotham Book" w:hAnsi="Gotham Book" w:cs="Arial"/>
        </w:rPr>
        <w:t>provided information about how to apply for annulments, and attached a copy of the application form.</w:t>
      </w:r>
    </w:p>
    <w:p w14:paraId="2190A6A4" w14:textId="2EB7A857" w:rsidR="00BB2F45" w:rsidRPr="004A3983" w:rsidRDefault="00072E80" w:rsidP="00D270C0">
      <w:pPr>
        <w:spacing w:after="160"/>
        <w:ind w:right="-2"/>
        <w:rPr>
          <w:rFonts w:ascii="Gotham Book" w:hAnsi="Gotham Book" w:cs="Arial"/>
        </w:rPr>
      </w:pPr>
      <w:r w:rsidRPr="004A3983">
        <w:rPr>
          <w:rFonts w:ascii="Gotham Book" w:hAnsi="Gotham Book" w:cs="Arial"/>
        </w:rPr>
        <w:t xml:space="preserve">On 18 October 2016 </w:t>
      </w:r>
      <w:r w:rsidR="003B4199" w:rsidRPr="004A3983">
        <w:rPr>
          <w:rFonts w:ascii="Gotham Book" w:hAnsi="Gotham Book" w:cs="Arial"/>
        </w:rPr>
        <w:t>General Counsel stated that she supported the solicitor’s 26 August advice, and noted that ‘OGC has notified the [Treasury Managed Fund] of potential liability for this issue’.</w:t>
      </w:r>
      <w:r w:rsidR="003B4199" w:rsidRPr="004A3983">
        <w:rPr>
          <w:rStyle w:val="FootnoteReference"/>
          <w:rFonts w:ascii="Gotham Book" w:hAnsi="Gotham Book" w:cs="Arial"/>
        </w:rPr>
        <w:footnoteReference w:id="164"/>
      </w:r>
    </w:p>
    <w:p w14:paraId="1E5FA971" w14:textId="1575DC8D" w:rsidR="003B4199" w:rsidRPr="004A3983" w:rsidRDefault="003B4199" w:rsidP="00D270C0">
      <w:pPr>
        <w:spacing w:after="160"/>
        <w:ind w:right="-2"/>
        <w:rPr>
          <w:rFonts w:ascii="Gotham Book" w:hAnsi="Gotham Book" w:cs="Arial"/>
        </w:rPr>
      </w:pPr>
      <w:r w:rsidRPr="004A3983">
        <w:rPr>
          <w:rFonts w:ascii="Gotham Book" w:hAnsi="Gotham Book" w:cs="Arial"/>
        </w:rPr>
        <w:t>In the documentation produced to the Commission, there were nine people who the NSW Police Force identified as having been wron</w:t>
      </w:r>
      <w:r w:rsidR="00136EDD" w:rsidRPr="004A3983">
        <w:rPr>
          <w:rFonts w:ascii="Gotham Book" w:hAnsi="Gotham Book" w:cs="Arial"/>
        </w:rPr>
        <w:t>gly convicted for offences against</w:t>
      </w:r>
      <w:r w:rsidR="001F548C" w:rsidRPr="004A3983">
        <w:rPr>
          <w:rFonts w:ascii="Gotham Book" w:hAnsi="Gotham Book" w:cs="Arial"/>
        </w:rPr>
        <w:t xml:space="preserve"> s </w:t>
      </w:r>
      <w:r w:rsidRPr="004A3983">
        <w:rPr>
          <w:rFonts w:ascii="Gotham Book" w:hAnsi="Gotham Book" w:cs="Arial"/>
        </w:rPr>
        <w:t>17 or s 18 of the CPOR Act.</w:t>
      </w:r>
      <w:r w:rsidRPr="004A3983">
        <w:rPr>
          <w:rStyle w:val="FootnoteReference"/>
          <w:rFonts w:ascii="Gotham Book" w:hAnsi="Gotham Book" w:cs="Arial"/>
        </w:rPr>
        <w:footnoteReference w:id="165"/>
      </w:r>
      <w:r w:rsidRPr="004A3983">
        <w:rPr>
          <w:rFonts w:ascii="Gotham Book" w:hAnsi="Gotham Book" w:cs="Arial"/>
        </w:rPr>
        <w:t xml:space="preserve"> For eight of those people, the NSW Police Force had requested or applied for annulments of their wrongful convictions and sentences prior to the Commission reviewing these cases. All </w:t>
      </w:r>
      <w:r w:rsidR="00D30CA6" w:rsidRPr="004A3983">
        <w:rPr>
          <w:rFonts w:ascii="Gotham Book" w:hAnsi="Gotham Book" w:cs="Arial"/>
        </w:rPr>
        <w:t xml:space="preserve">the </w:t>
      </w:r>
      <w:r w:rsidRPr="004A3983">
        <w:rPr>
          <w:rFonts w:ascii="Gotham Book" w:hAnsi="Gotham Book" w:cs="Arial"/>
        </w:rPr>
        <w:t xml:space="preserve">annulments </w:t>
      </w:r>
      <w:r w:rsidR="00B80459" w:rsidRPr="004A3983">
        <w:rPr>
          <w:rFonts w:ascii="Gotham Book" w:hAnsi="Gotham Book" w:cs="Arial"/>
        </w:rPr>
        <w:t>were granted by the courts.</w:t>
      </w:r>
      <w:r w:rsidRPr="004A3983">
        <w:rPr>
          <w:rStyle w:val="FootnoteReference"/>
          <w:rFonts w:ascii="Gotham Book" w:hAnsi="Gotham Book" w:cs="Arial"/>
        </w:rPr>
        <w:footnoteReference w:id="166"/>
      </w:r>
      <w:r w:rsidR="00C128B7" w:rsidRPr="004A3983">
        <w:rPr>
          <w:rFonts w:ascii="Gotham Book" w:hAnsi="Gotham Book" w:cs="Arial"/>
        </w:rPr>
        <w:t xml:space="preserve"> </w:t>
      </w:r>
      <w:r w:rsidRPr="004A3983">
        <w:rPr>
          <w:rFonts w:ascii="Gotham Book" w:hAnsi="Gotham Book" w:cs="Arial"/>
        </w:rPr>
        <w:t xml:space="preserve">It was </w:t>
      </w:r>
      <w:r w:rsidR="00316BB1" w:rsidRPr="004A3983">
        <w:rPr>
          <w:rFonts w:ascii="Gotham Book" w:hAnsi="Gotham Book" w:cs="Arial"/>
        </w:rPr>
        <w:t>obviously necessary</w:t>
      </w:r>
      <w:r w:rsidRPr="004A3983">
        <w:rPr>
          <w:rFonts w:ascii="Gotham Book" w:hAnsi="Gotham Book" w:cs="Arial"/>
        </w:rPr>
        <w:t xml:space="preserve"> for the NSW Police Force to seek these annulments, to ensure that those wrongful convictions were removed from their criminal records.</w:t>
      </w:r>
    </w:p>
    <w:p w14:paraId="56F4195C" w14:textId="6F5512B8" w:rsidR="003B4199" w:rsidRPr="004A3983" w:rsidRDefault="00EC5119" w:rsidP="00D270C0">
      <w:pPr>
        <w:spacing w:after="160"/>
        <w:ind w:right="-2"/>
        <w:rPr>
          <w:rFonts w:ascii="Gotham Book" w:hAnsi="Gotham Book" w:cs="Arial"/>
        </w:rPr>
      </w:pPr>
      <w:r w:rsidRPr="004A3983">
        <w:rPr>
          <w:rFonts w:ascii="Gotham Book" w:hAnsi="Gotham Book" w:cs="Arial"/>
        </w:rPr>
        <w:t xml:space="preserve">In December 2018 </w:t>
      </w:r>
      <w:r w:rsidR="003B4199" w:rsidRPr="004A3983">
        <w:rPr>
          <w:rFonts w:ascii="Gotham Book" w:hAnsi="Gotham Book" w:cs="Arial"/>
        </w:rPr>
        <w:t>Commission investigators identified that the wrongful convictions of one person (Mr YY</w:t>
      </w:r>
      <w:r w:rsidR="00D66B77" w:rsidRPr="004A3983">
        <w:rPr>
          <w:rFonts w:ascii="Gotham Book" w:hAnsi="Gotham Book" w:cs="Arial"/>
        </w:rPr>
        <w:t>,</w:t>
      </w:r>
      <w:r w:rsidR="003B4199" w:rsidRPr="004A3983">
        <w:rPr>
          <w:rFonts w:ascii="Gotham Book" w:hAnsi="Gotham Book" w:cs="Arial"/>
        </w:rPr>
        <w:t xml:space="preserve"> featured in </w:t>
      </w:r>
      <w:r w:rsidR="007F27C6" w:rsidRPr="004A3983">
        <w:rPr>
          <w:rFonts w:ascii="Gotham Book" w:hAnsi="Gotham Book" w:cs="Arial"/>
        </w:rPr>
        <w:t>Case Study</w:t>
      </w:r>
      <w:r w:rsidR="00AF2351" w:rsidRPr="004A3983">
        <w:rPr>
          <w:rFonts w:ascii="Gotham Book" w:hAnsi="Gotham Book" w:cs="Arial"/>
        </w:rPr>
        <w:t xml:space="preserve"> 7</w:t>
      </w:r>
      <w:r w:rsidR="003B4199" w:rsidRPr="004A3983">
        <w:rPr>
          <w:rFonts w:ascii="Gotham Book" w:hAnsi="Gotham Book" w:cs="Arial"/>
        </w:rPr>
        <w:t xml:space="preserve"> in Chapter 3) had not been annulled. This was despite the fact that by August 2016 the NSW Police Force was aware that Mr YY</w:t>
      </w:r>
      <w:r w:rsidR="00535F15" w:rsidRPr="004A3983">
        <w:rPr>
          <w:rFonts w:ascii="Gotham Book" w:hAnsi="Gotham Book" w:cs="Arial"/>
        </w:rPr>
        <w:t xml:space="preserve"> had been wrongl</w:t>
      </w:r>
      <w:r w:rsidR="003B4199" w:rsidRPr="004A3983">
        <w:rPr>
          <w:rFonts w:ascii="Gotham Book" w:hAnsi="Gotham Book" w:cs="Arial"/>
        </w:rPr>
        <w:t xml:space="preserve">y convicted and sentenced to imprisonment on three occasions for offences under the CPOR Act after his reporting period had ended. He </w:t>
      </w:r>
      <w:r w:rsidR="00E51BBD" w:rsidRPr="004A3983">
        <w:rPr>
          <w:rFonts w:ascii="Gotham Book" w:hAnsi="Gotham Book" w:cs="Arial"/>
        </w:rPr>
        <w:t xml:space="preserve">had </w:t>
      </w:r>
      <w:r w:rsidR="003B4199" w:rsidRPr="004A3983">
        <w:rPr>
          <w:rFonts w:ascii="Gotham Book" w:hAnsi="Gotham Book" w:cs="Arial"/>
        </w:rPr>
        <w:t>spent a total of 189 days in custody as a result.</w:t>
      </w:r>
    </w:p>
    <w:p w14:paraId="4ACEC7BE" w14:textId="6AB5B697" w:rsidR="009C585F" w:rsidRPr="004A3983" w:rsidRDefault="00854564" w:rsidP="00D270C0">
      <w:pPr>
        <w:spacing w:after="160"/>
        <w:ind w:right="-2"/>
        <w:rPr>
          <w:rFonts w:ascii="Gotham Book" w:hAnsi="Gotham Book"/>
        </w:rPr>
      </w:pPr>
      <w:r w:rsidRPr="004A3983">
        <w:rPr>
          <w:rFonts w:ascii="Gotham Book" w:hAnsi="Gotham Book" w:cs="Arial"/>
        </w:rPr>
        <w:lastRenderedPageBreak/>
        <w:t xml:space="preserve">On 19 December 2018 </w:t>
      </w:r>
      <w:r w:rsidR="003B4199" w:rsidRPr="004A3983">
        <w:rPr>
          <w:rFonts w:ascii="Gotham Book" w:hAnsi="Gotham Book" w:cs="Arial"/>
        </w:rPr>
        <w:t xml:space="preserve">Commission investigators raised these concerns with the NSW Police Force. </w:t>
      </w:r>
      <w:r w:rsidR="003B4199" w:rsidRPr="004A3983">
        <w:rPr>
          <w:rFonts w:ascii="Gotham Book" w:hAnsi="Gotham Book"/>
        </w:rPr>
        <w:t>The NSW Police Force im</w:t>
      </w:r>
      <w:r w:rsidR="001F0708" w:rsidRPr="004A3983">
        <w:rPr>
          <w:rFonts w:ascii="Gotham Book" w:hAnsi="Gotham Book"/>
        </w:rPr>
        <w:t>mediately reviewed Mr YY’s case</w:t>
      </w:r>
      <w:r w:rsidR="003B4199" w:rsidRPr="004A3983">
        <w:rPr>
          <w:rFonts w:ascii="Gotham Book" w:hAnsi="Gotham Book"/>
        </w:rPr>
        <w:t xml:space="preserve"> and </w:t>
      </w:r>
      <w:r w:rsidR="001F374B" w:rsidRPr="004A3983">
        <w:rPr>
          <w:rFonts w:ascii="Gotham Book" w:hAnsi="Gotham Book"/>
        </w:rPr>
        <w:t>prepared a letter</w:t>
      </w:r>
      <w:r w:rsidR="001F0708" w:rsidRPr="004A3983">
        <w:rPr>
          <w:rFonts w:ascii="Gotham Book" w:hAnsi="Gotham Book"/>
        </w:rPr>
        <w:t xml:space="preserve">, forwarded to the Department of Justice on 3 January 2019, </w:t>
      </w:r>
      <w:r w:rsidR="003B4199" w:rsidRPr="004A3983">
        <w:rPr>
          <w:rFonts w:ascii="Gotham Book" w:hAnsi="Gotham Book"/>
        </w:rPr>
        <w:t xml:space="preserve">requesting </w:t>
      </w:r>
      <w:r w:rsidR="00B73C49" w:rsidRPr="004A3983">
        <w:rPr>
          <w:rFonts w:ascii="Gotham Book" w:hAnsi="Gotham Book"/>
        </w:rPr>
        <w:t xml:space="preserve">that the Attorney-General refer Mr YY’s wrongful convictions to the Local Court </w:t>
      </w:r>
      <w:r w:rsidR="003B4199" w:rsidRPr="004A3983">
        <w:rPr>
          <w:rFonts w:ascii="Gotham Book" w:hAnsi="Gotham Book"/>
        </w:rPr>
        <w:t>for annulme</w:t>
      </w:r>
      <w:r w:rsidR="00223907" w:rsidRPr="004A3983">
        <w:rPr>
          <w:rFonts w:ascii="Gotham Book" w:hAnsi="Gotham Book"/>
        </w:rPr>
        <w:t>nt.</w:t>
      </w:r>
      <w:r w:rsidR="00D81A63" w:rsidRPr="004A3983">
        <w:rPr>
          <w:rStyle w:val="FootnoteReference"/>
          <w:rFonts w:ascii="Gotham Book" w:hAnsi="Gotham Book"/>
        </w:rPr>
        <w:footnoteReference w:id="167"/>
      </w:r>
      <w:r w:rsidR="00D81A63" w:rsidRPr="004A3983">
        <w:rPr>
          <w:rFonts w:ascii="Gotham Book" w:hAnsi="Gotham Book"/>
        </w:rPr>
        <w:t xml:space="preserve"> </w:t>
      </w:r>
      <w:r w:rsidR="00223907" w:rsidRPr="004A3983">
        <w:rPr>
          <w:rFonts w:ascii="Gotham Book" w:hAnsi="Gotham Book"/>
        </w:rPr>
        <w:t xml:space="preserve">Under the </w:t>
      </w:r>
      <w:r w:rsidR="00223907" w:rsidRPr="004A3983">
        <w:rPr>
          <w:rFonts w:ascii="Gotham Book" w:hAnsi="Gotham Book"/>
          <w:i/>
        </w:rPr>
        <w:t>Crimes (Appeal and Review) Act 2001</w:t>
      </w:r>
      <w:r w:rsidR="00223907" w:rsidRPr="004A3983">
        <w:rPr>
          <w:rFonts w:ascii="Gotham Book" w:hAnsi="Gotham Book"/>
        </w:rPr>
        <w:t xml:space="preserve"> (NSW) the NSW Police Force could not itself apply to the court</w:t>
      </w:r>
      <w:r w:rsidR="00372F85" w:rsidRPr="004A3983">
        <w:rPr>
          <w:rFonts w:ascii="Gotham Book" w:hAnsi="Gotham Book"/>
        </w:rPr>
        <w:t>s</w:t>
      </w:r>
      <w:r w:rsidR="00223907" w:rsidRPr="004A3983">
        <w:rPr>
          <w:rFonts w:ascii="Gotham Book" w:hAnsi="Gotham Book"/>
        </w:rPr>
        <w:t xml:space="preserve"> for the annulments, as more </w:t>
      </w:r>
      <w:r w:rsidR="00B1188E" w:rsidRPr="004A3983">
        <w:rPr>
          <w:rFonts w:ascii="Gotham Book" w:hAnsi="Gotham Book"/>
        </w:rPr>
        <w:t>than two years had passed since the relevant</w:t>
      </w:r>
      <w:r w:rsidR="00223907" w:rsidRPr="004A3983">
        <w:rPr>
          <w:rFonts w:ascii="Gotham Book" w:hAnsi="Gotham Book"/>
        </w:rPr>
        <w:t xml:space="preserve"> convictions</w:t>
      </w:r>
      <w:r w:rsidR="003B4199" w:rsidRPr="004A3983">
        <w:rPr>
          <w:rFonts w:ascii="Gotham Book" w:hAnsi="Gotham Book"/>
        </w:rPr>
        <w:t>.</w:t>
      </w:r>
      <w:r w:rsidR="00D81A63" w:rsidRPr="004A3983">
        <w:rPr>
          <w:rStyle w:val="FootnoteReference"/>
          <w:rFonts w:ascii="Gotham Book" w:hAnsi="Gotham Book"/>
        </w:rPr>
        <w:footnoteReference w:id="168"/>
      </w:r>
      <w:r w:rsidR="00E2372B" w:rsidRPr="004A3983">
        <w:rPr>
          <w:rFonts w:ascii="Gotham Book" w:hAnsi="Gotham Book"/>
        </w:rPr>
        <w:t xml:space="preserve"> </w:t>
      </w:r>
      <w:r w:rsidR="00712CEE" w:rsidRPr="004A3983">
        <w:rPr>
          <w:rFonts w:ascii="Gotham Book" w:hAnsi="Gotham Book"/>
        </w:rPr>
        <w:t xml:space="preserve">The NSW Police Force has stated </w:t>
      </w:r>
      <w:r w:rsidR="009C585F" w:rsidRPr="004A3983">
        <w:rPr>
          <w:rFonts w:ascii="Gotham Book" w:hAnsi="Gotham Book"/>
        </w:rPr>
        <w:t xml:space="preserve">that </w:t>
      </w:r>
      <w:r w:rsidR="00712CEE" w:rsidRPr="004A3983">
        <w:rPr>
          <w:rFonts w:ascii="Gotham Book" w:hAnsi="Gotham Book"/>
        </w:rPr>
        <w:t>its</w:t>
      </w:r>
      <w:r w:rsidR="009C585F" w:rsidRPr="004A3983">
        <w:rPr>
          <w:rFonts w:ascii="Gotham Book" w:hAnsi="Gotham Book"/>
        </w:rPr>
        <w:t xml:space="preserve"> failure to apply for annulments </w:t>
      </w:r>
      <w:r w:rsidR="00F7540C" w:rsidRPr="004A3983">
        <w:rPr>
          <w:rFonts w:ascii="Gotham Book" w:hAnsi="Gotham Book"/>
        </w:rPr>
        <w:t xml:space="preserve">in Mr YY’s case in 2016 </w:t>
      </w:r>
      <w:r w:rsidR="009C585F" w:rsidRPr="004A3983">
        <w:rPr>
          <w:rFonts w:ascii="Gotham Book" w:hAnsi="Gotham Book"/>
        </w:rPr>
        <w:t>was the result of an oversight</w:t>
      </w:r>
      <w:r w:rsidR="00712CEE" w:rsidRPr="004A3983">
        <w:rPr>
          <w:rFonts w:ascii="Gotham Book" w:hAnsi="Gotham Book"/>
        </w:rPr>
        <w:t>, possibly due to a relevant officer going on leave and a mistaken belief that the annulments had already been applied for</w:t>
      </w:r>
      <w:r w:rsidR="009C585F" w:rsidRPr="004A3983">
        <w:rPr>
          <w:rFonts w:ascii="Gotham Book" w:hAnsi="Gotham Book"/>
        </w:rPr>
        <w:t>.</w:t>
      </w:r>
      <w:r w:rsidR="004A4533" w:rsidRPr="004A3983">
        <w:rPr>
          <w:rStyle w:val="FootnoteReference"/>
          <w:rFonts w:ascii="Gotham Book" w:hAnsi="Gotham Book"/>
        </w:rPr>
        <w:footnoteReference w:id="169"/>
      </w:r>
      <w:r w:rsidR="003F2AFA" w:rsidRPr="004A3983">
        <w:rPr>
          <w:rFonts w:ascii="Gotham Book" w:hAnsi="Gotham Book"/>
        </w:rPr>
        <w:t xml:space="preserve"> </w:t>
      </w:r>
    </w:p>
    <w:p w14:paraId="1F5A2DF8" w14:textId="704AA8B6" w:rsidR="000C3687" w:rsidRPr="004A3983" w:rsidRDefault="009D4058" w:rsidP="00D270C0">
      <w:pPr>
        <w:spacing w:after="160"/>
        <w:ind w:right="-2"/>
        <w:rPr>
          <w:rFonts w:ascii="Gotham Book" w:hAnsi="Gotham Book"/>
        </w:rPr>
      </w:pPr>
      <w:r w:rsidRPr="004A3983">
        <w:rPr>
          <w:rFonts w:ascii="Gotham Book" w:hAnsi="Gotham Book"/>
        </w:rPr>
        <w:t>T</w:t>
      </w:r>
      <w:r w:rsidR="00533471" w:rsidRPr="004A3983">
        <w:rPr>
          <w:rFonts w:ascii="Gotham Book" w:hAnsi="Gotham Book"/>
        </w:rPr>
        <w:t xml:space="preserve">he NSW Police Force </w:t>
      </w:r>
      <w:r w:rsidR="00DC3A6F" w:rsidRPr="004A3983">
        <w:rPr>
          <w:rFonts w:ascii="Gotham Book" w:hAnsi="Gotham Book"/>
        </w:rPr>
        <w:t xml:space="preserve">was informed </w:t>
      </w:r>
      <w:r w:rsidRPr="004A3983">
        <w:rPr>
          <w:rFonts w:ascii="Gotham Book" w:hAnsi="Gotham Book"/>
        </w:rPr>
        <w:t xml:space="preserve">on 1 July 2019 </w:t>
      </w:r>
      <w:r w:rsidR="00533471" w:rsidRPr="004A3983">
        <w:rPr>
          <w:rFonts w:ascii="Gotham Book" w:hAnsi="Gotham Book"/>
        </w:rPr>
        <w:t xml:space="preserve">that the </w:t>
      </w:r>
      <w:r w:rsidR="00E12126" w:rsidRPr="004A3983">
        <w:rPr>
          <w:rFonts w:ascii="Gotham Book" w:hAnsi="Gotham Book"/>
        </w:rPr>
        <w:t xml:space="preserve">Attorney-General </w:t>
      </w:r>
      <w:r w:rsidR="00533471" w:rsidRPr="004A3983">
        <w:rPr>
          <w:rFonts w:ascii="Gotham Book" w:hAnsi="Gotham Book"/>
        </w:rPr>
        <w:t xml:space="preserve">had </w:t>
      </w:r>
      <w:r w:rsidR="008E09D4" w:rsidRPr="004A3983">
        <w:rPr>
          <w:rFonts w:ascii="Gotham Book" w:hAnsi="Gotham Book"/>
        </w:rPr>
        <w:t xml:space="preserve">directed that </w:t>
      </w:r>
      <w:r w:rsidR="00533471" w:rsidRPr="004A3983">
        <w:rPr>
          <w:rFonts w:ascii="Gotham Book" w:hAnsi="Gotham Book"/>
        </w:rPr>
        <w:t>Mr YY’s</w:t>
      </w:r>
      <w:r w:rsidR="00E12126" w:rsidRPr="004A3983">
        <w:rPr>
          <w:rFonts w:ascii="Gotham Book" w:hAnsi="Gotham Book"/>
        </w:rPr>
        <w:t xml:space="preserve"> </w:t>
      </w:r>
      <w:r w:rsidR="008E09D4" w:rsidRPr="004A3983">
        <w:rPr>
          <w:rFonts w:ascii="Gotham Book" w:hAnsi="Gotham Book"/>
        </w:rPr>
        <w:t>convictions</w:t>
      </w:r>
      <w:r w:rsidR="00E12126" w:rsidRPr="004A3983">
        <w:rPr>
          <w:rFonts w:ascii="Gotham Book" w:hAnsi="Gotham Book"/>
        </w:rPr>
        <w:t xml:space="preserve"> </w:t>
      </w:r>
      <w:r w:rsidR="008E09D4" w:rsidRPr="004A3983">
        <w:rPr>
          <w:rFonts w:ascii="Gotham Book" w:hAnsi="Gotham Book"/>
        </w:rPr>
        <w:t xml:space="preserve">be referred </w:t>
      </w:r>
      <w:r w:rsidR="00E12126" w:rsidRPr="004A3983">
        <w:rPr>
          <w:rFonts w:ascii="Gotham Book" w:hAnsi="Gotham Book"/>
        </w:rPr>
        <w:t>to the Local Court</w:t>
      </w:r>
      <w:r w:rsidR="008E09D4" w:rsidRPr="004A3983">
        <w:rPr>
          <w:rFonts w:ascii="Gotham Book" w:hAnsi="Gotham Book"/>
        </w:rPr>
        <w:t xml:space="preserve"> for annulment.</w:t>
      </w:r>
      <w:r w:rsidR="008E09D4" w:rsidRPr="004A3983">
        <w:rPr>
          <w:rStyle w:val="FootnoteReference"/>
          <w:rFonts w:ascii="Gotham Book" w:hAnsi="Gotham Book"/>
        </w:rPr>
        <w:footnoteReference w:id="170"/>
      </w:r>
      <w:r w:rsidR="001141DF" w:rsidRPr="004A3983">
        <w:rPr>
          <w:rFonts w:ascii="Gotham Book" w:hAnsi="Gotham Book"/>
        </w:rPr>
        <w:t xml:space="preserve"> O</w:t>
      </w:r>
      <w:r w:rsidR="004D1916" w:rsidRPr="004A3983">
        <w:rPr>
          <w:rFonts w:ascii="Gotham Book" w:hAnsi="Gotham Book"/>
        </w:rPr>
        <w:t>n 18 July 2019 the Local Court annulled all five of Mr YY’s wrongful convictions for offences under the CPOR Act.</w:t>
      </w:r>
      <w:r w:rsidR="004D1916" w:rsidRPr="004A3983">
        <w:rPr>
          <w:rStyle w:val="FootnoteReference"/>
          <w:rFonts w:ascii="Gotham Book" w:hAnsi="Gotham Book"/>
        </w:rPr>
        <w:footnoteReference w:id="171"/>
      </w:r>
    </w:p>
    <w:p w14:paraId="6E5942FB" w14:textId="6DDC2B98" w:rsidR="003B4199" w:rsidRPr="004A3983" w:rsidRDefault="005F3F7D" w:rsidP="00D270C0">
      <w:pPr>
        <w:pStyle w:val="Heading2"/>
        <w:spacing w:after="160"/>
        <w:ind w:right="-2"/>
      </w:pPr>
      <w:bookmarkStart w:id="238" w:name="_Toc22627769"/>
      <w:r w:rsidRPr="004A3983">
        <w:t>NSW Police</w:t>
      </w:r>
      <w:r w:rsidR="00520D7A" w:rsidRPr="004A3983">
        <w:t xml:space="preserve"> Force </w:t>
      </w:r>
      <w:r w:rsidR="00CF1098" w:rsidRPr="004A3983">
        <w:t xml:space="preserve">decided </w:t>
      </w:r>
      <w:r w:rsidR="00520D7A" w:rsidRPr="004A3983">
        <w:t>not</w:t>
      </w:r>
      <w:r w:rsidR="00CF1098" w:rsidRPr="004A3983">
        <w:t xml:space="preserve"> to</w:t>
      </w:r>
      <w:r w:rsidR="00520D7A" w:rsidRPr="004A3983">
        <w:t xml:space="preserve"> notify persons of</w:t>
      </w:r>
      <w:r w:rsidRPr="004A3983">
        <w:t xml:space="preserve"> errors which resulted in unlawful </w:t>
      </w:r>
      <w:r w:rsidR="00A32A3B" w:rsidRPr="004A3983">
        <w:t xml:space="preserve">or unjust </w:t>
      </w:r>
      <w:r w:rsidRPr="004A3983">
        <w:t>action</w:t>
      </w:r>
      <w:r w:rsidR="00A25660" w:rsidRPr="004A3983">
        <w:t>s</w:t>
      </w:r>
      <w:bookmarkEnd w:id="238"/>
    </w:p>
    <w:p w14:paraId="1F078CF8" w14:textId="4A7CDD3A" w:rsidR="00834529" w:rsidRPr="004A3983" w:rsidRDefault="00834529" w:rsidP="00D270C0">
      <w:pPr>
        <w:spacing w:after="160"/>
        <w:ind w:right="-2"/>
        <w:rPr>
          <w:rFonts w:ascii="Gotham Book" w:hAnsi="Gotham Book" w:cs="Arial"/>
        </w:rPr>
      </w:pPr>
      <w:r w:rsidRPr="004A3983">
        <w:rPr>
          <w:rFonts w:ascii="Gotham Book" w:hAnsi="Gotham Book"/>
        </w:rPr>
        <w:t xml:space="preserve">Around the end of June in 2016, prior to the discussion about annulments, </w:t>
      </w:r>
      <w:r w:rsidRPr="004A3983">
        <w:rPr>
          <w:rFonts w:ascii="Gotham Book" w:hAnsi="Gotham Book" w:cs="Arial"/>
        </w:rPr>
        <w:t xml:space="preserve">the NSW Police Force realised that it </w:t>
      </w:r>
      <w:r w:rsidR="00297921" w:rsidRPr="004A3983">
        <w:rPr>
          <w:rFonts w:ascii="Gotham Book" w:hAnsi="Gotham Book" w:cs="Arial"/>
        </w:rPr>
        <w:t>would need</w:t>
      </w:r>
      <w:r w:rsidRPr="004A3983">
        <w:rPr>
          <w:rFonts w:ascii="Gotham Book" w:hAnsi="Gotham Book" w:cs="Arial"/>
        </w:rPr>
        <w:t xml:space="preserve"> to notify certain persons who were reporting their </w:t>
      </w:r>
      <w:r w:rsidR="00297921" w:rsidRPr="004A3983">
        <w:rPr>
          <w:rFonts w:ascii="Gotham Book" w:hAnsi="Gotham Book" w:cs="Arial"/>
        </w:rPr>
        <w:t xml:space="preserve">personal </w:t>
      </w:r>
      <w:r w:rsidRPr="004A3983">
        <w:rPr>
          <w:rFonts w:ascii="Gotham Book" w:hAnsi="Gotham Book" w:cs="Arial"/>
        </w:rPr>
        <w:t>information to police when they had no obligat</w:t>
      </w:r>
      <w:r w:rsidR="00297921" w:rsidRPr="004A3983">
        <w:rPr>
          <w:rFonts w:ascii="Gotham Book" w:hAnsi="Gotham Book" w:cs="Arial"/>
        </w:rPr>
        <w:t>ion to do so under the CPOR Act. The purpose of this notification was to ensure that th</w:t>
      </w:r>
      <w:r w:rsidR="00166392" w:rsidRPr="004A3983">
        <w:rPr>
          <w:rFonts w:ascii="Gotham Book" w:hAnsi="Gotham Book" w:cs="Arial"/>
        </w:rPr>
        <w:t>ose</w:t>
      </w:r>
      <w:r w:rsidR="00297921" w:rsidRPr="004A3983">
        <w:rPr>
          <w:rFonts w:ascii="Gotham Book" w:hAnsi="Gotham Book" w:cs="Arial"/>
        </w:rPr>
        <w:t xml:space="preserve"> person</w:t>
      </w:r>
      <w:r w:rsidR="00166392" w:rsidRPr="004A3983">
        <w:rPr>
          <w:rFonts w:ascii="Gotham Book" w:hAnsi="Gotham Book" w:cs="Arial"/>
        </w:rPr>
        <w:t>s</w:t>
      </w:r>
      <w:r w:rsidR="00297921" w:rsidRPr="004A3983">
        <w:rPr>
          <w:rFonts w:ascii="Gotham Book" w:hAnsi="Gotham Book" w:cs="Arial"/>
        </w:rPr>
        <w:t xml:space="preserve"> did not continue to make reports to police.</w:t>
      </w:r>
    </w:p>
    <w:p w14:paraId="6B905700" w14:textId="4437E458" w:rsidR="00A226DB" w:rsidRPr="004A3983" w:rsidRDefault="00297921" w:rsidP="00D270C0">
      <w:pPr>
        <w:spacing w:after="160"/>
        <w:ind w:right="-2"/>
        <w:rPr>
          <w:rFonts w:ascii="Gotham Book" w:hAnsi="Gotham Book"/>
        </w:rPr>
      </w:pPr>
      <w:r w:rsidRPr="004A3983">
        <w:rPr>
          <w:rFonts w:ascii="Gotham Book" w:hAnsi="Gotham Book"/>
        </w:rPr>
        <w:t>A</w:t>
      </w:r>
      <w:r w:rsidR="00A226DB" w:rsidRPr="004A3983">
        <w:rPr>
          <w:rFonts w:ascii="Gotham Book" w:hAnsi="Gotham Book"/>
        </w:rPr>
        <w:t xml:space="preserve"> number of the persons who had been wrongly convicted were sent letters by the NSW P</w:t>
      </w:r>
      <w:r w:rsidR="00B815DB" w:rsidRPr="004A3983">
        <w:rPr>
          <w:rFonts w:ascii="Gotham Book" w:hAnsi="Gotham Book"/>
        </w:rPr>
        <w:t>olice Force</w:t>
      </w:r>
      <w:r w:rsidR="0020286E" w:rsidRPr="004A3983">
        <w:rPr>
          <w:rFonts w:ascii="Gotham Book" w:hAnsi="Gotham Book"/>
        </w:rPr>
        <w:t xml:space="preserve"> which contained </w:t>
      </w:r>
      <w:r w:rsidR="00443A2B" w:rsidRPr="004A3983">
        <w:rPr>
          <w:rFonts w:ascii="Gotham Book" w:hAnsi="Gotham Book"/>
        </w:rPr>
        <w:t xml:space="preserve">very </w:t>
      </w:r>
      <w:r w:rsidR="0020286E" w:rsidRPr="004A3983">
        <w:rPr>
          <w:rFonts w:ascii="Gotham Book" w:hAnsi="Gotham Book"/>
        </w:rPr>
        <w:t xml:space="preserve">limited, and in some cases misleading </w:t>
      </w:r>
      <w:r w:rsidR="0020286E" w:rsidRPr="004A3983">
        <w:rPr>
          <w:rFonts w:ascii="Gotham Book" w:hAnsi="Gotham Book"/>
        </w:rPr>
        <w:lastRenderedPageBreak/>
        <w:t xml:space="preserve">information. </w:t>
      </w:r>
      <w:r w:rsidR="00475664" w:rsidRPr="004A3983">
        <w:rPr>
          <w:rFonts w:ascii="Gotham Book" w:hAnsi="Gotham Book"/>
        </w:rPr>
        <w:t>The discussion</w:t>
      </w:r>
      <w:r w:rsidR="00EE3C33" w:rsidRPr="004A3983">
        <w:rPr>
          <w:rFonts w:ascii="Gotham Book" w:hAnsi="Gotham Book"/>
        </w:rPr>
        <w:t>s</w:t>
      </w:r>
      <w:r w:rsidR="00475664" w:rsidRPr="004A3983">
        <w:rPr>
          <w:rFonts w:ascii="Gotham Book" w:hAnsi="Gotham Book"/>
        </w:rPr>
        <w:t xml:space="preserve"> within the NSW Police </w:t>
      </w:r>
      <w:r w:rsidR="00D3593A" w:rsidRPr="004A3983">
        <w:rPr>
          <w:rFonts w:ascii="Gotham Book" w:hAnsi="Gotham Book"/>
        </w:rPr>
        <w:t xml:space="preserve">Force </w:t>
      </w:r>
      <w:r w:rsidR="00475664" w:rsidRPr="004A3983">
        <w:rPr>
          <w:rFonts w:ascii="Gotham Book" w:hAnsi="Gotham Book"/>
        </w:rPr>
        <w:t>that led to these letters being sent is set out below.</w:t>
      </w:r>
    </w:p>
    <w:p w14:paraId="453BF584" w14:textId="348DC6D7" w:rsidR="003064AF" w:rsidRPr="004A3983" w:rsidRDefault="00C43068" w:rsidP="00D270C0">
      <w:pPr>
        <w:pStyle w:val="Heading3"/>
        <w:ind w:left="709" w:right="-2" w:hanging="709"/>
      </w:pPr>
      <w:bookmarkStart w:id="239" w:name="_Toc14790490"/>
      <w:bookmarkStart w:id="240" w:name="_Toc15478373"/>
      <w:bookmarkStart w:id="241" w:name="_Toc22627770"/>
      <w:r w:rsidRPr="004A3983">
        <w:t>Internal d</w:t>
      </w:r>
      <w:r w:rsidR="00B879B4" w:rsidRPr="004A3983">
        <w:t xml:space="preserve">iscussions about the </w:t>
      </w:r>
      <w:r w:rsidR="004F68DF" w:rsidRPr="004A3983">
        <w:t>language to be used in the</w:t>
      </w:r>
      <w:r w:rsidR="000D7540" w:rsidRPr="004A3983">
        <w:t xml:space="preserve"> letters</w:t>
      </w:r>
      <w:bookmarkEnd w:id="239"/>
      <w:bookmarkEnd w:id="240"/>
      <w:bookmarkEnd w:id="241"/>
      <w:r w:rsidR="000D7540" w:rsidRPr="004A3983">
        <w:t xml:space="preserve"> </w:t>
      </w:r>
    </w:p>
    <w:p w14:paraId="01DA4D97" w14:textId="612968D5" w:rsidR="00DB5091" w:rsidRPr="004A3983" w:rsidRDefault="006051AB" w:rsidP="00D270C0">
      <w:pPr>
        <w:spacing w:after="160"/>
        <w:ind w:right="-2"/>
        <w:rPr>
          <w:rFonts w:ascii="Gotham Book" w:hAnsi="Gotham Book" w:cs="Arial"/>
        </w:rPr>
      </w:pPr>
      <w:r w:rsidRPr="004A3983">
        <w:rPr>
          <w:rFonts w:ascii="Gotham Book" w:hAnsi="Gotham Book" w:cs="Arial"/>
        </w:rPr>
        <w:t>I</w:t>
      </w:r>
      <w:r w:rsidR="00537D81" w:rsidRPr="004A3983">
        <w:rPr>
          <w:rFonts w:ascii="Gotham Book" w:hAnsi="Gotham Book" w:cs="Arial"/>
        </w:rPr>
        <w:t xml:space="preserve">n </w:t>
      </w:r>
      <w:r w:rsidR="002B653E" w:rsidRPr="004A3983">
        <w:rPr>
          <w:rFonts w:ascii="Gotham Book" w:hAnsi="Gotham Book" w:cs="Arial"/>
        </w:rPr>
        <w:t xml:space="preserve">May 2016 an officer </w:t>
      </w:r>
      <w:r w:rsidR="00DB5091" w:rsidRPr="004A3983">
        <w:rPr>
          <w:rFonts w:ascii="Gotham Book" w:hAnsi="Gotham Book" w:cs="Arial"/>
        </w:rPr>
        <w:t xml:space="preserve">in the Child Protection Registry (the Registry) submitted a report which highlighted the errors that had been discovered in a dip sample of Register cases, and </w:t>
      </w:r>
      <w:r w:rsidR="00DB5091" w:rsidRPr="004A3983">
        <w:rPr>
          <w:rFonts w:ascii="Gotham Book" w:hAnsi="Gotham Book"/>
        </w:rPr>
        <w:t>recommended an independent audit of all active Register cases.</w:t>
      </w:r>
      <w:r w:rsidR="00DB5091" w:rsidRPr="004A3983">
        <w:rPr>
          <w:rStyle w:val="FootnoteReference"/>
          <w:rFonts w:ascii="Gotham Book" w:hAnsi="Gotham Book"/>
        </w:rPr>
        <w:footnoteReference w:id="172"/>
      </w:r>
      <w:r w:rsidR="00DB5091" w:rsidRPr="004A3983">
        <w:rPr>
          <w:rFonts w:ascii="Gotham Book" w:hAnsi="Gotham Book"/>
        </w:rPr>
        <w:t xml:space="preserve"> In that same month the NSW Police Force reviewed the reporting period of Mr CC, in response to a letter from his legal representatives </w:t>
      </w:r>
      <w:r w:rsidR="00166392" w:rsidRPr="004A3983">
        <w:rPr>
          <w:rFonts w:ascii="Gotham Book" w:hAnsi="Gotham Book"/>
        </w:rPr>
        <w:t>(</w:t>
      </w:r>
      <w:r w:rsidR="00B41BCC" w:rsidRPr="004A3983">
        <w:rPr>
          <w:rFonts w:ascii="Gotham Book" w:hAnsi="Gotham Book"/>
        </w:rPr>
        <w:t xml:space="preserve">see </w:t>
      </w:r>
      <w:r w:rsidR="007F27C6" w:rsidRPr="004A3983">
        <w:rPr>
          <w:rFonts w:ascii="Gotham Book" w:hAnsi="Gotham Book"/>
        </w:rPr>
        <w:t>Case Study</w:t>
      </w:r>
      <w:r w:rsidR="00C06EE7" w:rsidRPr="004A3983">
        <w:rPr>
          <w:rFonts w:ascii="Gotham Book" w:hAnsi="Gotham Book"/>
        </w:rPr>
        <w:t xml:space="preserve"> 6</w:t>
      </w:r>
      <w:r w:rsidR="00DB5091" w:rsidRPr="004A3983">
        <w:rPr>
          <w:rFonts w:ascii="Gotham Book" w:hAnsi="Gotham Book"/>
        </w:rPr>
        <w:t xml:space="preserve"> in Chapter 3</w:t>
      </w:r>
      <w:r w:rsidR="00166392" w:rsidRPr="004A3983">
        <w:rPr>
          <w:rFonts w:ascii="Gotham Book" w:hAnsi="Gotham Book"/>
        </w:rPr>
        <w:t>),</w:t>
      </w:r>
      <w:r w:rsidR="00DB5091" w:rsidRPr="004A3983">
        <w:rPr>
          <w:rFonts w:ascii="Gotham Book" w:hAnsi="Gotham Book"/>
        </w:rPr>
        <w:t xml:space="preserve"> </w:t>
      </w:r>
      <w:r w:rsidR="00B41BCC" w:rsidRPr="004A3983">
        <w:rPr>
          <w:rFonts w:ascii="Gotham Book" w:hAnsi="Gotham Book"/>
        </w:rPr>
        <w:t xml:space="preserve">and discovered it </w:t>
      </w:r>
      <w:r w:rsidR="00DB5091" w:rsidRPr="004A3983">
        <w:rPr>
          <w:rFonts w:ascii="Gotham Book" w:hAnsi="Gotham Book"/>
        </w:rPr>
        <w:t xml:space="preserve">had been </w:t>
      </w:r>
      <w:r w:rsidR="0024631B" w:rsidRPr="004A3983">
        <w:rPr>
          <w:rFonts w:ascii="Gotham Book" w:hAnsi="Gotham Book"/>
        </w:rPr>
        <w:t>in</w:t>
      </w:r>
      <w:r w:rsidR="00DB5091" w:rsidRPr="004A3983">
        <w:rPr>
          <w:rFonts w:ascii="Gotham Book" w:hAnsi="Gotham Book"/>
        </w:rPr>
        <w:t>correctly calculated,</w:t>
      </w:r>
      <w:r w:rsidR="00B41BCC" w:rsidRPr="004A3983">
        <w:rPr>
          <w:rFonts w:ascii="Gotham Book" w:hAnsi="Gotham Book"/>
        </w:rPr>
        <w:t xml:space="preserve"> with the result that he had been wrongly convicted and imprisoned for offences under the CPOR Act on multiple occasions.</w:t>
      </w:r>
      <w:r w:rsidR="00DB5091" w:rsidRPr="004A3983">
        <w:rPr>
          <w:rStyle w:val="FootnoteReference"/>
          <w:rFonts w:ascii="Gotham Book" w:hAnsi="Gotham Book"/>
        </w:rPr>
        <w:footnoteReference w:id="173"/>
      </w:r>
    </w:p>
    <w:p w14:paraId="4A221783" w14:textId="55DD9BFA" w:rsidR="00EF435D" w:rsidRPr="004A3983" w:rsidRDefault="00780D79" w:rsidP="00D270C0">
      <w:pPr>
        <w:spacing w:after="160"/>
        <w:ind w:right="-2"/>
        <w:rPr>
          <w:rFonts w:ascii="Gotham Book" w:hAnsi="Gotham Book" w:cs="Arial"/>
        </w:rPr>
      </w:pPr>
      <w:r w:rsidRPr="004A3983">
        <w:rPr>
          <w:rFonts w:ascii="Gotham Book" w:hAnsi="Gotham Book" w:cs="Arial"/>
        </w:rPr>
        <w:t>On 1 July</w:t>
      </w:r>
      <w:r w:rsidR="00B41BCC" w:rsidRPr="004A3983">
        <w:rPr>
          <w:rFonts w:ascii="Gotham Book" w:hAnsi="Gotham Book" w:cs="Arial"/>
        </w:rPr>
        <w:t xml:space="preserve"> 2016 the </w:t>
      </w:r>
      <w:r w:rsidR="00175455" w:rsidRPr="004A3983">
        <w:rPr>
          <w:rFonts w:ascii="Gotham Book" w:hAnsi="Gotham Book" w:cs="Arial"/>
        </w:rPr>
        <w:t>Registry Manager sent an email about Mr</w:t>
      </w:r>
      <w:r w:rsidR="008347E5" w:rsidRPr="004A3983">
        <w:rPr>
          <w:rFonts w:ascii="Gotham Book" w:hAnsi="Gotham Book" w:cs="Arial"/>
        </w:rPr>
        <w:t xml:space="preserve"> CC’s case to the OGC</w:t>
      </w:r>
      <w:r w:rsidR="00175455" w:rsidRPr="004A3983">
        <w:rPr>
          <w:rFonts w:ascii="Gotham Book" w:hAnsi="Gotham Book" w:cs="Arial"/>
        </w:rPr>
        <w:t>.</w:t>
      </w:r>
      <w:r w:rsidR="00175455" w:rsidRPr="004A3983">
        <w:rPr>
          <w:rStyle w:val="FootnoteReference"/>
          <w:rFonts w:ascii="Gotham Book" w:hAnsi="Gotham Book" w:cs="Arial"/>
        </w:rPr>
        <w:footnoteReference w:id="174"/>
      </w:r>
      <w:r w:rsidR="00175455" w:rsidRPr="004A3983">
        <w:rPr>
          <w:rFonts w:ascii="Gotham Book" w:hAnsi="Gotham Book" w:cs="Arial"/>
        </w:rPr>
        <w:t xml:space="preserve"> </w:t>
      </w:r>
      <w:r w:rsidR="00EF435D" w:rsidRPr="004A3983">
        <w:rPr>
          <w:rFonts w:ascii="Gotham Book" w:hAnsi="Gotham Book" w:cs="Arial"/>
        </w:rPr>
        <w:t xml:space="preserve">The </w:t>
      </w:r>
      <w:r w:rsidR="00376B09" w:rsidRPr="004A3983">
        <w:rPr>
          <w:rFonts w:ascii="Gotham Book" w:hAnsi="Gotham Book" w:cs="Arial"/>
        </w:rPr>
        <w:t xml:space="preserve">recipient </w:t>
      </w:r>
      <w:r w:rsidR="00343BD8" w:rsidRPr="004A3983">
        <w:rPr>
          <w:rFonts w:ascii="Gotham Book" w:hAnsi="Gotham Book" w:cs="Arial"/>
        </w:rPr>
        <w:t>forwarded it on to the m</w:t>
      </w:r>
      <w:r w:rsidR="00EF435D" w:rsidRPr="004A3983">
        <w:rPr>
          <w:rFonts w:ascii="Gotham Book" w:hAnsi="Gotham Book" w:cs="Arial"/>
        </w:rPr>
        <w:t>anager of the relevant unit in the OGC (</w:t>
      </w:r>
      <w:r w:rsidR="002B62A4" w:rsidRPr="004A3983">
        <w:rPr>
          <w:rFonts w:ascii="Gotham Book" w:hAnsi="Gotham Book" w:cs="Arial"/>
        </w:rPr>
        <w:t xml:space="preserve">referred to hereafter as </w:t>
      </w:r>
      <w:r w:rsidR="00EF435D" w:rsidRPr="004A3983">
        <w:rPr>
          <w:rFonts w:ascii="Gotham Book" w:hAnsi="Gotham Book" w:cs="Arial"/>
        </w:rPr>
        <w:t xml:space="preserve">‘the </w:t>
      </w:r>
      <w:r w:rsidR="00263B0E" w:rsidRPr="004A3983">
        <w:rPr>
          <w:rFonts w:ascii="Gotham Book" w:hAnsi="Gotham Book" w:cs="Arial"/>
        </w:rPr>
        <w:t xml:space="preserve">Manager in </w:t>
      </w:r>
      <w:r w:rsidR="002B62A4" w:rsidRPr="004A3983">
        <w:rPr>
          <w:rFonts w:ascii="Gotham Book" w:hAnsi="Gotham Book" w:cs="Arial"/>
        </w:rPr>
        <w:t xml:space="preserve">the </w:t>
      </w:r>
      <w:r w:rsidR="00343BD8" w:rsidRPr="004A3983">
        <w:rPr>
          <w:rFonts w:ascii="Gotham Book" w:hAnsi="Gotham Book" w:cs="Arial"/>
        </w:rPr>
        <w:t>OGC’), and stated in his forwarding email:</w:t>
      </w:r>
    </w:p>
    <w:p w14:paraId="70397315" w14:textId="780903CA" w:rsidR="00343BD8" w:rsidRPr="004A3983" w:rsidRDefault="00343BD8" w:rsidP="00864C5D">
      <w:pPr>
        <w:pStyle w:val="Quotesmall1cm"/>
      </w:pPr>
      <w:r w:rsidRPr="004A3983">
        <w:t>Significantly this matter has triggered a review of records of reporting obligations of registrable persons…</w:t>
      </w:r>
      <w:r w:rsidR="00541A78" w:rsidRPr="004A3983">
        <w:t xml:space="preserve">and </w:t>
      </w:r>
      <w:r w:rsidRPr="004A3983">
        <w:t>this has revealed from a relatively small sample 4 other matters where the reporting obligations are incorrect and I think a significant number of similar matters can be expected. Two where the reporting obligations should have expired and two which were thought to have expired but which should be continuing.</w:t>
      </w:r>
    </w:p>
    <w:p w14:paraId="6700D66D" w14:textId="657C5D0A" w:rsidR="00343BD8" w:rsidRPr="004A3983" w:rsidRDefault="00343BD8" w:rsidP="00864C5D">
      <w:pPr>
        <w:pStyle w:val="Quotesmall1cm"/>
      </w:pPr>
      <w:r w:rsidRPr="004A3983">
        <w:t>I understand Sex Crimes intend to start sending out letters about these matters next week and I indicated to the [Registry Manager] that they should get assistance from OGC regarding those letters where the reporting obligations have continued beyond the correct expiry date given the obvious liability issues.</w:t>
      </w:r>
      <w:r w:rsidRPr="004A3983">
        <w:rPr>
          <w:rStyle w:val="FootnoteReference"/>
          <w:rFonts w:cs="Arial"/>
        </w:rPr>
        <w:footnoteReference w:id="175"/>
      </w:r>
    </w:p>
    <w:p w14:paraId="49702246" w14:textId="3EFC8C4E" w:rsidR="00263B0E" w:rsidRPr="004A3983" w:rsidRDefault="002850B4" w:rsidP="00D270C0">
      <w:pPr>
        <w:spacing w:after="160"/>
        <w:ind w:right="-2"/>
        <w:rPr>
          <w:rFonts w:ascii="Gotham Book" w:hAnsi="Gotham Book" w:cs="Arial"/>
        </w:rPr>
      </w:pPr>
      <w:r w:rsidRPr="004A3983">
        <w:rPr>
          <w:rFonts w:ascii="Gotham Book" w:hAnsi="Gotham Book" w:cs="Arial"/>
        </w:rPr>
        <w:t xml:space="preserve">The Manager in the OGC then had a discussion with the Registry Manager, and </w:t>
      </w:r>
      <w:r w:rsidR="00C71893" w:rsidRPr="004A3983">
        <w:rPr>
          <w:rFonts w:ascii="Gotham Book" w:hAnsi="Gotham Book" w:cs="Arial"/>
        </w:rPr>
        <w:t xml:space="preserve">was informed that there could be as many as 200 </w:t>
      </w:r>
      <w:r w:rsidR="00760390" w:rsidRPr="004A3983">
        <w:rPr>
          <w:rFonts w:ascii="Gotham Book" w:hAnsi="Gotham Book" w:cs="Arial"/>
        </w:rPr>
        <w:t xml:space="preserve">Register </w:t>
      </w:r>
      <w:r w:rsidR="00C71893" w:rsidRPr="004A3983">
        <w:rPr>
          <w:rFonts w:ascii="Gotham Book" w:hAnsi="Gotham Book" w:cs="Arial"/>
        </w:rPr>
        <w:t>cases in which persons had been recorded by the NSW Police Force as being required to make reports for longer than was legally permitted by the CPOR Act.</w:t>
      </w:r>
      <w:r w:rsidRPr="004A3983">
        <w:rPr>
          <w:rFonts w:ascii="Gotham Book" w:hAnsi="Gotham Book" w:cs="Arial"/>
        </w:rPr>
        <w:t xml:space="preserve"> His advice to the Registry Manager, which he confirmed in an email, was that the NSW Police Force</w:t>
      </w:r>
      <w:r w:rsidR="00263B0E" w:rsidRPr="004A3983">
        <w:rPr>
          <w:rFonts w:ascii="Gotham Book" w:hAnsi="Gotham Book" w:cs="Arial"/>
        </w:rPr>
        <w:t xml:space="preserve"> should </w:t>
      </w:r>
      <w:r w:rsidR="004F0B6C" w:rsidRPr="004A3983">
        <w:rPr>
          <w:rFonts w:ascii="Gotham Book" w:hAnsi="Gotham Book" w:cs="Arial"/>
        </w:rPr>
        <w:t xml:space="preserve">continue to </w:t>
      </w:r>
      <w:r w:rsidR="00263B0E" w:rsidRPr="004A3983">
        <w:rPr>
          <w:rFonts w:ascii="Gotham Book" w:hAnsi="Gotham Book" w:cs="Arial"/>
        </w:rPr>
        <w:t xml:space="preserve">correct all incorrect Register records that </w:t>
      </w:r>
      <w:r w:rsidR="004F0B6C" w:rsidRPr="004A3983">
        <w:rPr>
          <w:rFonts w:ascii="Gotham Book" w:hAnsi="Gotham Book" w:cs="Arial"/>
        </w:rPr>
        <w:t>it</w:t>
      </w:r>
      <w:r w:rsidR="00263B0E" w:rsidRPr="004A3983">
        <w:rPr>
          <w:rFonts w:ascii="Gotham Book" w:hAnsi="Gotham Book" w:cs="Arial"/>
        </w:rPr>
        <w:t xml:space="preserve"> identified,</w:t>
      </w:r>
      <w:r w:rsidR="000E1CD7" w:rsidRPr="004A3983">
        <w:rPr>
          <w:rFonts w:ascii="Gotham Book" w:hAnsi="Gotham Book" w:cs="Arial"/>
        </w:rPr>
        <w:t xml:space="preserve"> </w:t>
      </w:r>
      <w:r w:rsidR="006C3C24" w:rsidRPr="004A3983">
        <w:rPr>
          <w:rFonts w:ascii="Gotham Book" w:hAnsi="Gotham Book" w:cs="Arial"/>
        </w:rPr>
        <w:t xml:space="preserve">but </w:t>
      </w:r>
      <w:r w:rsidR="004F0B6C" w:rsidRPr="004A3983">
        <w:rPr>
          <w:rFonts w:ascii="Gotham Book" w:hAnsi="Gotham Book" w:cs="Arial"/>
        </w:rPr>
        <w:t>it</w:t>
      </w:r>
      <w:r w:rsidR="001C0F4E" w:rsidRPr="004A3983">
        <w:rPr>
          <w:rFonts w:ascii="Gotham Book" w:hAnsi="Gotham Book" w:cs="Arial"/>
        </w:rPr>
        <w:t xml:space="preserve"> should wait on ‘</w:t>
      </w:r>
      <w:r w:rsidR="00263B0E" w:rsidRPr="004A3983">
        <w:rPr>
          <w:rFonts w:ascii="Gotham Book" w:hAnsi="Gotham Book" w:cs="Arial"/>
        </w:rPr>
        <w:t>sending letters to persons who</w:t>
      </w:r>
      <w:r w:rsidR="00D321E7" w:rsidRPr="004A3983">
        <w:rPr>
          <w:rFonts w:ascii="Gotham Book" w:hAnsi="Gotham Book" w:cs="Arial"/>
        </w:rPr>
        <w:t>se reporting obligations</w:t>
      </w:r>
      <w:r w:rsidR="00263B0E" w:rsidRPr="004A3983">
        <w:rPr>
          <w:rFonts w:ascii="Gotham Book" w:hAnsi="Gotham Book" w:cs="Arial"/>
        </w:rPr>
        <w:t xml:space="preserve"> have been incorrectly recorded as </w:t>
      </w:r>
      <w:r w:rsidR="00263B0E" w:rsidRPr="004A3983">
        <w:rPr>
          <w:rFonts w:ascii="Gotham Book" w:hAnsi="Gotham Book" w:cs="Arial"/>
        </w:rPr>
        <w:lastRenderedPageBreak/>
        <w:t xml:space="preserve">being for </w:t>
      </w:r>
      <w:r w:rsidR="00D321E7" w:rsidRPr="004A3983">
        <w:rPr>
          <w:rFonts w:ascii="Gotham Book" w:hAnsi="Gotham Book" w:cs="Arial"/>
        </w:rPr>
        <w:t xml:space="preserve">a </w:t>
      </w:r>
      <w:r w:rsidR="00263B0E" w:rsidRPr="004A3983">
        <w:rPr>
          <w:rFonts w:ascii="Gotham Book" w:hAnsi="Gotham Book" w:cs="Arial"/>
        </w:rPr>
        <w:t xml:space="preserve">longer </w:t>
      </w:r>
      <w:r w:rsidR="00D321E7" w:rsidRPr="004A3983">
        <w:rPr>
          <w:rFonts w:ascii="Gotham Book" w:hAnsi="Gotham Book" w:cs="Arial"/>
        </w:rPr>
        <w:t xml:space="preserve">period </w:t>
      </w:r>
      <w:r w:rsidR="00263B0E" w:rsidRPr="004A3983">
        <w:rPr>
          <w:rFonts w:ascii="Gotham Book" w:hAnsi="Gotham Book" w:cs="Arial"/>
        </w:rPr>
        <w:t>than ought have been in place pur</w:t>
      </w:r>
      <w:r w:rsidR="000E1CD7" w:rsidRPr="004A3983">
        <w:rPr>
          <w:rFonts w:ascii="Gotham Book" w:hAnsi="Gotham Book" w:cs="Arial"/>
        </w:rPr>
        <w:t>suant to statutory requirements’</w:t>
      </w:r>
      <w:r w:rsidR="001C0F4E" w:rsidRPr="004A3983">
        <w:rPr>
          <w:rFonts w:ascii="Gotham Book" w:hAnsi="Gotham Book" w:cs="Arial"/>
        </w:rPr>
        <w:t>, pending further consideration.</w:t>
      </w:r>
      <w:r w:rsidR="00F278A3" w:rsidRPr="004A3983">
        <w:rPr>
          <w:rStyle w:val="FootnoteReference"/>
          <w:rFonts w:ascii="Gotham Book" w:hAnsi="Gotham Book" w:cs="Arial"/>
        </w:rPr>
        <w:footnoteReference w:id="176"/>
      </w:r>
      <w:r w:rsidR="00731D46" w:rsidRPr="004A3983">
        <w:rPr>
          <w:rFonts w:ascii="Gotham Book" w:hAnsi="Gotham Book" w:cs="Arial"/>
        </w:rPr>
        <w:t xml:space="preserve"> </w:t>
      </w:r>
    </w:p>
    <w:p w14:paraId="2D4014E7" w14:textId="0683CD1E" w:rsidR="003064AF" w:rsidRPr="004A3983" w:rsidRDefault="008E54A2" w:rsidP="00D270C0">
      <w:pPr>
        <w:spacing w:after="160"/>
        <w:ind w:right="-2"/>
        <w:rPr>
          <w:rFonts w:ascii="Gotham Book" w:hAnsi="Gotham Book" w:cs="Arial"/>
        </w:rPr>
      </w:pPr>
      <w:r w:rsidRPr="004A3983">
        <w:rPr>
          <w:rFonts w:ascii="Gotham Book" w:hAnsi="Gotham Book" w:cs="Arial"/>
        </w:rPr>
        <w:t>Following this email</w:t>
      </w:r>
      <w:r w:rsidR="00057811" w:rsidRPr="004A3983">
        <w:rPr>
          <w:rFonts w:ascii="Gotham Book" w:hAnsi="Gotham Book" w:cs="Arial"/>
        </w:rPr>
        <w:t xml:space="preserve">, </w:t>
      </w:r>
      <w:r w:rsidR="00FE5F2A" w:rsidRPr="004A3983">
        <w:rPr>
          <w:rFonts w:ascii="Gotham Book" w:hAnsi="Gotham Book" w:cs="Arial"/>
        </w:rPr>
        <w:t xml:space="preserve">there were </w:t>
      </w:r>
      <w:r w:rsidR="00EF435D" w:rsidRPr="004A3983">
        <w:rPr>
          <w:rFonts w:ascii="Gotham Book" w:hAnsi="Gotham Book" w:cs="Arial"/>
        </w:rPr>
        <w:t xml:space="preserve">a series of emails </w:t>
      </w:r>
      <w:r w:rsidR="001C0F4E" w:rsidRPr="004A3983">
        <w:rPr>
          <w:rFonts w:ascii="Gotham Book" w:hAnsi="Gotham Book" w:cs="Arial"/>
        </w:rPr>
        <w:t>and discussions</w:t>
      </w:r>
      <w:r w:rsidR="00FE5F2A" w:rsidRPr="004A3983">
        <w:rPr>
          <w:rFonts w:ascii="Gotham Book" w:hAnsi="Gotham Book" w:cs="Arial"/>
        </w:rPr>
        <w:t xml:space="preserve"> </w:t>
      </w:r>
      <w:r w:rsidR="00263B0E" w:rsidRPr="004A3983">
        <w:rPr>
          <w:rFonts w:ascii="Gotham Book" w:hAnsi="Gotham Book" w:cs="Arial"/>
        </w:rPr>
        <w:t xml:space="preserve">between </w:t>
      </w:r>
      <w:r w:rsidR="004F0B6C" w:rsidRPr="004A3983">
        <w:rPr>
          <w:rFonts w:ascii="Gotham Book" w:hAnsi="Gotham Book" w:cs="Arial"/>
        </w:rPr>
        <w:t xml:space="preserve">staff in the State Crime Command </w:t>
      </w:r>
      <w:r w:rsidR="00263B0E" w:rsidRPr="004A3983">
        <w:rPr>
          <w:rFonts w:ascii="Gotham Book" w:hAnsi="Gotham Book" w:cs="Arial"/>
        </w:rPr>
        <w:t xml:space="preserve">and the OGC </w:t>
      </w:r>
      <w:r w:rsidR="00EF435D" w:rsidRPr="004A3983">
        <w:rPr>
          <w:rFonts w:ascii="Gotham Book" w:hAnsi="Gotham Book" w:cs="Arial"/>
        </w:rPr>
        <w:t xml:space="preserve">about </w:t>
      </w:r>
      <w:r w:rsidR="00057811" w:rsidRPr="004A3983">
        <w:rPr>
          <w:rFonts w:ascii="Gotham Book" w:hAnsi="Gotham Book" w:cs="Arial"/>
        </w:rPr>
        <w:t>the c</w:t>
      </w:r>
      <w:r w:rsidR="00760390" w:rsidRPr="004A3983">
        <w:rPr>
          <w:rFonts w:ascii="Gotham Book" w:hAnsi="Gotham Book" w:cs="Arial"/>
        </w:rPr>
        <w:t>ontent of the letters to send</w:t>
      </w:r>
      <w:r w:rsidR="00057811" w:rsidRPr="004A3983">
        <w:rPr>
          <w:rFonts w:ascii="Gotham Book" w:hAnsi="Gotham Book" w:cs="Arial"/>
        </w:rPr>
        <w:t xml:space="preserve"> to persons in relation to whom the NSW Police Force had made an error </w:t>
      </w:r>
      <w:r w:rsidR="00E672DB" w:rsidRPr="004A3983">
        <w:rPr>
          <w:rFonts w:ascii="Gotham Book" w:hAnsi="Gotham Book" w:cs="Arial"/>
        </w:rPr>
        <w:t>when applying the CPOR Act.</w:t>
      </w:r>
      <w:r w:rsidR="001C0F4E" w:rsidRPr="004A3983">
        <w:rPr>
          <w:rFonts w:ascii="Gotham Book" w:hAnsi="Gotham Book" w:cs="Arial"/>
        </w:rPr>
        <w:t xml:space="preserve"> </w:t>
      </w:r>
      <w:r w:rsidR="00C37AB3" w:rsidRPr="004A3983">
        <w:rPr>
          <w:rFonts w:ascii="Gotham Book" w:hAnsi="Gotham Book" w:cs="Arial"/>
        </w:rPr>
        <w:t>In the course of those emails and discussions:</w:t>
      </w:r>
    </w:p>
    <w:p w14:paraId="2A6CA040" w14:textId="14F60283" w:rsidR="00EE037C" w:rsidRPr="004A3983" w:rsidRDefault="00466004" w:rsidP="00864C5D">
      <w:pPr>
        <w:pStyle w:val="ListBullet"/>
        <w:rPr>
          <w:rFonts w:cs="Arial"/>
        </w:rPr>
      </w:pPr>
      <w:r w:rsidRPr="004A3983">
        <w:t>On 1 July 2016 t</w:t>
      </w:r>
      <w:r w:rsidR="00D36B17" w:rsidRPr="004A3983">
        <w:t xml:space="preserve">he Registry Manager sent </w:t>
      </w:r>
      <w:r w:rsidR="00346E98" w:rsidRPr="004A3983">
        <w:t>to the Manager in the OGC a template letter</w:t>
      </w:r>
      <w:r w:rsidR="00F42DB6" w:rsidRPr="004A3983">
        <w:t xml:space="preserve"> </w:t>
      </w:r>
      <w:r w:rsidR="00346E98" w:rsidRPr="004A3983">
        <w:t xml:space="preserve">which had been drafted by a solicitor in the </w:t>
      </w:r>
      <w:r w:rsidR="00815242" w:rsidRPr="004A3983">
        <w:t>Police Prosecutions</w:t>
      </w:r>
      <w:r w:rsidR="00346E98" w:rsidRPr="004A3983">
        <w:t xml:space="preserve"> Command, and approved by the Commander of the Sex Crimes Squad. The template letter</w:t>
      </w:r>
      <w:r w:rsidR="00F42DB6" w:rsidRPr="004A3983">
        <w:t xml:space="preserve"> </w:t>
      </w:r>
      <w:r w:rsidR="009A60AB" w:rsidRPr="004A3983">
        <w:t xml:space="preserve">included an acknowledgement that the person’s reporting period had been ‘incorrectly determined’, explained the legal basis for the person’s (correct) reporting period, and </w:t>
      </w:r>
      <w:r w:rsidR="00760390" w:rsidRPr="004A3983">
        <w:t>stated:</w:t>
      </w:r>
      <w:r w:rsidR="00001A64" w:rsidRPr="004A3983">
        <w:t xml:space="preserve"> ‘If you have any further issues or concerns, please seek your own independent legal advice’.</w:t>
      </w:r>
      <w:r w:rsidR="00D84A82" w:rsidRPr="004A3983">
        <w:t xml:space="preserve"> The Registry Manager stated ‘</w:t>
      </w:r>
      <w:r w:rsidR="00BB1ED2" w:rsidRPr="004A3983">
        <w:rPr>
          <w:rFonts w:cs="Arial"/>
        </w:rPr>
        <w:t>[t]</w:t>
      </w:r>
      <w:r w:rsidR="00D84A82" w:rsidRPr="004A3983">
        <w:rPr>
          <w:rFonts w:cs="Arial"/>
        </w:rPr>
        <w:t>he intent was to tailor each letter to each individual Registrable Person, however I note your instructions in your other email, not to send them out yet.’</w:t>
      </w:r>
      <w:r w:rsidR="00EE037C" w:rsidRPr="004A3983">
        <w:rPr>
          <w:rFonts w:cs="Arial"/>
        </w:rPr>
        <w:t xml:space="preserve"> He also attached a draft letter to a registrable person</w:t>
      </w:r>
      <w:r w:rsidR="000E350B" w:rsidRPr="004A3983">
        <w:rPr>
          <w:rFonts w:cs="Arial"/>
        </w:rPr>
        <w:t>, Mr TT,</w:t>
      </w:r>
      <w:r w:rsidR="00EE037C" w:rsidRPr="004A3983">
        <w:rPr>
          <w:rFonts w:cs="Arial"/>
        </w:rPr>
        <w:t xml:space="preserve"> whose reporting period</w:t>
      </w:r>
      <w:r w:rsidR="00CF2CC1" w:rsidRPr="004A3983">
        <w:rPr>
          <w:rFonts w:cs="Arial"/>
        </w:rPr>
        <w:t xml:space="preserve"> </w:t>
      </w:r>
      <w:r w:rsidR="00511D04" w:rsidRPr="004A3983">
        <w:rPr>
          <w:rFonts w:cs="Arial"/>
        </w:rPr>
        <w:t xml:space="preserve">had been </w:t>
      </w:r>
      <w:r w:rsidR="00CF2CC1" w:rsidRPr="004A3983">
        <w:rPr>
          <w:rFonts w:cs="Arial"/>
        </w:rPr>
        <w:t>needed to be extended</w:t>
      </w:r>
      <w:r w:rsidR="00EE037C" w:rsidRPr="004A3983">
        <w:rPr>
          <w:rFonts w:cs="Arial"/>
        </w:rPr>
        <w:t>.</w:t>
      </w:r>
      <w:r w:rsidR="00EE037C" w:rsidRPr="004A3983">
        <w:rPr>
          <w:rStyle w:val="FootnoteReference"/>
          <w:rFonts w:cs="Arial"/>
        </w:rPr>
        <w:footnoteReference w:id="177"/>
      </w:r>
    </w:p>
    <w:p w14:paraId="7CB64F27" w14:textId="72B8B114" w:rsidR="00C37AB3" w:rsidRPr="004A3983" w:rsidRDefault="00EE037C" w:rsidP="00864C5D">
      <w:pPr>
        <w:pStyle w:val="ListBullet"/>
        <w:rPr>
          <w:rFonts w:cs="Arial"/>
        </w:rPr>
      </w:pPr>
      <w:r w:rsidRPr="004A3983">
        <w:rPr>
          <w:rFonts w:cs="Arial"/>
        </w:rPr>
        <w:t xml:space="preserve">The Manager in the OGC </w:t>
      </w:r>
      <w:r w:rsidR="00591717" w:rsidRPr="004A3983">
        <w:rPr>
          <w:rFonts w:cs="Arial"/>
        </w:rPr>
        <w:t xml:space="preserve">responded </w:t>
      </w:r>
      <w:r w:rsidR="00D31AE1" w:rsidRPr="004A3983">
        <w:rPr>
          <w:rFonts w:cs="Arial"/>
        </w:rPr>
        <w:t>on 1 July 2016, stating</w:t>
      </w:r>
      <w:r w:rsidR="009806DC" w:rsidRPr="004A3983">
        <w:rPr>
          <w:rFonts w:cs="Arial"/>
        </w:rPr>
        <w:t>:</w:t>
      </w:r>
      <w:r w:rsidR="00D31AE1" w:rsidRPr="004A3983">
        <w:rPr>
          <w:rFonts w:cs="Arial"/>
        </w:rPr>
        <w:t xml:space="preserve"> </w:t>
      </w:r>
      <w:r w:rsidR="00466004" w:rsidRPr="004A3983">
        <w:rPr>
          <w:rFonts w:cs="Arial"/>
        </w:rPr>
        <w:t>‘the concern, from a Civil Law viewpoint, is with those offenders whose period was inappropriately r</w:t>
      </w:r>
      <w:r w:rsidR="00D51C60" w:rsidRPr="004A3983">
        <w:rPr>
          <w:rFonts w:cs="Arial"/>
        </w:rPr>
        <w:t xml:space="preserve">ecorded for a </w:t>
      </w:r>
      <w:r w:rsidR="00D51C60" w:rsidRPr="004A3983">
        <w:rPr>
          <w:rFonts w:cs="Arial"/>
          <w:u w:val="single"/>
        </w:rPr>
        <w:t>longer</w:t>
      </w:r>
      <w:r w:rsidR="00D51C60" w:rsidRPr="004A3983">
        <w:rPr>
          <w:rFonts w:cs="Arial"/>
        </w:rPr>
        <w:t xml:space="preserve"> period than</w:t>
      </w:r>
      <w:r w:rsidR="00466004" w:rsidRPr="004A3983">
        <w:rPr>
          <w:rFonts w:cs="Arial"/>
        </w:rPr>
        <w:t xml:space="preserve"> it should have been and has now expired</w:t>
      </w:r>
      <w:r w:rsidR="009806DC" w:rsidRPr="004A3983">
        <w:rPr>
          <w:rFonts w:cs="Arial"/>
        </w:rPr>
        <w:t xml:space="preserve">. In those circumstances, </w:t>
      </w:r>
      <w:r w:rsidR="00466004" w:rsidRPr="004A3983">
        <w:rPr>
          <w:rFonts w:cs="Arial"/>
        </w:rPr>
        <w:t>the letters are fine for those whose period is to be extended.’</w:t>
      </w:r>
      <w:r w:rsidR="00466004" w:rsidRPr="004A3983">
        <w:rPr>
          <w:rStyle w:val="FootnoteReference"/>
          <w:rFonts w:cs="Arial"/>
          <w:sz w:val="20"/>
          <w:szCs w:val="20"/>
        </w:rPr>
        <w:footnoteReference w:id="178"/>
      </w:r>
      <w:r w:rsidR="00466004" w:rsidRPr="004A3983">
        <w:rPr>
          <w:rFonts w:cs="Arial"/>
        </w:rPr>
        <w:t xml:space="preserve"> </w:t>
      </w:r>
    </w:p>
    <w:p w14:paraId="79ECC8B7" w14:textId="60CC388D" w:rsidR="00FF6064" w:rsidRPr="004A3983" w:rsidRDefault="0094492A" w:rsidP="00864C5D">
      <w:pPr>
        <w:pStyle w:val="ListBullet"/>
        <w:rPr>
          <w:rFonts w:cs="Arial"/>
        </w:rPr>
      </w:pPr>
      <w:r w:rsidRPr="004A3983">
        <w:rPr>
          <w:rFonts w:cs="Arial"/>
        </w:rPr>
        <w:t>The OGC solicitor and</w:t>
      </w:r>
      <w:r w:rsidR="00BE446B" w:rsidRPr="004A3983">
        <w:rPr>
          <w:rFonts w:cs="Arial"/>
        </w:rPr>
        <w:t xml:space="preserve"> the Manager</w:t>
      </w:r>
      <w:r w:rsidRPr="004A3983">
        <w:rPr>
          <w:rFonts w:cs="Arial"/>
        </w:rPr>
        <w:t xml:space="preserve"> in the OGC</w:t>
      </w:r>
      <w:r w:rsidR="00C37AB3" w:rsidRPr="004A3983">
        <w:rPr>
          <w:rFonts w:cs="Arial"/>
        </w:rPr>
        <w:t xml:space="preserve"> were</w:t>
      </w:r>
      <w:r w:rsidR="003064AF" w:rsidRPr="004A3983">
        <w:rPr>
          <w:rFonts w:cs="Arial"/>
        </w:rPr>
        <w:t xml:space="preserve"> informed that some persons had been subjected to</w:t>
      </w:r>
      <w:r w:rsidR="007D75A1" w:rsidRPr="004A3983">
        <w:rPr>
          <w:rFonts w:cs="Arial"/>
        </w:rPr>
        <w:t xml:space="preserve"> unlawful reporting </w:t>
      </w:r>
      <w:r w:rsidR="0022352D" w:rsidRPr="004A3983">
        <w:rPr>
          <w:rFonts w:cs="Arial"/>
        </w:rPr>
        <w:t>requirement</w:t>
      </w:r>
      <w:r w:rsidR="007D75A1" w:rsidRPr="004A3983">
        <w:rPr>
          <w:rFonts w:cs="Arial"/>
        </w:rPr>
        <w:t xml:space="preserve">s, and as a result </w:t>
      </w:r>
      <w:r w:rsidR="003064AF" w:rsidRPr="004A3983">
        <w:rPr>
          <w:rFonts w:cs="Arial"/>
        </w:rPr>
        <w:t xml:space="preserve">had been wrongly charged, convicted, and in some cases imprisoned for failing to comply with reporting obligations under the CPOR Act </w:t>
      </w:r>
      <w:r w:rsidR="0026535D" w:rsidRPr="004A3983">
        <w:rPr>
          <w:rFonts w:cs="Arial"/>
        </w:rPr>
        <w:t>when those obligations</w:t>
      </w:r>
      <w:r w:rsidR="003064AF" w:rsidRPr="004A3983">
        <w:rPr>
          <w:rFonts w:cs="Arial"/>
        </w:rPr>
        <w:t xml:space="preserve"> did not apply to them at the time.</w:t>
      </w:r>
      <w:r w:rsidR="003064AF" w:rsidRPr="004A3983">
        <w:rPr>
          <w:rStyle w:val="FootnoteReference"/>
          <w:rFonts w:cs="Arial"/>
        </w:rPr>
        <w:footnoteReference w:id="179"/>
      </w:r>
    </w:p>
    <w:p w14:paraId="363A7436" w14:textId="43079368" w:rsidR="00B944D3" w:rsidRPr="004A3983" w:rsidRDefault="0055321A" w:rsidP="00864C5D">
      <w:pPr>
        <w:pStyle w:val="ListBullet"/>
        <w:rPr>
          <w:rFonts w:cs="Arial"/>
        </w:rPr>
      </w:pPr>
      <w:r w:rsidRPr="004A3983">
        <w:rPr>
          <w:rFonts w:cs="Arial"/>
        </w:rPr>
        <w:t>O</w:t>
      </w:r>
      <w:r w:rsidR="00506D4F" w:rsidRPr="004A3983">
        <w:rPr>
          <w:rFonts w:cs="Arial"/>
        </w:rPr>
        <w:t>n</w:t>
      </w:r>
      <w:r w:rsidR="008423A4" w:rsidRPr="004A3983">
        <w:rPr>
          <w:rFonts w:cs="Arial"/>
        </w:rPr>
        <w:t xml:space="preserve"> the morning of</w:t>
      </w:r>
      <w:r w:rsidR="00506D4F" w:rsidRPr="004A3983">
        <w:rPr>
          <w:rFonts w:cs="Arial"/>
        </w:rPr>
        <w:t xml:space="preserve"> 14 July </w:t>
      </w:r>
      <w:r w:rsidR="00765052" w:rsidRPr="004A3983">
        <w:rPr>
          <w:rFonts w:cs="Arial"/>
        </w:rPr>
        <w:t xml:space="preserve">2016 the Acting Commander of the Sex Crimes Squad sent an email to </w:t>
      </w:r>
      <w:r w:rsidR="0071253E" w:rsidRPr="004A3983">
        <w:rPr>
          <w:rFonts w:cs="Arial"/>
        </w:rPr>
        <w:t>a superintendent</w:t>
      </w:r>
      <w:r w:rsidR="00765052" w:rsidRPr="004A3983">
        <w:rPr>
          <w:rFonts w:cs="Arial"/>
        </w:rPr>
        <w:t xml:space="preserve"> in the State Crime Command which set out two examples of persons who had been</w:t>
      </w:r>
      <w:r w:rsidR="00BA2410" w:rsidRPr="004A3983">
        <w:rPr>
          <w:rFonts w:cs="Arial"/>
        </w:rPr>
        <w:t xml:space="preserve"> wrongly</w:t>
      </w:r>
      <w:r w:rsidR="00765052" w:rsidRPr="004A3983">
        <w:rPr>
          <w:rFonts w:cs="Arial"/>
        </w:rPr>
        <w:t xml:space="preserve"> imprisoned for </w:t>
      </w:r>
      <w:r w:rsidR="00765052" w:rsidRPr="004A3983">
        <w:rPr>
          <w:rFonts w:cs="Arial"/>
        </w:rPr>
        <w:lastRenderedPageBreak/>
        <w:t>offences under the CPOR Act.</w:t>
      </w:r>
      <w:r w:rsidR="00855760" w:rsidRPr="004A3983">
        <w:rPr>
          <w:rStyle w:val="FootnoteReference"/>
          <w:rFonts w:cs="Arial"/>
        </w:rPr>
        <w:footnoteReference w:id="180"/>
      </w:r>
      <w:r w:rsidR="00765052" w:rsidRPr="004A3983">
        <w:rPr>
          <w:rFonts w:cs="Arial"/>
        </w:rPr>
        <w:t xml:space="preserve"> He stated that the matters were ‘of significant concern’ </w:t>
      </w:r>
      <w:r w:rsidR="00855760" w:rsidRPr="004A3983">
        <w:rPr>
          <w:rFonts w:cs="Arial"/>
        </w:rPr>
        <w:t xml:space="preserve">and </w:t>
      </w:r>
      <w:r w:rsidR="0047091D" w:rsidRPr="004A3983">
        <w:rPr>
          <w:rFonts w:cs="Arial"/>
        </w:rPr>
        <w:t>that</w:t>
      </w:r>
      <w:r w:rsidR="00B944D3" w:rsidRPr="004A3983">
        <w:rPr>
          <w:rFonts w:cs="Arial"/>
        </w:rPr>
        <w:t>:</w:t>
      </w:r>
    </w:p>
    <w:p w14:paraId="53BBC982" w14:textId="59B7FA88" w:rsidR="00506D4F" w:rsidRPr="004A3983" w:rsidRDefault="00B944D3" w:rsidP="00617F54">
      <w:pPr>
        <w:pStyle w:val="Quotesmall2cm"/>
      </w:pPr>
      <w:r w:rsidRPr="004A3983">
        <w:t>[</w:t>
      </w:r>
      <w:r w:rsidR="0047091D" w:rsidRPr="004A3983">
        <w:t>the Registry Manager</w:t>
      </w:r>
      <w:r w:rsidRPr="004A3983">
        <w:t>]</w:t>
      </w:r>
      <w:r w:rsidR="0047091D" w:rsidRPr="004A3983">
        <w:t xml:space="preserve"> advises that [the Manager in </w:t>
      </w:r>
      <w:r w:rsidR="00BD31B7" w:rsidRPr="004A3983">
        <w:t xml:space="preserve">the </w:t>
      </w:r>
      <w:r w:rsidR="0047091D" w:rsidRPr="004A3983">
        <w:t xml:space="preserve">OGC] does not want us sending letters to Registrable Persons advising that they have been on the </w:t>
      </w:r>
      <w:r w:rsidR="00EB31A4" w:rsidRPr="004A3983">
        <w:t>[</w:t>
      </w:r>
      <w:r w:rsidR="0047091D" w:rsidRPr="004A3983">
        <w:t>C</w:t>
      </w:r>
      <w:r w:rsidR="00EB31A4" w:rsidRPr="004A3983">
        <w:t xml:space="preserve">hild </w:t>
      </w:r>
      <w:r w:rsidR="0047091D" w:rsidRPr="004A3983">
        <w:t>P</w:t>
      </w:r>
      <w:r w:rsidR="00EB31A4" w:rsidRPr="004A3983">
        <w:t xml:space="preserve">rotection </w:t>
      </w:r>
      <w:r w:rsidR="0047091D" w:rsidRPr="004A3983">
        <w:t>R</w:t>
      </w:r>
      <w:r w:rsidR="00EB31A4" w:rsidRPr="004A3983">
        <w:t>egister]</w:t>
      </w:r>
      <w:r w:rsidR="0047091D" w:rsidRPr="004A3983">
        <w:t xml:space="preserve"> for too long, but at the same time, in my view, we have an obligation to the [registrable persons] to advise them ASAP. I anticipate this won’t be the last of these, and we need some sort of process to ensure transparency/</w:t>
      </w:r>
      <w:r w:rsidR="006051AB" w:rsidRPr="004A3983">
        <w:t xml:space="preserve"> </w:t>
      </w:r>
      <w:r w:rsidR="00905E8C" w:rsidRPr="004A3983">
        <w:t>thoroughness on all fronts. I believe we need to arrange a meeting perhaps with yourself and later with OGC to formulate a way to deal with these matters.</w:t>
      </w:r>
      <w:r w:rsidR="00905E8C" w:rsidRPr="004A3983">
        <w:rPr>
          <w:rStyle w:val="FootnoteReference"/>
          <w:rFonts w:cs="Arial"/>
        </w:rPr>
        <w:footnoteReference w:id="181"/>
      </w:r>
    </w:p>
    <w:p w14:paraId="59EA0F4A" w14:textId="250BEC02" w:rsidR="0050214A" w:rsidRPr="004A3983" w:rsidRDefault="0055321A" w:rsidP="00864C5D">
      <w:pPr>
        <w:pStyle w:val="ListBullet"/>
      </w:pPr>
      <w:r w:rsidRPr="004A3983">
        <w:t>O</w:t>
      </w:r>
      <w:r w:rsidR="0071253E" w:rsidRPr="004A3983">
        <w:t>n the afternoon o</w:t>
      </w:r>
      <w:r w:rsidR="003A1130" w:rsidRPr="004A3983">
        <w:t>f</w:t>
      </w:r>
      <w:r w:rsidR="00B21E14" w:rsidRPr="004A3983">
        <w:t xml:space="preserve"> 14 J</w:t>
      </w:r>
      <w:r w:rsidR="003A1130" w:rsidRPr="004A3983">
        <w:t xml:space="preserve">uly 2016 </w:t>
      </w:r>
      <w:r w:rsidR="00B21E14" w:rsidRPr="004A3983">
        <w:t xml:space="preserve">the Registry Manager </w:t>
      </w:r>
      <w:r w:rsidR="003A1130" w:rsidRPr="004A3983">
        <w:t>forwarded the Acting Commander’s email to</w:t>
      </w:r>
      <w:r w:rsidR="0071253E" w:rsidRPr="004A3983">
        <w:t xml:space="preserve"> the Manager in the OGC, copying in the OGC solicitor, </w:t>
      </w:r>
      <w:r w:rsidR="003A1130" w:rsidRPr="004A3983">
        <w:t>and stated</w:t>
      </w:r>
      <w:r w:rsidR="0071253E" w:rsidRPr="004A3983">
        <w:t>:</w:t>
      </w:r>
    </w:p>
    <w:p w14:paraId="4BD61F21" w14:textId="53C8341A" w:rsidR="00550282" w:rsidRPr="004A3983" w:rsidRDefault="0071253E" w:rsidP="00617F54">
      <w:pPr>
        <w:pStyle w:val="Quotesmall2cm"/>
      </w:pPr>
      <w:r w:rsidRPr="004A3983">
        <w:t>We met with [</w:t>
      </w:r>
      <w:r w:rsidR="00332804" w:rsidRPr="004A3983">
        <w:t xml:space="preserve">an Assistant Commissioner in </w:t>
      </w:r>
      <w:r w:rsidR="008E3E12" w:rsidRPr="004A3983">
        <w:t>the State Crime Command</w:t>
      </w:r>
      <w:r w:rsidR="00C36A02" w:rsidRPr="004A3983">
        <w:t>] and [the s</w:t>
      </w:r>
      <w:r w:rsidRPr="004A3983">
        <w:t xml:space="preserve">uperintendent in the State Crime Command] </w:t>
      </w:r>
      <w:r w:rsidR="003A1130" w:rsidRPr="004A3983">
        <w:t xml:space="preserve">this morning who have </w:t>
      </w:r>
      <w:r w:rsidR="00B21E14" w:rsidRPr="004A3983">
        <w:t xml:space="preserve">requested </w:t>
      </w:r>
      <w:r w:rsidR="003A1130" w:rsidRPr="004A3983">
        <w:t xml:space="preserve">we set up </w:t>
      </w:r>
      <w:r w:rsidR="00B21E14" w:rsidRPr="004A3983">
        <w:t xml:space="preserve">a meeting with </w:t>
      </w:r>
      <w:r w:rsidR="003A1130" w:rsidRPr="004A3983">
        <w:t xml:space="preserve">you/OGC </w:t>
      </w:r>
      <w:r w:rsidR="00B21E14" w:rsidRPr="004A3983">
        <w:t>to</w:t>
      </w:r>
      <w:r w:rsidR="003A1130" w:rsidRPr="004A3983">
        <w:t xml:space="preserve"> work out how to progress, not only these matters, but to </w:t>
      </w:r>
      <w:r w:rsidR="00B21E14" w:rsidRPr="004A3983">
        <w:t>determine a way forward for an</w:t>
      </w:r>
      <w:r w:rsidR="003A1130" w:rsidRPr="004A3983">
        <w:t>y matters that we may identify. As you will see below they are</w:t>
      </w:r>
      <w:r w:rsidR="00B21E14" w:rsidRPr="004A3983">
        <w:t xml:space="preserve"> quite serious and involve periods in gaol for the</w:t>
      </w:r>
      <w:r w:rsidR="003A1130" w:rsidRPr="004A3983">
        <w:t xml:space="preserve"> [persons of interest]</w:t>
      </w:r>
      <w:r w:rsidR="00B21E14" w:rsidRPr="004A3983">
        <w:t>.</w:t>
      </w:r>
      <w:r w:rsidR="00B21E14" w:rsidRPr="004A3983">
        <w:rPr>
          <w:rStyle w:val="FootnoteReference"/>
          <w:rFonts w:cs="Arial"/>
        </w:rPr>
        <w:footnoteReference w:id="182"/>
      </w:r>
      <w:r w:rsidR="00F9176B" w:rsidRPr="004A3983">
        <w:t xml:space="preserve">  </w:t>
      </w:r>
    </w:p>
    <w:p w14:paraId="14174AB2" w14:textId="134D1AF9" w:rsidR="00267839" w:rsidRPr="004A3983" w:rsidRDefault="00FF6064" w:rsidP="00864C5D">
      <w:pPr>
        <w:pStyle w:val="ListBullet"/>
      </w:pPr>
      <w:r w:rsidRPr="004A3983">
        <w:t xml:space="preserve">On 15 July 2016 the </w:t>
      </w:r>
      <w:r w:rsidR="00EF512C" w:rsidRPr="004A3983">
        <w:t xml:space="preserve">Registry Manager forwarded a draft letter for </w:t>
      </w:r>
      <w:r w:rsidR="00D86239" w:rsidRPr="004A3983">
        <w:t>the legal represen</w:t>
      </w:r>
      <w:r w:rsidR="00D26D80" w:rsidRPr="004A3983">
        <w:t>ta</w:t>
      </w:r>
      <w:r w:rsidR="00D86239" w:rsidRPr="004A3983">
        <w:t xml:space="preserve">tives of </w:t>
      </w:r>
      <w:r w:rsidR="00EF512C" w:rsidRPr="004A3983">
        <w:t xml:space="preserve">Mr ZZ (who the NSW Police Force had determined should not have been placed on the Register) to the OGC for review. </w:t>
      </w:r>
      <w:r w:rsidR="00866D48" w:rsidRPr="004A3983">
        <w:t>The draft letter stated</w:t>
      </w:r>
      <w:r w:rsidR="000A21E5" w:rsidRPr="004A3983">
        <w:t>:</w:t>
      </w:r>
      <w:r w:rsidR="00866D48" w:rsidRPr="004A3983">
        <w:t xml:space="preserve"> ‘Your client is not a registrable person in accordance with s 3A of the [CPOR Act].’</w:t>
      </w:r>
      <w:r w:rsidR="00866D48" w:rsidRPr="004A3983">
        <w:rPr>
          <w:rStyle w:val="FootnoteReference"/>
          <w:rFonts w:cs="Arial"/>
        </w:rPr>
        <w:footnoteReference w:id="183"/>
      </w:r>
      <w:r w:rsidR="00866D48" w:rsidRPr="004A3983">
        <w:t xml:space="preserve"> </w:t>
      </w:r>
      <w:r w:rsidR="00387215" w:rsidRPr="004A3983">
        <w:t xml:space="preserve">It also referred to the withdrawal of criminal proceedings against that client. </w:t>
      </w:r>
    </w:p>
    <w:p w14:paraId="6D3AE40C" w14:textId="43688669" w:rsidR="00B10A58" w:rsidRPr="004A3983" w:rsidRDefault="00CD4B5D" w:rsidP="00864C5D">
      <w:pPr>
        <w:pStyle w:val="ListBullet"/>
      </w:pPr>
      <w:r w:rsidRPr="004A3983">
        <w:t>In response to the above email from the Registry Manager, t</w:t>
      </w:r>
      <w:r w:rsidR="00F54297" w:rsidRPr="004A3983">
        <w:t>he OGC solicitor</w:t>
      </w:r>
      <w:r w:rsidR="00E723AC" w:rsidRPr="004A3983">
        <w:t xml:space="preserve"> </w:t>
      </w:r>
      <w:r w:rsidR="00267839" w:rsidRPr="004A3983">
        <w:t>referred to concerns about the ‘implications of any letters sent to lawyers or their clients’ as they ‘might inadvertently contain admissions of liability and invite a flood of civil claims’.</w:t>
      </w:r>
      <w:r w:rsidR="005B4852" w:rsidRPr="004A3983">
        <w:t xml:space="preserve"> He stated </w:t>
      </w:r>
      <w:r w:rsidR="00D26D80" w:rsidRPr="004A3983">
        <w:t>‘</w:t>
      </w:r>
      <w:r w:rsidR="001D05FC" w:rsidRPr="004A3983">
        <w:t>I have examine</w:t>
      </w:r>
      <w:r w:rsidR="002F4A6C" w:rsidRPr="004A3983">
        <w:t>d</w:t>
      </w:r>
      <w:r w:rsidR="005B4852" w:rsidRPr="004A3983">
        <w:t xml:space="preserve"> the one</w:t>
      </w:r>
      <w:r w:rsidR="001D05FC" w:rsidRPr="004A3983">
        <w:t xml:space="preserve"> attached and am of the view that it does not admit more than it has to in order to achieve its purpose. As such please feel free to send it.’</w:t>
      </w:r>
      <w:r w:rsidR="001D05FC" w:rsidRPr="004A3983">
        <w:rPr>
          <w:rStyle w:val="FootnoteReference"/>
          <w:rFonts w:cs="Arial"/>
          <w:sz w:val="20"/>
          <w:szCs w:val="20"/>
        </w:rPr>
        <w:footnoteReference w:id="184"/>
      </w:r>
    </w:p>
    <w:p w14:paraId="02C9A2A0" w14:textId="7349A2C6" w:rsidR="002D1B57" w:rsidRPr="004A3983" w:rsidRDefault="002D1B57" w:rsidP="00864C5D">
      <w:pPr>
        <w:pStyle w:val="ListBullet"/>
      </w:pPr>
      <w:r w:rsidRPr="004A3983">
        <w:t xml:space="preserve">On </w:t>
      </w:r>
      <w:r w:rsidR="00DB20B0" w:rsidRPr="004A3983">
        <w:t xml:space="preserve">20 July 2016 a solicitor in </w:t>
      </w:r>
      <w:r w:rsidR="00815242" w:rsidRPr="004A3983">
        <w:t xml:space="preserve">the </w:t>
      </w:r>
      <w:r w:rsidR="00DB20B0" w:rsidRPr="004A3983">
        <w:t>Police Prosecutions</w:t>
      </w:r>
      <w:r w:rsidR="00815242" w:rsidRPr="004A3983">
        <w:t xml:space="preserve"> Command</w:t>
      </w:r>
      <w:r w:rsidR="00DB20B0" w:rsidRPr="004A3983">
        <w:t xml:space="preserve"> </w:t>
      </w:r>
      <w:r w:rsidRPr="004A3983">
        <w:t xml:space="preserve">sent the OGC solicitor </w:t>
      </w:r>
      <w:r w:rsidR="00B10A58" w:rsidRPr="004A3983">
        <w:t>two draft letters for registrable persons ‘regarding their increased reporting periods’, and ‘ending of reporting periods’ unde</w:t>
      </w:r>
      <w:r w:rsidR="009C4A7D" w:rsidRPr="004A3983">
        <w:t>r the CPOR Act. The solicitor</w:t>
      </w:r>
      <w:r w:rsidR="00A74354" w:rsidRPr="004A3983">
        <w:t xml:space="preserve"> requested: ‘C</w:t>
      </w:r>
      <w:r w:rsidR="00B10A58" w:rsidRPr="004A3983">
        <w:t xml:space="preserve">ould you please also advise of any required changes </w:t>
      </w:r>
      <w:r w:rsidR="00B10A58" w:rsidRPr="004A3983">
        <w:lastRenderedPageBreak/>
        <w:t>pri</w:t>
      </w:r>
      <w:r w:rsidR="00416B88" w:rsidRPr="004A3983">
        <w:t>or to forwarding them to the [Registry]</w:t>
      </w:r>
      <w:r w:rsidR="00B10A58" w:rsidRPr="004A3983">
        <w:t xml:space="preserve"> for signing.’</w:t>
      </w:r>
      <w:r w:rsidR="00B10A58" w:rsidRPr="004A3983">
        <w:rPr>
          <w:rStyle w:val="FootnoteReference"/>
          <w:rFonts w:cs="Arial"/>
        </w:rPr>
        <w:footnoteReference w:id="185"/>
      </w:r>
      <w:r w:rsidR="00B10A58" w:rsidRPr="004A3983">
        <w:t xml:space="preserve"> One of the attached draft letters was </w:t>
      </w:r>
      <w:r w:rsidR="003A158C" w:rsidRPr="004A3983">
        <w:t xml:space="preserve">later </w:t>
      </w:r>
      <w:r w:rsidR="00B10A58" w:rsidRPr="004A3983">
        <w:t xml:space="preserve">used as the template for the letters sent to Mr DD and Mr NN (discussed </w:t>
      </w:r>
      <w:r w:rsidR="00E57C99" w:rsidRPr="004A3983">
        <w:t xml:space="preserve">in section 4.3.2.1 </w:t>
      </w:r>
      <w:r w:rsidR="00B10A58" w:rsidRPr="004A3983">
        <w:t>below).</w:t>
      </w:r>
      <w:r w:rsidR="00B10A58" w:rsidRPr="004A3983">
        <w:rPr>
          <w:rStyle w:val="FootnoteReference"/>
          <w:rFonts w:cs="Arial"/>
        </w:rPr>
        <w:footnoteReference w:id="186"/>
      </w:r>
    </w:p>
    <w:p w14:paraId="1FFC3D6F" w14:textId="50AFA301" w:rsidR="000C3C77" w:rsidRPr="004A3983" w:rsidRDefault="003064AF" w:rsidP="00864C5D">
      <w:pPr>
        <w:pStyle w:val="ListBullet"/>
        <w:rPr>
          <w:rFonts w:cs="Arial"/>
        </w:rPr>
      </w:pPr>
      <w:r w:rsidRPr="004A3983">
        <w:rPr>
          <w:rFonts w:cs="Arial"/>
        </w:rPr>
        <w:t>A meeting was set up for 11:30</w:t>
      </w:r>
      <w:r w:rsidR="00EB2BC8" w:rsidRPr="004A3983">
        <w:rPr>
          <w:rFonts w:cs="Arial"/>
        </w:rPr>
        <w:t xml:space="preserve"> </w:t>
      </w:r>
      <w:r w:rsidRPr="004A3983">
        <w:rPr>
          <w:rFonts w:cs="Arial"/>
        </w:rPr>
        <w:t>am on 20 July 2016, between the Registry Manager</w:t>
      </w:r>
      <w:r w:rsidR="000C3C77" w:rsidRPr="004A3983">
        <w:rPr>
          <w:rFonts w:cs="Arial"/>
        </w:rPr>
        <w:t xml:space="preserve">, </w:t>
      </w:r>
      <w:r w:rsidRPr="004A3983">
        <w:rPr>
          <w:rFonts w:cs="Arial"/>
        </w:rPr>
        <w:t xml:space="preserve">the </w:t>
      </w:r>
      <w:r w:rsidR="004021A4" w:rsidRPr="004A3983">
        <w:rPr>
          <w:rFonts w:cs="Arial"/>
        </w:rPr>
        <w:t>Manager</w:t>
      </w:r>
      <w:r w:rsidR="000C3C77" w:rsidRPr="004A3983">
        <w:rPr>
          <w:rFonts w:cs="Arial"/>
        </w:rPr>
        <w:t xml:space="preserve"> in the OGC</w:t>
      </w:r>
      <w:r w:rsidRPr="004A3983">
        <w:rPr>
          <w:rFonts w:cs="Arial"/>
        </w:rPr>
        <w:t xml:space="preserve"> </w:t>
      </w:r>
      <w:r w:rsidR="000C3C77" w:rsidRPr="004A3983">
        <w:rPr>
          <w:rFonts w:cs="Arial"/>
        </w:rPr>
        <w:t>and</w:t>
      </w:r>
      <w:r w:rsidRPr="004A3983">
        <w:rPr>
          <w:rFonts w:cs="Arial"/>
        </w:rPr>
        <w:t xml:space="preserve"> others, to discuss ‘</w:t>
      </w:r>
      <w:r w:rsidR="001C482D" w:rsidRPr="004A3983">
        <w:rPr>
          <w:rFonts w:cs="Arial"/>
        </w:rPr>
        <w:t>[Register]</w:t>
      </w:r>
      <w:r w:rsidRPr="004A3983">
        <w:rPr>
          <w:rFonts w:cs="Arial"/>
        </w:rPr>
        <w:t xml:space="preserve"> issues’.</w:t>
      </w:r>
      <w:r w:rsidRPr="004A3983">
        <w:rPr>
          <w:rStyle w:val="FootnoteReference"/>
          <w:rFonts w:cs="Arial"/>
        </w:rPr>
        <w:footnoteReference w:id="187"/>
      </w:r>
    </w:p>
    <w:p w14:paraId="26D084A1" w14:textId="55372AAE" w:rsidR="003064AF" w:rsidRPr="004A3983" w:rsidRDefault="0055321A" w:rsidP="00864C5D">
      <w:pPr>
        <w:pStyle w:val="ListBullet"/>
        <w:rPr>
          <w:rFonts w:cs="Arial"/>
        </w:rPr>
      </w:pPr>
      <w:r w:rsidRPr="004A3983">
        <w:rPr>
          <w:rFonts w:cs="Arial"/>
        </w:rPr>
        <w:t>O</w:t>
      </w:r>
      <w:r w:rsidR="00174429" w:rsidRPr="004A3983">
        <w:rPr>
          <w:rFonts w:cs="Arial"/>
        </w:rPr>
        <w:t xml:space="preserve">n the afternoon of 20 July 2016 </w:t>
      </w:r>
      <w:r w:rsidR="00DD374F" w:rsidRPr="004A3983">
        <w:rPr>
          <w:rFonts w:cs="Arial"/>
        </w:rPr>
        <w:t xml:space="preserve">the OGC solicitor sent an email </w:t>
      </w:r>
      <w:r w:rsidR="00BC427E" w:rsidRPr="004A3983">
        <w:rPr>
          <w:rFonts w:cs="Arial"/>
        </w:rPr>
        <w:t>‘to confirm our way</w:t>
      </w:r>
      <w:r w:rsidR="00002DC4" w:rsidRPr="004A3983">
        <w:rPr>
          <w:rFonts w:cs="Arial"/>
        </w:rPr>
        <w:t xml:space="preserve"> forward with the identified [Register]</w:t>
      </w:r>
      <w:r w:rsidR="00BC427E" w:rsidRPr="004A3983">
        <w:rPr>
          <w:rFonts w:cs="Arial"/>
        </w:rPr>
        <w:t xml:space="preserve"> issues’ </w:t>
      </w:r>
      <w:r w:rsidR="00174429" w:rsidRPr="004A3983">
        <w:rPr>
          <w:rFonts w:cs="Arial"/>
        </w:rPr>
        <w:t xml:space="preserve">to the Registry Manager, the </w:t>
      </w:r>
      <w:r w:rsidR="00E04352" w:rsidRPr="004A3983">
        <w:rPr>
          <w:rFonts w:cs="Arial"/>
        </w:rPr>
        <w:t xml:space="preserve">Acting </w:t>
      </w:r>
      <w:r w:rsidR="003064AF" w:rsidRPr="004A3983">
        <w:rPr>
          <w:rFonts w:cs="Arial"/>
        </w:rPr>
        <w:t>Commander of the Sex Crimes Squad</w:t>
      </w:r>
      <w:r w:rsidR="00174429" w:rsidRPr="004A3983">
        <w:rPr>
          <w:rFonts w:cs="Arial"/>
        </w:rPr>
        <w:t xml:space="preserve">, and </w:t>
      </w:r>
      <w:r w:rsidR="00927831" w:rsidRPr="004A3983">
        <w:rPr>
          <w:rFonts w:cs="Arial"/>
        </w:rPr>
        <w:t>solicitors</w:t>
      </w:r>
      <w:r w:rsidR="00174429" w:rsidRPr="004A3983">
        <w:rPr>
          <w:rFonts w:cs="Arial"/>
        </w:rPr>
        <w:t xml:space="preserve"> in the </w:t>
      </w:r>
      <w:r w:rsidR="00C53F4E" w:rsidRPr="004A3983">
        <w:rPr>
          <w:rFonts w:cs="Arial"/>
        </w:rPr>
        <w:t xml:space="preserve">Police Prosecutions </w:t>
      </w:r>
      <w:r w:rsidR="00174429" w:rsidRPr="004A3983">
        <w:rPr>
          <w:rFonts w:cs="Arial"/>
        </w:rPr>
        <w:t>Command, and cop</w:t>
      </w:r>
      <w:r w:rsidR="008F5CED" w:rsidRPr="004A3983">
        <w:rPr>
          <w:rFonts w:cs="Arial"/>
        </w:rPr>
        <w:t>ied</w:t>
      </w:r>
      <w:r w:rsidR="00174429" w:rsidRPr="004A3983">
        <w:rPr>
          <w:rFonts w:cs="Arial"/>
        </w:rPr>
        <w:t xml:space="preserve"> in the Manager</w:t>
      </w:r>
      <w:r w:rsidR="00927831" w:rsidRPr="004A3983">
        <w:rPr>
          <w:rFonts w:cs="Arial"/>
        </w:rPr>
        <w:t xml:space="preserve"> in the OGC</w:t>
      </w:r>
      <w:r w:rsidR="003064AF" w:rsidRPr="004A3983">
        <w:rPr>
          <w:rFonts w:cs="Arial"/>
          <w:sz w:val="20"/>
          <w:szCs w:val="20"/>
        </w:rPr>
        <w:t xml:space="preserve">. </w:t>
      </w:r>
      <w:r w:rsidR="0033501A" w:rsidRPr="004A3983">
        <w:rPr>
          <w:rFonts w:cs="Arial"/>
        </w:rPr>
        <w:t>T</w:t>
      </w:r>
      <w:r w:rsidR="003064AF" w:rsidRPr="004A3983">
        <w:rPr>
          <w:rFonts w:cs="Arial"/>
        </w:rPr>
        <w:t xml:space="preserve">he </w:t>
      </w:r>
      <w:r w:rsidR="00927831" w:rsidRPr="004A3983">
        <w:rPr>
          <w:rFonts w:cs="Arial"/>
        </w:rPr>
        <w:t xml:space="preserve">OGC </w:t>
      </w:r>
      <w:r w:rsidR="003064AF" w:rsidRPr="004A3983">
        <w:rPr>
          <w:rFonts w:cs="Arial"/>
        </w:rPr>
        <w:t>solicitor acknowledged that cases h</w:t>
      </w:r>
      <w:r w:rsidR="00232828" w:rsidRPr="004A3983">
        <w:rPr>
          <w:rFonts w:cs="Arial"/>
        </w:rPr>
        <w:t xml:space="preserve">ad been identified where </w:t>
      </w:r>
      <w:r w:rsidR="0073423D" w:rsidRPr="004A3983">
        <w:rPr>
          <w:rFonts w:cs="Arial"/>
        </w:rPr>
        <w:t>the reporting periods which were</w:t>
      </w:r>
      <w:r w:rsidR="00927831" w:rsidRPr="004A3983">
        <w:rPr>
          <w:rFonts w:cs="Arial"/>
        </w:rPr>
        <w:t xml:space="preserve"> recorded by the NSW Police Force were incorrect because they were too long</w:t>
      </w:r>
      <w:r w:rsidR="003064AF" w:rsidRPr="004A3983">
        <w:rPr>
          <w:rFonts w:cs="Arial"/>
        </w:rPr>
        <w:t xml:space="preserve">, or </w:t>
      </w:r>
      <w:r w:rsidR="00232828" w:rsidRPr="004A3983">
        <w:rPr>
          <w:rFonts w:cs="Arial"/>
        </w:rPr>
        <w:t xml:space="preserve">persons </w:t>
      </w:r>
      <w:r w:rsidR="003064AF" w:rsidRPr="004A3983">
        <w:rPr>
          <w:rFonts w:cs="Arial"/>
        </w:rPr>
        <w:t xml:space="preserve">had been put on the Register </w:t>
      </w:r>
      <w:r w:rsidR="0033501A" w:rsidRPr="004A3983">
        <w:rPr>
          <w:rFonts w:cs="Arial"/>
        </w:rPr>
        <w:t xml:space="preserve">when they should not have been, and </w:t>
      </w:r>
      <w:r w:rsidR="003064AF" w:rsidRPr="004A3983">
        <w:rPr>
          <w:rFonts w:cs="Arial"/>
        </w:rPr>
        <w:t>that these persons had been prosecuted, or were at risk of being prosecuted, for the offence of failing to co</w:t>
      </w:r>
      <w:r w:rsidR="0033501A" w:rsidRPr="004A3983">
        <w:rPr>
          <w:rFonts w:cs="Arial"/>
        </w:rPr>
        <w:t xml:space="preserve">mply with reporting obligations. He also </w:t>
      </w:r>
      <w:r w:rsidR="0073423D" w:rsidRPr="004A3983">
        <w:rPr>
          <w:rFonts w:cs="Arial"/>
        </w:rPr>
        <w:t>stat</w:t>
      </w:r>
      <w:r w:rsidR="0033501A" w:rsidRPr="004A3983">
        <w:rPr>
          <w:rFonts w:cs="Arial"/>
        </w:rPr>
        <w:t xml:space="preserve">ed </w:t>
      </w:r>
      <w:r w:rsidR="003064AF" w:rsidRPr="004A3983">
        <w:rPr>
          <w:rFonts w:cs="Arial"/>
        </w:rPr>
        <w:t>that ‘[a]ll of this is due to administrative errors by us or errors of law by the courts’.</w:t>
      </w:r>
      <w:r w:rsidR="0033501A" w:rsidRPr="004A3983">
        <w:rPr>
          <w:rFonts w:cs="Arial"/>
        </w:rPr>
        <w:t xml:space="preserve"> </w:t>
      </w:r>
      <w:r w:rsidR="003064AF" w:rsidRPr="004A3983">
        <w:rPr>
          <w:rFonts w:cs="Arial"/>
        </w:rPr>
        <w:t xml:space="preserve">The </w:t>
      </w:r>
      <w:r w:rsidR="0033501A" w:rsidRPr="004A3983">
        <w:rPr>
          <w:rFonts w:cs="Arial"/>
        </w:rPr>
        <w:t xml:space="preserve">OGC </w:t>
      </w:r>
      <w:r w:rsidR="003064AF" w:rsidRPr="004A3983">
        <w:rPr>
          <w:rFonts w:cs="Arial"/>
        </w:rPr>
        <w:t>solicito</w:t>
      </w:r>
      <w:r w:rsidR="0033501A" w:rsidRPr="004A3983">
        <w:rPr>
          <w:rFonts w:cs="Arial"/>
        </w:rPr>
        <w:t>r</w:t>
      </w:r>
      <w:r w:rsidR="003064AF" w:rsidRPr="004A3983">
        <w:rPr>
          <w:rFonts w:cs="Arial"/>
        </w:rPr>
        <w:t xml:space="preserve"> </w:t>
      </w:r>
      <w:r w:rsidR="0033501A" w:rsidRPr="004A3983">
        <w:rPr>
          <w:rFonts w:cs="Arial"/>
        </w:rPr>
        <w:t>stated</w:t>
      </w:r>
      <w:r w:rsidR="00E1170F" w:rsidRPr="004A3983">
        <w:rPr>
          <w:rFonts w:cs="Arial"/>
        </w:rPr>
        <w:t xml:space="preserve">: </w:t>
      </w:r>
    </w:p>
    <w:p w14:paraId="3307C035" w14:textId="7B56F958" w:rsidR="0005301C" w:rsidRPr="004A3983" w:rsidRDefault="003C2882" w:rsidP="00EA7DE4">
      <w:pPr>
        <w:pStyle w:val="Quotesmall2cm"/>
      </w:pPr>
      <w:r w:rsidRPr="004A3983">
        <w:t xml:space="preserve">While there is hope that we are not legally liable for injury suffered by those who have been incorrectly registered for </w:t>
      </w:r>
      <w:r w:rsidR="00D0359E" w:rsidRPr="004A3983">
        <w:t xml:space="preserve">the </w:t>
      </w:r>
      <w:r w:rsidRPr="004A3983">
        <w:t xml:space="preserve">reasons we discussed, that is by no means a certainty and </w:t>
      </w:r>
      <w:r w:rsidR="002B62A4" w:rsidRPr="004A3983">
        <w:t xml:space="preserve">I think </w:t>
      </w:r>
      <w:r w:rsidR="003064AF" w:rsidRPr="004A3983">
        <w:t xml:space="preserve">we are all in agreement that we should act promptly to eliminate the prospect of any further issues like the ones identified. Any action taken to set things right should strike a balance between the need to ensure registered people are not prejudiced and the </w:t>
      </w:r>
      <w:r w:rsidR="003064AF" w:rsidRPr="00864C5D">
        <w:rPr>
          <w:rStyle w:val="Bold"/>
        </w:rPr>
        <w:t>potentially</w:t>
      </w:r>
      <w:r w:rsidR="0033501A" w:rsidRPr="00864C5D">
        <w:rPr>
          <w:rStyle w:val="Bold"/>
        </w:rPr>
        <w:t xml:space="preserve"> </w:t>
      </w:r>
      <w:r w:rsidR="003064AF" w:rsidRPr="00864C5D">
        <w:rPr>
          <w:rStyle w:val="Bold"/>
        </w:rPr>
        <w:t xml:space="preserve">undesirable side-effects of setting things right such as adverse media attention </w:t>
      </w:r>
      <w:r w:rsidR="00E1170F" w:rsidRPr="00864C5D">
        <w:rPr>
          <w:rStyle w:val="Bold"/>
        </w:rPr>
        <w:t>and/or a flood of civil claims</w:t>
      </w:r>
      <w:r w:rsidR="005161DB" w:rsidRPr="00864C5D">
        <w:rPr>
          <w:rStyle w:val="Bold"/>
        </w:rPr>
        <w:t xml:space="preserve"> </w:t>
      </w:r>
      <w:r w:rsidR="005161DB" w:rsidRPr="004A3983">
        <w:t>[emphasis added]</w:t>
      </w:r>
      <w:r w:rsidR="00E1170F" w:rsidRPr="004A3983">
        <w:t>.</w:t>
      </w:r>
    </w:p>
    <w:p w14:paraId="1184AA2B" w14:textId="3CC3F3B8" w:rsidR="0005301C" w:rsidRPr="004A3983" w:rsidRDefault="0005301C" w:rsidP="00EA7DE4">
      <w:pPr>
        <w:pStyle w:val="Quotesmall2cm"/>
      </w:pPr>
      <w:r w:rsidRPr="004A3983">
        <w:t xml:space="preserve">As such, we agree that </w:t>
      </w:r>
      <w:r w:rsidR="00C3150E" w:rsidRPr="004A3983">
        <w:t>in cases where a person was incorrectly on the register but where they are no longer because</w:t>
      </w:r>
      <w:r w:rsidRPr="004A3983">
        <w:t xml:space="preserve"> they have seen out their time, that no</w:t>
      </w:r>
      <w:r w:rsidR="00BB0024" w:rsidRPr="004A3983">
        <w:t xml:space="preserve"> notice need be sent</w:t>
      </w:r>
      <w:r w:rsidRPr="004A3983">
        <w:t>. This is</w:t>
      </w:r>
      <w:r w:rsidR="003064AF" w:rsidRPr="004A3983">
        <w:t xml:space="preserve"> because they </w:t>
      </w:r>
      <w:r w:rsidRPr="004A3983">
        <w:t xml:space="preserve">will </w:t>
      </w:r>
      <w:r w:rsidR="00E006BE" w:rsidRPr="004A3983">
        <w:t>have already</w:t>
      </w:r>
      <w:r w:rsidRPr="004A3983">
        <w:t xml:space="preserve"> been informed that they are no longer subject to reporting conditions in the ordinary course of things and because they are no longer at risk of being arrested for failing to comply with reporting conditions.</w:t>
      </w:r>
    </w:p>
    <w:p w14:paraId="5B1D7302" w14:textId="44699E2E" w:rsidR="003064AF" w:rsidRPr="004A3983" w:rsidRDefault="0005301C" w:rsidP="00EA7DE4">
      <w:pPr>
        <w:pStyle w:val="Quotesmall2cm"/>
      </w:pPr>
      <w:r w:rsidRPr="004A3983">
        <w:t xml:space="preserve">In cases where a person was </w:t>
      </w:r>
      <w:r w:rsidR="003064AF" w:rsidRPr="004A3983">
        <w:t>on the register for too long and where they are st</w:t>
      </w:r>
      <w:r w:rsidRPr="004A3983">
        <w:t>ill incorrectly on the register</w:t>
      </w:r>
      <w:r w:rsidR="003064AF" w:rsidRPr="004A3983">
        <w:t xml:space="preserve"> or</w:t>
      </w:r>
      <w:r w:rsidRPr="004A3983">
        <w:t xml:space="preserve"> where they </w:t>
      </w:r>
      <w:r w:rsidR="003064AF" w:rsidRPr="004A3983">
        <w:t>should not have been on the</w:t>
      </w:r>
      <w:r w:rsidRPr="004A3983">
        <w:t xml:space="preserve"> register at all but still are, </w:t>
      </w:r>
      <w:r w:rsidR="003064AF" w:rsidRPr="004A3983">
        <w:t>a notice should be sent informing them that, and only that</w:t>
      </w:r>
      <w:r w:rsidR="002B62A4" w:rsidRPr="004A3983">
        <w:t>,</w:t>
      </w:r>
      <w:r w:rsidR="003064AF" w:rsidRPr="004A3983">
        <w:t xml:space="preserve"> </w:t>
      </w:r>
    </w:p>
    <w:p w14:paraId="13D1E9F9" w14:textId="77777777" w:rsidR="003064AF" w:rsidRPr="004A3983" w:rsidRDefault="003064AF" w:rsidP="00677139">
      <w:pPr>
        <w:pStyle w:val="ListParagraph"/>
        <w:numPr>
          <w:ilvl w:val="0"/>
          <w:numId w:val="11"/>
        </w:numPr>
        <w:spacing w:before="0" w:after="160"/>
        <w:ind w:left="1418" w:right="-2" w:hanging="284"/>
        <w:contextualSpacing w:val="0"/>
        <w:rPr>
          <w:rFonts w:ascii="Gotham Book" w:hAnsi="Gotham Book" w:cs="Arial"/>
          <w:sz w:val="20"/>
          <w:szCs w:val="20"/>
        </w:rPr>
      </w:pPr>
      <w:r w:rsidRPr="004A3983">
        <w:rPr>
          <w:rFonts w:ascii="Gotham Book" w:hAnsi="Gotham Book" w:cs="Arial"/>
          <w:sz w:val="20"/>
          <w:szCs w:val="20"/>
        </w:rPr>
        <w:t xml:space="preserve">a periodical review of the register has been conducted, </w:t>
      </w:r>
    </w:p>
    <w:p w14:paraId="7709AB8D" w14:textId="77777777" w:rsidR="003064AF" w:rsidRPr="004A3983" w:rsidRDefault="003064AF" w:rsidP="00677139">
      <w:pPr>
        <w:pStyle w:val="ListParagraph"/>
        <w:numPr>
          <w:ilvl w:val="0"/>
          <w:numId w:val="11"/>
        </w:numPr>
        <w:spacing w:before="0" w:after="160"/>
        <w:ind w:left="1418" w:right="-2" w:hanging="284"/>
        <w:contextualSpacing w:val="0"/>
        <w:rPr>
          <w:rFonts w:ascii="Gotham Book" w:hAnsi="Gotham Book" w:cs="Arial"/>
          <w:sz w:val="20"/>
          <w:szCs w:val="20"/>
        </w:rPr>
      </w:pPr>
      <w:r w:rsidRPr="004A3983">
        <w:rPr>
          <w:rFonts w:ascii="Gotham Book" w:hAnsi="Gotham Book" w:cs="Arial"/>
          <w:sz w:val="20"/>
          <w:szCs w:val="20"/>
        </w:rPr>
        <w:t xml:space="preserve">that it has been determined that they are not required to be subject to reporting conditions and </w:t>
      </w:r>
    </w:p>
    <w:p w14:paraId="2CBF4193" w14:textId="77777777" w:rsidR="00C3150E" w:rsidRPr="004A3983" w:rsidRDefault="003064AF" w:rsidP="00677139">
      <w:pPr>
        <w:pStyle w:val="ListParagraph"/>
        <w:numPr>
          <w:ilvl w:val="0"/>
          <w:numId w:val="11"/>
        </w:numPr>
        <w:spacing w:before="0" w:after="160"/>
        <w:ind w:left="1418" w:right="-2" w:hanging="284"/>
        <w:contextualSpacing w:val="0"/>
        <w:rPr>
          <w:rFonts w:ascii="Gotham Book" w:hAnsi="Gotham Book" w:cs="Arial"/>
          <w:sz w:val="20"/>
          <w:szCs w:val="20"/>
        </w:rPr>
      </w:pPr>
      <w:r w:rsidRPr="004A3983">
        <w:rPr>
          <w:rFonts w:ascii="Gotham Book" w:hAnsi="Gotham Book" w:cs="Arial"/>
          <w:sz w:val="20"/>
          <w:szCs w:val="20"/>
        </w:rPr>
        <w:lastRenderedPageBreak/>
        <w:t>that the register has been adju</w:t>
      </w:r>
      <w:r w:rsidR="00ED591D" w:rsidRPr="004A3983">
        <w:rPr>
          <w:rFonts w:ascii="Gotham Book" w:hAnsi="Gotham Book" w:cs="Arial"/>
          <w:sz w:val="20"/>
          <w:szCs w:val="20"/>
        </w:rPr>
        <w:t>sted (include date) accordingly</w:t>
      </w:r>
      <w:r w:rsidRPr="004A3983">
        <w:rPr>
          <w:rFonts w:ascii="Gotham Book" w:hAnsi="Gotham Book" w:cs="Arial"/>
          <w:sz w:val="20"/>
          <w:szCs w:val="20"/>
        </w:rPr>
        <w:t xml:space="preserve">. </w:t>
      </w:r>
    </w:p>
    <w:p w14:paraId="1E0E6945" w14:textId="167C1DDD" w:rsidR="0028372A" w:rsidRPr="00EA7DE4" w:rsidRDefault="003064AF" w:rsidP="00EA7DE4">
      <w:pPr>
        <w:pStyle w:val="Quotesmall2cm"/>
      </w:pPr>
      <w:r w:rsidRPr="00EA7DE4">
        <w:t>Of course the register must then be adjusted. This eliminates the risk of arrest for failing to comply with reporting conditions and informs the person that they are not subject to any obligation without providing more information than is necessary which might motivate a claim</w:t>
      </w:r>
      <w:r w:rsidR="0028372A" w:rsidRPr="00EA7DE4">
        <w:t>.</w:t>
      </w:r>
      <w:r w:rsidR="0028372A" w:rsidRPr="0027284A">
        <w:rPr>
          <w:rStyle w:val="FootnoteReference"/>
        </w:rPr>
        <w:footnoteReference w:id="188"/>
      </w:r>
    </w:p>
    <w:p w14:paraId="6AA82C86" w14:textId="7BDCCCAF" w:rsidR="00F827F8" w:rsidRPr="004A3983" w:rsidRDefault="0028372A" w:rsidP="00477CF0">
      <w:pPr>
        <w:pStyle w:val="ListParagraph"/>
        <w:spacing w:before="0" w:after="160"/>
        <w:ind w:right="-2"/>
        <w:contextualSpacing w:val="0"/>
        <w:rPr>
          <w:rFonts w:ascii="Gotham Book" w:hAnsi="Gotham Book" w:cs="Arial"/>
        </w:rPr>
      </w:pPr>
      <w:r w:rsidRPr="004A3983">
        <w:rPr>
          <w:rFonts w:ascii="Gotham Book" w:hAnsi="Gotham Book" w:cs="Arial"/>
        </w:rPr>
        <w:t>The OGC solicitor ended the email by stating</w:t>
      </w:r>
      <w:r w:rsidR="00105324" w:rsidRPr="004A3983">
        <w:rPr>
          <w:rFonts w:ascii="Gotham Book" w:hAnsi="Gotham Book" w:cs="Arial"/>
        </w:rPr>
        <w:t>:</w:t>
      </w:r>
      <w:r w:rsidRPr="004A3983">
        <w:rPr>
          <w:rFonts w:ascii="Gotham Book" w:hAnsi="Gotham Book" w:cs="Arial"/>
        </w:rPr>
        <w:t xml:space="preserve"> ‘</w:t>
      </w:r>
      <w:r w:rsidR="00D61814" w:rsidRPr="004A3983">
        <w:rPr>
          <w:rFonts w:ascii="Gotham Book" w:hAnsi="Gotham Book" w:cs="Arial"/>
        </w:rPr>
        <w:t>Please send any letter templates to me for OGC endorsement prior to mailing them out to those on th</w:t>
      </w:r>
      <w:r w:rsidRPr="004A3983">
        <w:rPr>
          <w:rFonts w:ascii="Gotham Book" w:hAnsi="Gotham Book" w:cs="Arial"/>
        </w:rPr>
        <w:t>e register and/or their lawyers’</w:t>
      </w:r>
      <w:r w:rsidR="003064AF" w:rsidRPr="004A3983">
        <w:rPr>
          <w:rFonts w:ascii="Gotham Book" w:hAnsi="Gotham Book" w:cs="Arial"/>
        </w:rPr>
        <w:t>.</w:t>
      </w:r>
      <w:r w:rsidR="003064AF" w:rsidRPr="004A3983">
        <w:rPr>
          <w:rStyle w:val="FootnoteReference"/>
          <w:rFonts w:ascii="Gotham Book" w:hAnsi="Gotham Book" w:cs="Arial"/>
        </w:rPr>
        <w:footnoteReference w:id="189"/>
      </w:r>
    </w:p>
    <w:p w14:paraId="4A9C3803" w14:textId="161239DD" w:rsidR="009769EC" w:rsidRPr="004A3983" w:rsidRDefault="00F827F8" w:rsidP="00EA7DE4">
      <w:pPr>
        <w:pStyle w:val="ListBullet"/>
      </w:pPr>
      <w:r w:rsidRPr="004A3983">
        <w:t xml:space="preserve">On 26 July 2016 the solicitor in the </w:t>
      </w:r>
      <w:r w:rsidR="00003416" w:rsidRPr="004A3983">
        <w:t>Police Prosecutions</w:t>
      </w:r>
      <w:r w:rsidRPr="004A3983">
        <w:t xml:space="preserve"> Command </w:t>
      </w:r>
      <w:r w:rsidR="00C60F21" w:rsidRPr="004A3983">
        <w:t>sent a</w:t>
      </w:r>
      <w:r w:rsidR="004B6741" w:rsidRPr="004A3983">
        <w:t>n ‘amended’</w:t>
      </w:r>
      <w:r w:rsidR="00C60F21" w:rsidRPr="004A3983">
        <w:t xml:space="preserve"> draft letter to the OGC solicitor for approval, stating it was ‘the letter to be sent to those registered persons whose reporting periods have ended’.</w:t>
      </w:r>
      <w:r w:rsidR="00C60F21" w:rsidRPr="004A3983">
        <w:rPr>
          <w:rStyle w:val="FootnoteReference"/>
          <w:rFonts w:cs="Arial"/>
        </w:rPr>
        <w:footnoteReference w:id="190"/>
      </w:r>
      <w:r w:rsidR="00441599" w:rsidRPr="004A3983">
        <w:t xml:space="preserve"> The OGC solicitor responded ‘that looks good to go’.</w:t>
      </w:r>
      <w:r w:rsidR="00441599" w:rsidRPr="004A3983">
        <w:rPr>
          <w:rStyle w:val="FootnoteReference"/>
          <w:rFonts w:cs="Arial"/>
        </w:rPr>
        <w:footnoteReference w:id="191"/>
      </w:r>
      <w:r w:rsidR="00B81FDB" w:rsidRPr="004A3983">
        <w:t xml:space="preserve"> The draft letter was later used as the </w:t>
      </w:r>
      <w:r w:rsidR="00B81FDB" w:rsidRPr="00EA7DE4">
        <w:t>template</w:t>
      </w:r>
      <w:r w:rsidR="00B81FDB" w:rsidRPr="004A3983">
        <w:t xml:space="preserve"> for the letter to Mr KK (discussed </w:t>
      </w:r>
      <w:r w:rsidR="00A534D2" w:rsidRPr="004A3983">
        <w:t xml:space="preserve">in section 4.3.2.2 </w:t>
      </w:r>
      <w:r w:rsidR="00B81FDB" w:rsidRPr="004A3983">
        <w:t>below).</w:t>
      </w:r>
      <w:r w:rsidR="00B81FDB" w:rsidRPr="004A3983">
        <w:rPr>
          <w:rStyle w:val="FootnoteReference"/>
          <w:rFonts w:cs="Arial"/>
        </w:rPr>
        <w:footnoteReference w:id="192"/>
      </w:r>
    </w:p>
    <w:p w14:paraId="2E477882" w14:textId="0B6059D9" w:rsidR="000B3406" w:rsidRPr="004A3983" w:rsidRDefault="00A417B6" w:rsidP="00EA7DE4">
      <w:pPr>
        <w:pStyle w:val="ListBullet"/>
      </w:pPr>
      <w:r w:rsidRPr="004A3983">
        <w:t xml:space="preserve">On 26 August 2016, in his advice to the Registry Manager about </w:t>
      </w:r>
      <w:r w:rsidR="007517E0" w:rsidRPr="004A3983">
        <w:t>annulments for persons wrongly</w:t>
      </w:r>
      <w:r w:rsidRPr="004A3983">
        <w:t xml:space="preserve"> convicted </w:t>
      </w:r>
      <w:r w:rsidRPr="00EA7DE4">
        <w:t>for</w:t>
      </w:r>
      <w:r w:rsidRPr="004A3983">
        <w:t xml:space="preserve"> </w:t>
      </w:r>
      <w:r w:rsidR="001213DB" w:rsidRPr="004A3983">
        <w:t xml:space="preserve">CPOR Act </w:t>
      </w:r>
      <w:r w:rsidRPr="004A3983">
        <w:t>offences</w:t>
      </w:r>
      <w:r w:rsidR="005D51CA" w:rsidRPr="004A3983">
        <w:t xml:space="preserve"> (quoted above in section 4.2)</w:t>
      </w:r>
      <w:r w:rsidRPr="004A3983">
        <w:t xml:space="preserve">, the OGC solicitor </w:t>
      </w:r>
      <w:r w:rsidR="000B3406" w:rsidRPr="004A3983">
        <w:t>commented:</w:t>
      </w:r>
    </w:p>
    <w:p w14:paraId="5D917290" w14:textId="24E28D4A" w:rsidR="009769EC" w:rsidRPr="004A3983" w:rsidRDefault="000B3406" w:rsidP="00EA7DE4">
      <w:pPr>
        <w:pStyle w:val="Quotesmall2cm"/>
      </w:pPr>
      <w:r w:rsidRPr="004A3983">
        <w:t xml:space="preserve">It is arguable that the State is not legally liable </w:t>
      </w:r>
      <w:r w:rsidR="00646646" w:rsidRPr="004A3983">
        <w:t>in negligence in these cases where registrable persons have suffered detriment based on an absence of duty of care [</w:t>
      </w:r>
      <w:r w:rsidR="00646646" w:rsidRPr="004A3983">
        <w:rPr>
          <w:i/>
        </w:rPr>
        <w:t>T</w:t>
      </w:r>
      <w:r w:rsidR="00FF1BD9" w:rsidRPr="004A3983">
        <w:rPr>
          <w:i/>
        </w:rPr>
        <w:t>ame v New South Wales</w:t>
      </w:r>
      <w:r w:rsidR="00FF1BD9" w:rsidRPr="004A3983">
        <w:t>…] Also defences against intentional torts might rightly be mounted against claims associated with these cases depending on the states of mind of arresting police and prosecutors</w:t>
      </w:r>
      <w:r w:rsidR="00C04A5E" w:rsidRPr="004A3983">
        <w:t xml:space="preserve"> </w:t>
      </w:r>
      <w:r w:rsidR="00FF1BD9" w:rsidRPr="004A3983">
        <w:t>…</w:t>
      </w:r>
      <w:r w:rsidR="00817F3C" w:rsidRPr="004A3983">
        <w:t xml:space="preserve"> By correcting our errors, we will of course be giving registrable persons notice of the error. This may well lead some of them to commence civil action. Unfortunately, this is unavoidable and I have put the [Treasury Managed Fund] on notice of the potential for claims. I have also been </w:t>
      </w:r>
      <w:r w:rsidR="00834642" w:rsidRPr="004A3983">
        <w:t>liaising wi</w:t>
      </w:r>
      <w:r w:rsidR="003711F1" w:rsidRPr="004A3983">
        <w:t>th the [Child Protection Regist</w:t>
      </w:r>
      <w:r w:rsidR="00834642" w:rsidRPr="004A3983">
        <w:t>r</w:t>
      </w:r>
      <w:r w:rsidR="003711F1" w:rsidRPr="004A3983">
        <w:t>y</w:t>
      </w:r>
      <w:r w:rsidR="00834642" w:rsidRPr="004A3983">
        <w:t>] and [</w:t>
      </w:r>
      <w:r w:rsidR="00CA2762" w:rsidRPr="004A3983">
        <w:t xml:space="preserve">solicitors in the Police Prosecutions Command] </w:t>
      </w:r>
      <w:r w:rsidR="00834642" w:rsidRPr="004A3983">
        <w:t xml:space="preserve">in relation to how letters notifying registrable persons of changes to their CPR status should be drafted </w:t>
      </w:r>
      <w:r w:rsidR="00834642" w:rsidRPr="00EA7DE4">
        <w:rPr>
          <w:rStyle w:val="Bold"/>
        </w:rPr>
        <w:t>with the view of minimising the prospect of civil litigation</w:t>
      </w:r>
      <w:r w:rsidR="00515708" w:rsidRPr="004A3983">
        <w:rPr>
          <w:b/>
        </w:rPr>
        <w:t xml:space="preserve"> </w:t>
      </w:r>
      <w:r w:rsidR="009D0705" w:rsidRPr="004A3983">
        <w:t>[emphasis added]</w:t>
      </w:r>
      <w:r w:rsidR="00834642" w:rsidRPr="004A3983">
        <w:t>.</w:t>
      </w:r>
      <w:r w:rsidR="00834642" w:rsidRPr="004A3983">
        <w:rPr>
          <w:rStyle w:val="FootnoteReference"/>
          <w:rFonts w:cs="Arial"/>
        </w:rPr>
        <w:footnoteReference w:id="193"/>
      </w:r>
    </w:p>
    <w:p w14:paraId="008EF965" w14:textId="43EFE66E" w:rsidR="009769EC" w:rsidRPr="004A3983" w:rsidRDefault="009769EC" w:rsidP="00617F54">
      <w:pPr>
        <w:pStyle w:val="ListBullet"/>
      </w:pPr>
      <w:r w:rsidRPr="004A3983">
        <w:lastRenderedPageBreak/>
        <w:t>On 27 October 2016 the Registry Manager sent an email to the Commander of the Sex Crimes Squad, the Manager in the OGC and the OGC solicitor.</w:t>
      </w:r>
      <w:r w:rsidR="000B45E2" w:rsidRPr="004A3983">
        <w:t xml:space="preserve"> The Registry Manager sought advice from the OGC about notifying persons who had been on the Register for longer than permitted by the CPOR Act, or who should never have been placed </w:t>
      </w:r>
      <w:r w:rsidR="00EE65F6" w:rsidRPr="004A3983">
        <w:t>on the Register</w:t>
      </w:r>
      <w:r w:rsidR="000B45E2" w:rsidRPr="004A3983">
        <w:t xml:space="preserve">, when those persons had not been charged for </w:t>
      </w:r>
      <w:r w:rsidR="005E60C5" w:rsidRPr="004A3983">
        <w:t xml:space="preserve">any </w:t>
      </w:r>
      <w:r w:rsidR="00310118" w:rsidRPr="004A3983">
        <w:t xml:space="preserve">CPOR Act </w:t>
      </w:r>
      <w:r w:rsidR="000B45E2" w:rsidRPr="004A3983">
        <w:t xml:space="preserve">offences during the time they were unlawfully being required to report. The Registry Manager </w:t>
      </w:r>
      <w:r w:rsidR="00655ABB" w:rsidRPr="004A3983">
        <w:t>asked</w:t>
      </w:r>
      <w:r w:rsidR="00960A7B" w:rsidRPr="004A3983">
        <w:t>:</w:t>
      </w:r>
      <w:r w:rsidR="00655ABB" w:rsidRPr="004A3983">
        <w:t xml:space="preserve"> ‘what are our obligations, if any, regarding informing these [registrable persons] of our errors in these matters? My view is that we probably need to advise them, however will be guided by your advice’.</w:t>
      </w:r>
      <w:r w:rsidR="00655ABB" w:rsidRPr="004A3983">
        <w:rPr>
          <w:rStyle w:val="FootnoteReference"/>
          <w:rFonts w:cs="Arial"/>
        </w:rPr>
        <w:footnoteReference w:id="194"/>
      </w:r>
      <w:r w:rsidR="000B45E2" w:rsidRPr="004A3983">
        <w:t xml:space="preserve"> </w:t>
      </w:r>
      <w:r w:rsidR="00713A2A" w:rsidRPr="004A3983">
        <w:t>The Commission was not provided with any email sent in response.</w:t>
      </w:r>
    </w:p>
    <w:p w14:paraId="5BCF7497" w14:textId="0054F19B" w:rsidR="00F47784" w:rsidRPr="004A3983" w:rsidRDefault="004B0F7F" w:rsidP="00D270C0">
      <w:pPr>
        <w:spacing w:after="160"/>
        <w:ind w:right="-2"/>
        <w:rPr>
          <w:rFonts w:ascii="Gotham Book" w:hAnsi="Gotham Book" w:cs="ArialMT"/>
        </w:rPr>
      </w:pPr>
      <w:r w:rsidRPr="004A3983">
        <w:rPr>
          <w:rFonts w:ascii="Gotham Book" w:hAnsi="Gotham Book" w:cs="Arial"/>
        </w:rPr>
        <w:t xml:space="preserve">The Commission asked </w:t>
      </w:r>
      <w:r w:rsidR="003751AE" w:rsidRPr="004A3983">
        <w:rPr>
          <w:rFonts w:ascii="Gotham Book" w:hAnsi="Gotham Book" w:cs="Arial"/>
        </w:rPr>
        <w:t xml:space="preserve">General Counsel </w:t>
      </w:r>
      <w:r w:rsidR="00830B69" w:rsidRPr="004A3983">
        <w:rPr>
          <w:rFonts w:ascii="Gotham Book" w:hAnsi="Gotham Book" w:cs="Arial"/>
        </w:rPr>
        <w:t xml:space="preserve">to the NSW Police Force </w:t>
      </w:r>
      <w:r w:rsidRPr="004A3983">
        <w:rPr>
          <w:rFonts w:ascii="Gotham Book" w:hAnsi="Gotham Book" w:cs="ArialMT"/>
        </w:rPr>
        <w:t xml:space="preserve">about her knowledge </w:t>
      </w:r>
      <w:r w:rsidR="00C938D2" w:rsidRPr="004A3983">
        <w:rPr>
          <w:rFonts w:ascii="Gotham Book" w:hAnsi="Gotham Book" w:cs="ArialMT"/>
        </w:rPr>
        <w:t xml:space="preserve">in </w:t>
      </w:r>
      <w:r w:rsidR="00EB2F52" w:rsidRPr="004A3983">
        <w:rPr>
          <w:rFonts w:ascii="Gotham Book" w:hAnsi="Gotham Book" w:cs="ArialMT"/>
        </w:rPr>
        <w:t xml:space="preserve">July </w:t>
      </w:r>
      <w:r w:rsidR="00C938D2" w:rsidRPr="004A3983">
        <w:rPr>
          <w:rFonts w:ascii="Gotham Book" w:hAnsi="Gotham Book" w:cs="ArialMT"/>
        </w:rPr>
        <w:t xml:space="preserve">2016 </w:t>
      </w:r>
      <w:r w:rsidRPr="004A3983">
        <w:rPr>
          <w:rFonts w:ascii="Gotham Book" w:hAnsi="Gotham Book" w:cs="ArialMT"/>
        </w:rPr>
        <w:t>of the content of the emails referenced above</w:t>
      </w:r>
      <w:r w:rsidR="000E37AB" w:rsidRPr="004A3983">
        <w:rPr>
          <w:rFonts w:ascii="Gotham Book" w:hAnsi="Gotham Book" w:cs="ArialMT"/>
        </w:rPr>
        <w:t>. She stated that she</w:t>
      </w:r>
      <w:r w:rsidR="00F47784" w:rsidRPr="004A3983">
        <w:rPr>
          <w:rFonts w:ascii="Gotham Book" w:hAnsi="Gotham Book" w:cs="ArialMT"/>
        </w:rPr>
        <w:t xml:space="preserve"> was aware </w:t>
      </w:r>
      <w:r w:rsidR="00EB2F52" w:rsidRPr="004A3983">
        <w:rPr>
          <w:rFonts w:ascii="Gotham Book" w:hAnsi="Gotham Book" w:cs="ArialMT"/>
        </w:rPr>
        <w:t>at that time</w:t>
      </w:r>
      <w:r w:rsidR="00F47784" w:rsidRPr="004A3983">
        <w:rPr>
          <w:rFonts w:ascii="Gotham Book" w:hAnsi="Gotham Book" w:cs="ArialMT"/>
        </w:rPr>
        <w:t xml:space="preserve"> that staff in her team had been notified of issues with the Register, in particular that people ‘had been recorded on the register for inaccurate periods of time’. She also stated that she was aware that the Manager in the OGC ‘was concerned to ensure that the [Treasury Managed Fund] was notified of potential liability’. </w:t>
      </w:r>
      <w:r w:rsidR="000E37AB" w:rsidRPr="004A3983">
        <w:rPr>
          <w:rFonts w:ascii="Gotham Book" w:hAnsi="Gotham Book" w:cs="ArialMT"/>
        </w:rPr>
        <w:t xml:space="preserve"> </w:t>
      </w:r>
      <w:r w:rsidRPr="004A3983">
        <w:rPr>
          <w:rFonts w:ascii="Gotham Book" w:hAnsi="Gotham Book" w:cs="ArialMT"/>
        </w:rPr>
        <w:t xml:space="preserve">However, General Counsel stated that she was not aware </w:t>
      </w:r>
      <w:r w:rsidR="00392431" w:rsidRPr="004A3983">
        <w:rPr>
          <w:rFonts w:ascii="Gotham Book" w:hAnsi="Gotham Book" w:cs="ArialMT"/>
        </w:rPr>
        <w:t xml:space="preserve">of the advice given by the </w:t>
      </w:r>
      <w:r w:rsidR="002D29A0" w:rsidRPr="004A3983">
        <w:rPr>
          <w:rFonts w:ascii="Gotham Book" w:hAnsi="Gotham Book" w:cs="ArialMT"/>
        </w:rPr>
        <w:t xml:space="preserve">Manager in the </w:t>
      </w:r>
      <w:r w:rsidR="00392431" w:rsidRPr="004A3983">
        <w:rPr>
          <w:rFonts w:ascii="Gotham Book" w:hAnsi="Gotham Book" w:cs="ArialMT"/>
        </w:rPr>
        <w:t xml:space="preserve">OGC </w:t>
      </w:r>
      <w:r w:rsidR="002D29A0" w:rsidRPr="004A3983">
        <w:rPr>
          <w:rFonts w:ascii="Gotham Book" w:hAnsi="Gotham Book" w:cs="ArialMT"/>
        </w:rPr>
        <w:t>and the OGC solicitor</w:t>
      </w:r>
      <w:r w:rsidR="00392431" w:rsidRPr="004A3983">
        <w:rPr>
          <w:rFonts w:ascii="Gotham Book" w:hAnsi="Gotham Book" w:cs="ArialMT"/>
        </w:rPr>
        <w:t xml:space="preserve"> regarding the terms of the letters to be sent to persons in relation to whom the NSW Police Force had made an error when applying the CPOR Act. She also stated that she was not involved in developing the content or terms of those letters.</w:t>
      </w:r>
      <w:r w:rsidR="00392431" w:rsidRPr="004A3983">
        <w:rPr>
          <w:rStyle w:val="FootnoteReference"/>
          <w:rFonts w:ascii="Gotham Book" w:hAnsi="Gotham Book" w:cs="ArialMT"/>
        </w:rPr>
        <w:footnoteReference w:id="195"/>
      </w:r>
      <w:r w:rsidR="00392431" w:rsidRPr="004A3983">
        <w:rPr>
          <w:rFonts w:ascii="Gotham Book" w:hAnsi="Gotham Book" w:cs="ArialMT"/>
        </w:rPr>
        <w:t xml:space="preserve">  </w:t>
      </w:r>
    </w:p>
    <w:p w14:paraId="6B2B3E2E" w14:textId="29AB0466" w:rsidR="00B63130" w:rsidRPr="004A3983" w:rsidRDefault="00B63130" w:rsidP="00D270C0">
      <w:pPr>
        <w:pStyle w:val="Heading3"/>
        <w:ind w:left="709" w:right="-2" w:hanging="709"/>
      </w:pPr>
      <w:bookmarkStart w:id="242" w:name="_Toc14790491"/>
      <w:bookmarkStart w:id="243" w:name="_Toc15478374"/>
      <w:bookmarkStart w:id="244" w:name="_Toc22627771"/>
      <w:r w:rsidRPr="004A3983">
        <w:t xml:space="preserve">Letters sent to persons who had been subjected to unlawful reporting </w:t>
      </w:r>
      <w:r w:rsidR="0022352D" w:rsidRPr="004A3983">
        <w:t>requirement</w:t>
      </w:r>
      <w:r w:rsidRPr="004A3983">
        <w:t>s</w:t>
      </w:r>
      <w:bookmarkEnd w:id="242"/>
      <w:bookmarkEnd w:id="243"/>
      <w:bookmarkEnd w:id="244"/>
    </w:p>
    <w:p w14:paraId="2FF3B7B1" w14:textId="0F698E27" w:rsidR="00B63130" w:rsidRPr="004A3983" w:rsidRDefault="00B63130" w:rsidP="00F905DD">
      <w:pPr>
        <w:spacing w:after="0"/>
      </w:pPr>
      <w:r w:rsidRPr="004A3983">
        <w:rPr>
          <w:rFonts w:ascii="Gotham Book" w:hAnsi="Gotham Book" w:cs="ArialMT"/>
        </w:rPr>
        <w:t xml:space="preserve">The Commission has reviewed </w:t>
      </w:r>
      <w:r w:rsidR="002843AA" w:rsidRPr="004A3983">
        <w:rPr>
          <w:rFonts w:ascii="Gotham Book" w:hAnsi="Gotham Book" w:cs="ArialMT"/>
        </w:rPr>
        <w:t>f</w:t>
      </w:r>
      <w:r w:rsidRPr="004A3983">
        <w:rPr>
          <w:rFonts w:ascii="Gotham Book" w:hAnsi="Gotham Book" w:cs="ArialMT"/>
        </w:rPr>
        <w:t xml:space="preserve">ive letters that the NSW Police Force wrote to persons that it had identified had either been placed on the Register </w:t>
      </w:r>
      <w:r w:rsidR="00530094" w:rsidRPr="004A3983">
        <w:rPr>
          <w:rFonts w:ascii="Gotham Book" w:hAnsi="Gotham Book" w:cs="ArialMT"/>
        </w:rPr>
        <w:t xml:space="preserve">in error, or who had been </w:t>
      </w:r>
      <w:r w:rsidRPr="004A3983">
        <w:rPr>
          <w:rFonts w:ascii="Gotham Book" w:hAnsi="Gotham Book" w:cs="ArialMT"/>
        </w:rPr>
        <w:t>required to report their details for years longer than permitted under the CPOR Act.</w:t>
      </w:r>
      <w:r w:rsidRPr="004A3983">
        <w:rPr>
          <w:rStyle w:val="FootnoteReference"/>
          <w:rFonts w:ascii="Gotham Book" w:hAnsi="Gotham Book" w:cs="ArialMT"/>
        </w:rPr>
        <w:footnoteReference w:id="196"/>
      </w:r>
      <w:r w:rsidRPr="004A3983">
        <w:rPr>
          <w:rFonts w:ascii="Gotham Book" w:hAnsi="Gotham Book" w:cs="ArialMT"/>
        </w:rPr>
        <w:t xml:space="preserve"> </w:t>
      </w:r>
      <w:r w:rsidR="001F1065" w:rsidRPr="004A3983">
        <w:rPr>
          <w:rFonts w:ascii="Gotham Book" w:hAnsi="Gotham Book" w:cs="ArialMT"/>
        </w:rPr>
        <w:t>On</w:t>
      </w:r>
      <w:r w:rsidR="0066075E" w:rsidRPr="004A3983">
        <w:rPr>
          <w:rFonts w:ascii="Gotham Book" w:hAnsi="Gotham Book" w:cs="ArialMT"/>
        </w:rPr>
        <w:t>e of those letters accurately stated ‘</w:t>
      </w:r>
      <w:r w:rsidR="0066075E" w:rsidRPr="004A3983">
        <w:t xml:space="preserve">it has been determined you are </w:t>
      </w:r>
      <w:r w:rsidR="0066075E" w:rsidRPr="004A3983">
        <w:lastRenderedPageBreak/>
        <w:t>not a registrable person in accordance with s 3A of the [CPOR Act]’</w:t>
      </w:r>
      <w:r w:rsidR="007A0CCB" w:rsidRPr="004A3983">
        <w:t>.</w:t>
      </w:r>
      <w:r w:rsidR="007A0CCB" w:rsidRPr="004A3983">
        <w:rPr>
          <w:rStyle w:val="FootnoteReference"/>
        </w:rPr>
        <w:footnoteReference w:id="197"/>
      </w:r>
      <w:r w:rsidR="0066075E" w:rsidRPr="004A3983">
        <w:t xml:space="preserve"> </w:t>
      </w:r>
      <w:r w:rsidR="007A0CCB" w:rsidRPr="004A3983">
        <w:t xml:space="preserve">However, </w:t>
      </w:r>
      <w:r w:rsidR="007A0CCB" w:rsidRPr="004A3983">
        <w:rPr>
          <w:rFonts w:ascii="Gotham Book" w:hAnsi="Gotham Book" w:cs="ArialMT"/>
        </w:rPr>
        <w:t>none of the</w:t>
      </w:r>
      <w:r w:rsidR="006C6947" w:rsidRPr="004A3983">
        <w:rPr>
          <w:rFonts w:ascii="Gotham Book" w:hAnsi="Gotham Book" w:cs="ArialMT"/>
        </w:rPr>
        <w:t xml:space="preserve"> </w:t>
      </w:r>
      <w:r w:rsidR="00B003E4" w:rsidRPr="004A3983">
        <w:rPr>
          <w:rFonts w:ascii="Gotham Book" w:hAnsi="Gotham Book" w:cs="ArialMT"/>
        </w:rPr>
        <w:t xml:space="preserve">five </w:t>
      </w:r>
      <w:r w:rsidRPr="004A3983">
        <w:rPr>
          <w:rFonts w:ascii="Gotham Book" w:hAnsi="Gotham Book" w:cs="ArialMT"/>
        </w:rPr>
        <w:t xml:space="preserve">letters </w:t>
      </w:r>
      <w:r w:rsidR="00204042" w:rsidRPr="004A3983">
        <w:rPr>
          <w:rFonts w:ascii="Gotham Book" w:hAnsi="Gotham Book" w:cs="ArialMT"/>
        </w:rPr>
        <w:t>informed the persons</w:t>
      </w:r>
      <w:r w:rsidR="007A0CCB" w:rsidRPr="004A3983">
        <w:rPr>
          <w:rFonts w:ascii="Gotham Book" w:hAnsi="Gotham Book" w:cs="ArialMT"/>
        </w:rPr>
        <w:t xml:space="preserve"> that an error had</w:t>
      </w:r>
      <w:r w:rsidR="002D6164" w:rsidRPr="004A3983">
        <w:rPr>
          <w:rFonts w:ascii="Gotham Book" w:hAnsi="Gotham Book" w:cs="ArialMT"/>
        </w:rPr>
        <w:t xml:space="preserve"> been made</w:t>
      </w:r>
      <w:r w:rsidR="00B003E4" w:rsidRPr="004A3983">
        <w:rPr>
          <w:rFonts w:ascii="Gotham Book" w:hAnsi="Gotham Book" w:cs="ArialMT"/>
        </w:rPr>
        <w:t xml:space="preserve"> by the NSW Police Force</w:t>
      </w:r>
      <w:r w:rsidR="006C6947" w:rsidRPr="004A3983">
        <w:rPr>
          <w:rFonts w:ascii="Gotham Book" w:hAnsi="Gotham Book" w:cs="ArialMT"/>
        </w:rPr>
        <w:t xml:space="preserve">, or </w:t>
      </w:r>
      <w:r w:rsidR="007A0CCB" w:rsidRPr="004A3983">
        <w:rPr>
          <w:rFonts w:ascii="Gotham Book" w:hAnsi="Gotham Book" w:cs="ArialMT"/>
        </w:rPr>
        <w:t>that</w:t>
      </w:r>
      <w:r w:rsidR="0022352D" w:rsidRPr="004A3983">
        <w:rPr>
          <w:rFonts w:ascii="Gotham Book" w:hAnsi="Gotham Book" w:cs="ArialMT"/>
        </w:rPr>
        <w:t xml:space="preserve"> they had been</w:t>
      </w:r>
      <w:r w:rsidR="007A0CCB" w:rsidRPr="004A3983">
        <w:rPr>
          <w:rFonts w:ascii="Gotham Book" w:hAnsi="Gotham Book" w:cs="ArialMT"/>
        </w:rPr>
        <w:t xml:space="preserve"> </w:t>
      </w:r>
      <w:r w:rsidR="0022352D" w:rsidRPr="004A3983">
        <w:rPr>
          <w:rFonts w:ascii="Gotham Book" w:hAnsi="Gotham Book" w:cs="ArialMT"/>
        </w:rPr>
        <w:t xml:space="preserve">subjected to </w:t>
      </w:r>
      <w:r w:rsidR="006C6947" w:rsidRPr="004A3983">
        <w:rPr>
          <w:rFonts w:ascii="Gotham Book" w:hAnsi="Gotham Book" w:cs="ArialMT"/>
        </w:rPr>
        <w:t>unlaw</w:t>
      </w:r>
      <w:r w:rsidR="007A0CCB" w:rsidRPr="004A3983">
        <w:rPr>
          <w:rFonts w:ascii="Gotham Book" w:hAnsi="Gotham Book" w:cs="ArialMT"/>
        </w:rPr>
        <w:t>ful</w:t>
      </w:r>
      <w:r w:rsidR="0022352D" w:rsidRPr="004A3983">
        <w:rPr>
          <w:rFonts w:ascii="Gotham Book" w:hAnsi="Gotham Book" w:cs="ArialMT"/>
        </w:rPr>
        <w:t xml:space="preserve"> reporting requirements</w:t>
      </w:r>
      <w:r w:rsidRPr="004A3983">
        <w:rPr>
          <w:rFonts w:ascii="Gotham Book" w:hAnsi="Gotham Book" w:cs="ArialMT"/>
        </w:rPr>
        <w:t>. Three of those letters</w:t>
      </w:r>
      <w:r w:rsidR="002D6164" w:rsidRPr="004A3983">
        <w:rPr>
          <w:rFonts w:ascii="Gotham Book" w:hAnsi="Gotham Book" w:cs="ArialMT"/>
        </w:rPr>
        <w:t>, discussed below,</w:t>
      </w:r>
      <w:r w:rsidRPr="004A3983">
        <w:rPr>
          <w:rFonts w:ascii="Gotham Book" w:hAnsi="Gotham Book" w:cs="ArialMT"/>
        </w:rPr>
        <w:t xml:space="preserve"> in fact contained information that was misleading.</w:t>
      </w:r>
    </w:p>
    <w:p w14:paraId="7E1B1542" w14:textId="01E357B6" w:rsidR="00C8658A" w:rsidRPr="004A3983" w:rsidRDefault="00C8658A" w:rsidP="00D270C0">
      <w:pPr>
        <w:pStyle w:val="Heading4"/>
        <w:ind w:right="-2"/>
      </w:pPr>
      <w:r w:rsidRPr="004A3983">
        <w:t>Letters sent to Mr DD and Mr NN</w:t>
      </w:r>
    </w:p>
    <w:p w14:paraId="03D3351E" w14:textId="522E32F2" w:rsidR="00C8658A" w:rsidRPr="004A3983" w:rsidRDefault="00A25A46" w:rsidP="00D270C0">
      <w:pPr>
        <w:spacing w:after="160"/>
        <w:ind w:right="-2"/>
        <w:rPr>
          <w:rFonts w:ascii="Gotham Book" w:hAnsi="Gotham Book"/>
        </w:rPr>
      </w:pPr>
      <w:r w:rsidRPr="004A3983">
        <w:rPr>
          <w:rFonts w:ascii="Gotham Book" w:hAnsi="Gotham Book"/>
        </w:rPr>
        <w:t>Subsequent to the internal discussions in July 2016, t</w:t>
      </w:r>
      <w:r w:rsidR="00C8658A" w:rsidRPr="004A3983">
        <w:rPr>
          <w:rFonts w:ascii="Gotham Book" w:hAnsi="Gotham Book"/>
        </w:rPr>
        <w:t>wo persons who had both been wrongly placed on the Register in 2006, Mr DD (</w:t>
      </w:r>
      <w:r w:rsidR="007F27C6" w:rsidRPr="004A3983">
        <w:rPr>
          <w:rFonts w:ascii="Gotham Book" w:hAnsi="Gotham Book"/>
        </w:rPr>
        <w:t>Case Study</w:t>
      </w:r>
      <w:r w:rsidR="00C8658A" w:rsidRPr="004A3983">
        <w:rPr>
          <w:rFonts w:ascii="Gotham Book" w:hAnsi="Gotham Book"/>
        </w:rPr>
        <w:t xml:space="preserve"> </w:t>
      </w:r>
      <w:r w:rsidR="00F454C0" w:rsidRPr="004A3983">
        <w:rPr>
          <w:rFonts w:ascii="Gotham Book" w:hAnsi="Gotham Book"/>
        </w:rPr>
        <w:t>4</w:t>
      </w:r>
      <w:r w:rsidR="00C8658A" w:rsidRPr="004A3983">
        <w:rPr>
          <w:rFonts w:ascii="Gotham Book" w:hAnsi="Gotham Book"/>
        </w:rPr>
        <w:t xml:space="preserve"> in </w:t>
      </w:r>
      <w:r w:rsidR="003A153D" w:rsidRPr="004A3983">
        <w:rPr>
          <w:rFonts w:ascii="Gotham Book" w:hAnsi="Gotham Book"/>
        </w:rPr>
        <w:t>Chapter 3</w:t>
      </w:r>
      <w:r w:rsidR="00B41673" w:rsidRPr="004A3983">
        <w:rPr>
          <w:rFonts w:ascii="Gotham Book" w:hAnsi="Gotham Book"/>
        </w:rPr>
        <w:t>) and Mr NN</w:t>
      </w:r>
      <w:r w:rsidR="00C8658A" w:rsidRPr="004A3983">
        <w:rPr>
          <w:rFonts w:ascii="Gotham Book" w:hAnsi="Gotham Book"/>
        </w:rPr>
        <w:t xml:space="preserve"> (</w:t>
      </w:r>
      <w:r w:rsidR="007F27C6" w:rsidRPr="004A3983">
        <w:rPr>
          <w:rFonts w:ascii="Gotham Book" w:hAnsi="Gotham Book"/>
        </w:rPr>
        <w:t>Case Study</w:t>
      </w:r>
      <w:r w:rsidR="00C8658A" w:rsidRPr="004A3983">
        <w:rPr>
          <w:rFonts w:ascii="Gotham Book" w:hAnsi="Gotham Book"/>
        </w:rPr>
        <w:t xml:space="preserve"> </w:t>
      </w:r>
      <w:r w:rsidR="00F454C0" w:rsidRPr="004A3983">
        <w:rPr>
          <w:rFonts w:ascii="Gotham Book" w:hAnsi="Gotham Book"/>
        </w:rPr>
        <w:t xml:space="preserve">5 </w:t>
      </w:r>
      <w:r w:rsidR="00C8658A" w:rsidRPr="004A3983">
        <w:rPr>
          <w:rFonts w:ascii="Gotham Book" w:hAnsi="Gotham Book"/>
        </w:rPr>
        <w:t xml:space="preserve">in </w:t>
      </w:r>
      <w:r w:rsidR="003A153D" w:rsidRPr="004A3983">
        <w:rPr>
          <w:rFonts w:ascii="Gotham Book" w:hAnsi="Gotham Book"/>
        </w:rPr>
        <w:t>Chapter 3</w:t>
      </w:r>
      <w:r w:rsidR="00C8658A" w:rsidRPr="004A3983">
        <w:rPr>
          <w:rFonts w:ascii="Gotham Book" w:hAnsi="Gotham Book"/>
        </w:rPr>
        <w:t>), were sent letters from the NSW Police Force with almost identical wording. The letters (dated 27 July 2016 in the case of Mr DD, and 23 May 2017 in the case of Mr NN) stated:</w:t>
      </w:r>
    </w:p>
    <w:p w14:paraId="759F93DB" w14:textId="4D955230" w:rsidR="00C8658A" w:rsidRPr="004A3983" w:rsidRDefault="00C8658A" w:rsidP="00617F54">
      <w:pPr>
        <w:pStyle w:val="Quotesmall1cm"/>
      </w:pPr>
      <w:r w:rsidRPr="004A3983">
        <w:t>Upon a periodic review of the Child Protection Register and your registrable status, it has been determined that you are no longer required to comply with your reporting obligations pursuant to the Child Protection (Offenders Registration) Act (the Act).</w:t>
      </w:r>
    </w:p>
    <w:p w14:paraId="1FB4966F" w14:textId="51F8B71A" w:rsidR="00C8658A" w:rsidRPr="004A3983" w:rsidRDefault="00C8658A" w:rsidP="00617F54">
      <w:pPr>
        <w:pStyle w:val="Quotesmall1cm"/>
      </w:pPr>
      <w:r w:rsidRPr="004A3983">
        <w:t>The Child Protection Register has been updated accordingly.</w:t>
      </w:r>
      <w:r w:rsidRPr="004A3983">
        <w:rPr>
          <w:rStyle w:val="FootnoteReference"/>
          <w:rFonts w:cs="Arial"/>
        </w:rPr>
        <w:footnoteReference w:id="198"/>
      </w:r>
    </w:p>
    <w:p w14:paraId="71638C5B" w14:textId="12872962" w:rsidR="00C8658A" w:rsidRPr="004A3983" w:rsidRDefault="009B0CC0" w:rsidP="00D270C0">
      <w:pPr>
        <w:spacing w:after="160"/>
        <w:ind w:right="-2"/>
        <w:rPr>
          <w:rFonts w:ascii="Gotham Book" w:hAnsi="Gotham Book"/>
        </w:rPr>
      </w:pPr>
      <w:r w:rsidRPr="004A3983">
        <w:rPr>
          <w:rFonts w:ascii="Gotham Book" w:hAnsi="Gotham Book"/>
        </w:rPr>
        <w:t>These letters are misleading. They imply</w:t>
      </w:r>
      <w:r w:rsidR="00C8658A" w:rsidRPr="004A3983">
        <w:rPr>
          <w:rFonts w:ascii="Gotham Book" w:hAnsi="Gotham Book"/>
        </w:rPr>
        <w:t xml:space="preserve"> that Mr DD and Mr NN had previously been required to report to the NSW </w:t>
      </w:r>
      <w:r w:rsidR="001F2E57" w:rsidRPr="004A3983">
        <w:rPr>
          <w:rFonts w:ascii="Gotham Book" w:hAnsi="Gotham Book"/>
        </w:rPr>
        <w:t>Police Force under the CPOR Act</w:t>
      </w:r>
      <w:r w:rsidR="00C8658A" w:rsidRPr="004A3983">
        <w:rPr>
          <w:rFonts w:ascii="Gotham Book" w:hAnsi="Gotham Book"/>
        </w:rPr>
        <w:t xml:space="preserve">. The NSW Police Force was aware that this implication was untrue. Mr DD’s </w:t>
      </w:r>
      <w:r w:rsidR="00BC6B8C" w:rsidRPr="004A3983">
        <w:rPr>
          <w:rFonts w:ascii="Gotham Book" w:hAnsi="Gotham Book"/>
        </w:rPr>
        <w:t xml:space="preserve">Register </w:t>
      </w:r>
      <w:r w:rsidR="00C8658A" w:rsidRPr="004A3983">
        <w:rPr>
          <w:rFonts w:ascii="Gotham Book" w:hAnsi="Gotham Book"/>
        </w:rPr>
        <w:t>case</w:t>
      </w:r>
      <w:r w:rsidR="00BC6B8C" w:rsidRPr="004A3983">
        <w:rPr>
          <w:rFonts w:ascii="Gotham Book" w:hAnsi="Gotham Book"/>
        </w:rPr>
        <w:t xml:space="preserve"> had been reviewed</w:t>
      </w:r>
      <w:r w:rsidR="00C8658A" w:rsidRPr="004A3983">
        <w:rPr>
          <w:rFonts w:ascii="Gotham Book" w:hAnsi="Gotham Book"/>
        </w:rPr>
        <w:t xml:space="preserve"> in July 2016 and </w:t>
      </w:r>
      <w:r w:rsidR="00BC6B8C" w:rsidRPr="004A3983">
        <w:rPr>
          <w:rFonts w:ascii="Gotham Book" w:hAnsi="Gotham Book"/>
        </w:rPr>
        <w:t>it was discovered</w:t>
      </w:r>
      <w:r w:rsidR="00C8658A" w:rsidRPr="004A3983">
        <w:rPr>
          <w:rFonts w:ascii="Gotham Book" w:hAnsi="Gotham Book"/>
        </w:rPr>
        <w:t xml:space="preserve"> he was not a registrable pe</w:t>
      </w:r>
      <w:r w:rsidR="00C44819" w:rsidRPr="004A3983">
        <w:rPr>
          <w:rFonts w:ascii="Gotham Book" w:hAnsi="Gotham Book"/>
        </w:rPr>
        <w:t>rson and therefore had never ha</w:t>
      </w:r>
      <w:r w:rsidR="00C8658A" w:rsidRPr="004A3983">
        <w:rPr>
          <w:rFonts w:ascii="Gotham Book" w:hAnsi="Gotham Book"/>
        </w:rPr>
        <w:t xml:space="preserve">d </w:t>
      </w:r>
      <w:r w:rsidR="00C44819" w:rsidRPr="004A3983">
        <w:rPr>
          <w:rFonts w:ascii="Gotham Book" w:hAnsi="Gotham Book"/>
        </w:rPr>
        <w:t>any obligation to report under the CPOR Act</w:t>
      </w:r>
      <w:r w:rsidR="00C8658A" w:rsidRPr="004A3983">
        <w:rPr>
          <w:rFonts w:ascii="Gotham Book" w:hAnsi="Gotham Book"/>
        </w:rPr>
        <w:t>.</w:t>
      </w:r>
      <w:r w:rsidR="00C8658A" w:rsidRPr="004A3983">
        <w:rPr>
          <w:rStyle w:val="FootnoteReference"/>
          <w:rFonts w:ascii="Gotham Book" w:hAnsi="Gotham Book"/>
        </w:rPr>
        <w:footnoteReference w:id="199"/>
      </w:r>
      <w:r w:rsidR="00C8658A" w:rsidRPr="004A3983">
        <w:rPr>
          <w:rFonts w:ascii="Gotham Book" w:hAnsi="Gotham Book"/>
        </w:rPr>
        <w:t xml:space="preserve"> Mr NN’s </w:t>
      </w:r>
      <w:r w:rsidR="00BC6B8C" w:rsidRPr="004A3983">
        <w:rPr>
          <w:rFonts w:ascii="Gotham Book" w:hAnsi="Gotham Book"/>
        </w:rPr>
        <w:t xml:space="preserve">Register </w:t>
      </w:r>
      <w:r w:rsidR="00C8658A" w:rsidRPr="004A3983">
        <w:rPr>
          <w:rFonts w:ascii="Gotham Book" w:hAnsi="Gotham Book"/>
        </w:rPr>
        <w:t xml:space="preserve">case </w:t>
      </w:r>
      <w:r w:rsidR="00BC6B8C" w:rsidRPr="004A3983">
        <w:rPr>
          <w:rFonts w:ascii="Gotham Book" w:hAnsi="Gotham Book"/>
        </w:rPr>
        <w:t xml:space="preserve">had been reviewed </w:t>
      </w:r>
      <w:r w:rsidR="00C8658A" w:rsidRPr="004A3983">
        <w:rPr>
          <w:rFonts w:ascii="Gotham Book" w:hAnsi="Gotham Book"/>
        </w:rPr>
        <w:t xml:space="preserve">in May 2017 </w:t>
      </w:r>
      <w:r w:rsidR="00BC6B8C" w:rsidRPr="004A3983">
        <w:rPr>
          <w:rFonts w:ascii="Gotham Book" w:hAnsi="Gotham Book"/>
        </w:rPr>
        <w:t>with the same result, namely that</w:t>
      </w:r>
      <w:r w:rsidR="00C8658A" w:rsidRPr="004A3983">
        <w:rPr>
          <w:rFonts w:ascii="Gotham Book" w:hAnsi="Gotham Book"/>
        </w:rPr>
        <w:t xml:space="preserve"> he should not have been placed on the Register.</w:t>
      </w:r>
      <w:r w:rsidR="00C8658A" w:rsidRPr="004A3983">
        <w:rPr>
          <w:rStyle w:val="FootnoteReference"/>
          <w:rFonts w:ascii="Gotham Book" w:hAnsi="Gotham Book" w:cs="Arial"/>
        </w:rPr>
        <w:footnoteReference w:id="200"/>
      </w:r>
    </w:p>
    <w:p w14:paraId="130C7FDD" w14:textId="78D51452" w:rsidR="00C8658A" w:rsidRPr="004A3983" w:rsidRDefault="00C8658A" w:rsidP="00D270C0">
      <w:pPr>
        <w:spacing w:after="160"/>
        <w:ind w:right="-2"/>
        <w:rPr>
          <w:rFonts w:ascii="Gotham Book" w:hAnsi="Gotham Book"/>
        </w:rPr>
      </w:pPr>
      <w:r w:rsidRPr="004A3983">
        <w:rPr>
          <w:rFonts w:ascii="Gotham Book" w:hAnsi="Gotham Book"/>
        </w:rPr>
        <w:t>At the time of the letters to Mr DD and Mr NN</w:t>
      </w:r>
      <w:r w:rsidR="00F303EF" w:rsidRPr="004A3983">
        <w:rPr>
          <w:rFonts w:ascii="Gotham Book" w:hAnsi="Gotham Book"/>
        </w:rPr>
        <w:t>,</w:t>
      </w:r>
      <w:r w:rsidRPr="004A3983">
        <w:rPr>
          <w:rFonts w:ascii="Gotham Book" w:hAnsi="Gotham Book"/>
        </w:rPr>
        <w:t xml:space="preserve"> the NSW Police Force was also aware that as a result of </w:t>
      </w:r>
      <w:r w:rsidR="00642C43" w:rsidRPr="004A3983">
        <w:rPr>
          <w:rFonts w:ascii="Gotham Book" w:hAnsi="Gotham Book"/>
        </w:rPr>
        <w:t>its</w:t>
      </w:r>
      <w:r w:rsidRPr="004A3983">
        <w:rPr>
          <w:rFonts w:ascii="Gotham Book" w:hAnsi="Gotham Book"/>
        </w:rPr>
        <w:t xml:space="preserve"> error in placing them on the Register:</w:t>
      </w:r>
    </w:p>
    <w:p w14:paraId="6191FE0D" w14:textId="5A897CEF" w:rsidR="00C8658A" w:rsidRPr="004A3983" w:rsidRDefault="00F303EF" w:rsidP="00617F54">
      <w:pPr>
        <w:pStyle w:val="ListBullet"/>
      </w:pPr>
      <w:r w:rsidRPr="004A3983">
        <w:t>Mr DD had been wrong</w:t>
      </w:r>
      <w:r w:rsidR="00C8658A" w:rsidRPr="004A3983">
        <w:t>ly charged and convicted for failing to comply with reporting obligations under the CPOR Act on three occasions, in 2010, 2013 and 2015, and had spent a total of over 13 months in prison as a result of these wrongful convictions.</w:t>
      </w:r>
      <w:r w:rsidR="00C8658A" w:rsidRPr="004A3983">
        <w:rPr>
          <w:rStyle w:val="FootnoteReference"/>
          <w:rFonts w:cs="Arial"/>
        </w:rPr>
        <w:footnoteReference w:id="201"/>
      </w:r>
    </w:p>
    <w:p w14:paraId="0C3D5A57" w14:textId="04E357C0" w:rsidR="00C8658A" w:rsidRPr="004A3983" w:rsidRDefault="00F303EF" w:rsidP="00617F54">
      <w:pPr>
        <w:pStyle w:val="ListBullet"/>
      </w:pPr>
      <w:r w:rsidRPr="004A3983">
        <w:lastRenderedPageBreak/>
        <w:t>Mr NN had been wrongl</w:t>
      </w:r>
      <w:r w:rsidR="00C8658A" w:rsidRPr="004A3983">
        <w:t>y convicted in November 2014 for failing to comply with reporting obligations under the CPOR Act, and had been sentenced to an 18 month bond.</w:t>
      </w:r>
      <w:r w:rsidR="00C8658A" w:rsidRPr="004A3983">
        <w:rPr>
          <w:rStyle w:val="FootnoteReference"/>
          <w:rFonts w:cs="Arial"/>
        </w:rPr>
        <w:footnoteReference w:id="202"/>
      </w:r>
    </w:p>
    <w:p w14:paraId="79E84194" w14:textId="575F9DF9" w:rsidR="009971D8" w:rsidRPr="004A3983" w:rsidRDefault="009971D8" w:rsidP="00D270C0">
      <w:pPr>
        <w:spacing w:after="160"/>
        <w:ind w:right="-2"/>
      </w:pPr>
      <w:r w:rsidRPr="004A3983">
        <w:t xml:space="preserve">The senior officer in the </w:t>
      </w:r>
      <w:r w:rsidR="00824DA0" w:rsidRPr="004A3983">
        <w:t xml:space="preserve">(then) </w:t>
      </w:r>
      <w:r w:rsidRPr="004A3983">
        <w:t>Sex Crimes Squad who signed the letter to Mr DD submitted to the Commission that the letter to Mr DD was based on ‘the template provided by the OGC’.</w:t>
      </w:r>
      <w:r w:rsidRPr="004A3983">
        <w:rPr>
          <w:rStyle w:val="FootnoteReference"/>
        </w:rPr>
        <w:footnoteReference w:id="203"/>
      </w:r>
      <w:r w:rsidR="00824DA0" w:rsidRPr="004A3983">
        <w:t xml:space="preserve"> The senior officer in that</w:t>
      </w:r>
      <w:r w:rsidRPr="004A3983">
        <w:t xml:space="preserve"> same squad who signed the letter to Mr NN stated to the Commission that he acted on the advice of the OGC.</w:t>
      </w:r>
      <w:r w:rsidRPr="004A3983">
        <w:rPr>
          <w:rStyle w:val="FootnoteReference"/>
        </w:rPr>
        <w:footnoteReference w:id="204"/>
      </w:r>
    </w:p>
    <w:p w14:paraId="688B351D" w14:textId="1FB0BD19" w:rsidR="00BA7926" w:rsidRPr="004A3983" w:rsidRDefault="00BB1335" w:rsidP="00D270C0">
      <w:pPr>
        <w:spacing w:after="160"/>
        <w:ind w:right="-2"/>
        <w:rPr>
          <w:rFonts w:ascii="Gotham Book" w:hAnsi="Gotham Book"/>
        </w:rPr>
      </w:pPr>
      <w:r w:rsidRPr="004A3983">
        <w:rPr>
          <w:rFonts w:ascii="Gotham Book" w:hAnsi="Gotham Book"/>
        </w:rPr>
        <w:t>The wording used in the letters to Mr DD and Mr NN</w:t>
      </w:r>
      <w:r w:rsidR="000F5B07" w:rsidRPr="004A3983">
        <w:rPr>
          <w:rFonts w:ascii="Gotham Book" w:hAnsi="Gotham Book"/>
        </w:rPr>
        <w:t xml:space="preserve"> wa</w:t>
      </w:r>
      <w:r w:rsidRPr="004A3983">
        <w:rPr>
          <w:rFonts w:ascii="Gotham Book" w:hAnsi="Gotham Book"/>
        </w:rPr>
        <w:t xml:space="preserve">s identical to that of the draft/template letter that the solicitor in the </w:t>
      </w:r>
      <w:r w:rsidR="00003416" w:rsidRPr="004A3983">
        <w:rPr>
          <w:rFonts w:ascii="Gotham Book" w:hAnsi="Gotham Book"/>
        </w:rPr>
        <w:t>Police Prosecutions</w:t>
      </w:r>
      <w:r w:rsidRPr="004A3983">
        <w:rPr>
          <w:rFonts w:ascii="Gotham Book" w:hAnsi="Gotham Book"/>
        </w:rPr>
        <w:t xml:space="preserve"> Command sent to the OGC solicitor for approval on 20 July 2016.</w:t>
      </w:r>
      <w:r w:rsidR="00AC3A2A" w:rsidRPr="004A3983">
        <w:rPr>
          <w:rStyle w:val="FootnoteReference"/>
          <w:rFonts w:ascii="Gotham Book" w:hAnsi="Gotham Book"/>
        </w:rPr>
        <w:footnoteReference w:id="205"/>
      </w:r>
      <w:r w:rsidR="001C04BF" w:rsidRPr="004A3983">
        <w:rPr>
          <w:rFonts w:ascii="Gotham Book" w:hAnsi="Gotham Book"/>
        </w:rPr>
        <w:t xml:space="preserve"> </w:t>
      </w:r>
      <w:r w:rsidR="00D72E7F" w:rsidRPr="004A3983">
        <w:rPr>
          <w:rFonts w:ascii="Gotham Book" w:hAnsi="Gotham Book"/>
        </w:rPr>
        <w:t xml:space="preserve">The OGC was aware that the </w:t>
      </w:r>
      <w:r w:rsidR="005515FC" w:rsidRPr="004A3983">
        <w:rPr>
          <w:rFonts w:ascii="Gotham Book" w:hAnsi="Gotham Book"/>
        </w:rPr>
        <w:t>category of cases for which the drafts/</w:t>
      </w:r>
      <w:r w:rsidR="00D72E7F" w:rsidRPr="004A3983">
        <w:rPr>
          <w:rFonts w:ascii="Gotham Book" w:hAnsi="Gotham Book"/>
        </w:rPr>
        <w:t>template</w:t>
      </w:r>
      <w:r w:rsidR="005515FC" w:rsidRPr="004A3983">
        <w:rPr>
          <w:rFonts w:ascii="Gotham Book" w:hAnsi="Gotham Book"/>
        </w:rPr>
        <w:t>s</w:t>
      </w:r>
      <w:r w:rsidR="00D72E7F" w:rsidRPr="004A3983">
        <w:rPr>
          <w:rFonts w:ascii="Gotham Book" w:hAnsi="Gotham Book"/>
        </w:rPr>
        <w:t xml:space="preserve"> </w:t>
      </w:r>
      <w:r w:rsidR="005515FC" w:rsidRPr="004A3983">
        <w:rPr>
          <w:rFonts w:ascii="Gotham Book" w:hAnsi="Gotham Book"/>
        </w:rPr>
        <w:t xml:space="preserve">it was sent were </w:t>
      </w:r>
      <w:r w:rsidR="00D72E7F" w:rsidRPr="004A3983">
        <w:rPr>
          <w:rFonts w:ascii="Gotham Book" w:hAnsi="Gotham Book"/>
        </w:rPr>
        <w:t>proposed to be used</w:t>
      </w:r>
      <w:r w:rsidR="005515FC" w:rsidRPr="004A3983">
        <w:rPr>
          <w:rFonts w:ascii="Gotham Book" w:hAnsi="Gotham Book"/>
        </w:rPr>
        <w:t xml:space="preserve"> included cases</w:t>
      </w:r>
      <w:r w:rsidR="00CC7741" w:rsidRPr="004A3983">
        <w:rPr>
          <w:rFonts w:ascii="Gotham Book" w:hAnsi="Gotham Book"/>
        </w:rPr>
        <w:t xml:space="preserve"> like</w:t>
      </w:r>
      <w:r w:rsidR="00FF7EBB" w:rsidRPr="004A3983">
        <w:rPr>
          <w:rFonts w:ascii="Gotham Book" w:hAnsi="Gotham Book"/>
        </w:rPr>
        <w:t xml:space="preserve"> Mr DD’s and Mr NN’s,</w:t>
      </w:r>
      <w:r w:rsidR="005515FC" w:rsidRPr="004A3983">
        <w:rPr>
          <w:rFonts w:ascii="Gotham Book" w:hAnsi="Gotham Book"/>
        </w:rPr>
        <w:t xml:space="preserve"> in which the persons should never have been put on the Register, and had been wrongly convicted</w:t>
      </w:r>
      <w:r w:rsidR="000A387B" w:rsidRPr="004A3983">
        <w:rPr>
          <w:rFonts w:ascii="Gotham Book" w:hAnsi="Gotham Book"/>
        </w:rPr>
        <w:t xml:space="preserve"> for CPOR Act offences</w:t>
      </w:r>
      <w:r w:rsidR="00FF7EBB" w:rsidRPr="004A3983">
        <w:rPr>
          <w:rFonts w:ascii="Gotham Book" w:hAnsi="Gotham Book"/>
        </w:rPr>
        <w:t>.</w:t>
      </w:r>
      <w:r w:rsidR="00FF7EBB" w:rsidRPr="004A3983">
        <w:rPr>
          <w:rStyle w:val="FootnoteReference"/>
          <w:rFonts w:ascii="Gotham Book" w:hAnsi="Gotham Book"/>
        </w:rPr>
        <w:footnoteReference w:id="206"/>
      </w:r>
      <w:r w:rsidRPr="004A3983">
        <w:rPr>
          <w:rFonts w:ascii="Gotham Book" w:hAnsi="Gotham Book"/>
        </w:rPr>
        <w:t xml:space="preserve"> </w:t>
      </w:r>
    </w:p>
    <w:p w14:paraId="64C188B2" w14:textId="006BF367" w:rsidR="00C8658A" w:rsidRPr="004A3983" w:rsidRDefault="00C8658A" w:rsidP="00D270C0">
      <w:pPr>
        <w:pStyle w:val="Heading4"/>
        <w:ind w:right="-2"/>
      </w:pPr>
      <w:r w:rsidRPr="004A3983">
        <w:t>Letter sent to Mr KK</w:t>
      </w:r>
    </w:p>
    <w:p w14:paraId="4E539EA9" w14:textId="2AF0B1E9" w:rsidR="00C8658A" w:rsidRPr="004A3983" w:rsidRDefault="00C8658A" w:rsidP="00D270C0">
      <w:pPr>
        <w:spacing w:after="160"/>
        <w:ind w:right="-2"/>
        <w:rPr>
          <w:rFonts w:ascii="Gotham Book" w:hAnsi="Gotham Book"/>
        </w:rPr>
      </w:pPr>
      <w:r w:rsidRPr="004A3983">
        <w:rPr>
          <w:rFonts w:ascii="Gotham Book" w:hAnsi="Gotham Book"/>
        </w:rPr>
        <w:t>Mr KK</w:t>
      </w:r>
      <w:r w:rsidR="005675CE" w:rsidRPr="004A3983">
        <w:rPr>
          <w:rStyle w:val="FootnoteReference"/>
          <w:rFonts w:ascii="Gotham Book" w:hAnsi="Gotham Book"/>
        </w:rPr>
        <w:footnoteReference w:id="207"/>
      </w:r>
      <w:r w:rsidRPr="004A3983">
        <w:rPr>
          <w:rFonts w:ascii="Gotham Book" w:hAnsi="Gotham Book"/>
        </w:rPr>
        <w:t xml:space="preserve"> </w:t>
      </w:r>
      <w:r w:rsidR="00732022" w:rsidRPr="004A3983">
        <w:rPr>
          <w:rFonts w:ascii="Gotham Book" w:hAnsi="Gotham Book"/>
        </w:rPr>
        <w:t>had been convicted in 2000 of two counts of aggravated indecent assault against a child under 16 years of age. He was sentenced to imprisonment, and was released in October 2001</w:t>
      </w:r>
      <w:r w:rsidR="007F4C3C" w:rsidRPr="004A3983">
        <w:rPr>
          <w:rFonts w:ascii="Gotham Book" w:hAnsi="Gotham Book"/>
        </w:rPr>
        <w:t>. T</w:t>
      </w:r>
      <w:r w:rsidR="00732022" w:rsidRPr="004A3983">
        <w:rPr>
          <w:rFonts w:ascii="Gotham Book" w:hAnsi="Gotham Book"/>
        </w:rPr>
        <w:t xml:space="preserve">he NSW Police Force determined that he was a registrable person </w:t>
      </w:r>
      <w:r w:rsidR="007F4C3C" w:rsidRPr="004A3983">
        <w:rPr>
          <w:rFonts w:ascii="Gotham Book" w:hAnsi="Gotham Book"/>
        </w:rPr>
        <w:t>under the CPOR Act, but incorrectly calculated his reporting period as 15 years, rather than 12 years.</w:t>
      </w:r>
      <w:r w:rsidR="007F4C3C" w:rsidRPr="004A3983">
        <w:rPr>
          <w:rStyle w:val="FootnoteReference"/>
          <w:rFonts w:ascii="Gotham Book" w:hAnsi="Gotham Book"/>
        </w:rPr>
        <w:footnoteReference w:id="208"/>
      </w:r>
      <w:r w:rsidR="006D05E9" w:rsidRPr="004A3983">
        <w:rPr>
          <w:rFonts w:ascii="Gotham Book" w:hAnsi="Gotham Book"/>
        </w:rPr>
        <w:t xml:space="preserve"> </w:t>
      </w:r>
      <w:r w:rsidR="00A50C1E" w:rsidRPr="004A3983">
        <w:rPr>
          <w:rFonts w:ascii="Gotham Book" w:hAnsi="Gotham Book"/>
        </w:rPr>
        <w:t xml:space="preserve"> T</w:t>
      </w:r>
      <w:r w:rsidRPr="004A3983">
        <w:rPr>
          <w:rFonts w:ascii="Gotham Book" w:hAnsi="Gotham Book"/>
        </w:rPr>
        <w:t>he NSW Police Force reviewed his file in</w:t>
      </w:r>
      <w:r w:rsidRPr="004A3983">
        <w:rPr>
          <w:rFonts w:ascii="Gotham Book" w:hAnsi="Gotham Book" w:cs="Arial"/>
        </w:rPr>
        <w:t xml:space="preserve"> March 2017. It realised his reporting period </w:t>
      </w:r>
      <w:r w:rsidR="00327406" w:rsidRPr="004A3983">
        <w:rPr>
          <w:rFonts w:ascii="Gotham Book" w:hAnsi="Gotham Book" w:cs="Arial"/>
        </w:rPr>
        <w:t>had in fact</w:t>
      </w:r>
      <w:r w:rsidRPr="004A3983">
        <w:rPr>
          <w:rFonts w:ascii="Gotham Book" w:hAnsi="Gotham Book" w:cs="Arial"/>
        </w:rPr>
        <w:t xml:space="preserve"> ended in October 2013, and that he had had been wrongly convicted and sentenced to imprisonment for failure to comply with reporting obligations in 2014.</w:t>
      </w:r>
    </w:p>
    <w:p w14:paraId="78FA99F9" w14:textId="77777777" w:rsidR="00C8658A" w:rsidRPr="004A3983" w:rsidRDefault="00C8658A" w:rsidP="00D270C0">
      <w:pPr>
        <w:spacing w:after="160"/>
        <w:ind w:right="-2"/>
        <w:rPr>
          <w:rFonts w:ascii="Gotham Book" w:hAnsi="Gotham Book" w:cs="Arial"/>
        </w:rPr>
      </w:pPr>
      <w:r w:rsidRPr="004A3983">
        <w:rPr>
          <w:rFonts w:ascii="Gotham Book" w:hAnsi="Gotham Book" w:cs="Arial"/>
        </w:rPr>
        <w:t>On 16 March 2017 the NSW Police Force wrote to Mr KK, stating:</w:t>
      </w:r>
    </w:p>
    <w:p w14:paraId="1BCAAD25" w14:textId="10D08F70" w:rsidR="00C8658A" w:rsidRPr="00617F54" w:rsidRDefault="00C8658A" w:rsidP="00617F54">
      <w:pPr>
        <w:pStyle w:val="Quotesmall1cm"/>
      </w:pPr>
      <w:r w:rsidRPr="00617F54">
        <w:lastRenderedPageBreak/>
        <w:t>Upon a periodic review of the Child Protection Register and your registrable status, it has been determined that you are no longer required to comply with your reporting obligations pursuant to the Child Protection (Offenders Registration) Act (the Act).</w:t>
      </w:r>
    </w:p>
    <w:p w14:paraId="302F5DE5" w14:textId="26659848" w:rsidR="00C8658A" w:rsidRPr="00617F54" w:rsidRDefault="00C8658A" w:rsidP="00617F54">
      <w:pPr>
        <w:pStyle w:val="Quotesmall1cm"/>
      </w:pPr>
      <w:r w:rsidRPr="00617F54">
        <w:t>The Child Protection Register has been updated accordingly</w:t>
      </w:r>
      <w:r w:rsidR="00C11713" w:rsidRPr="00617F54">
        <w:t xml:space="preserve"> ..</w:t>
      </w:r>
      <w:r w:rsidRPr="00617F54">
        <w:t>.</w:t>
      </w:r>
      <w:r w:rsidRPr="00AF5D01">
        <w:rPr>
          <w:rStyle w:val="FootnoteReference"/>
        </w:rPr>
        <w:footnoteReference w:id="209"/>
      </w:r>
      <w:r w:rsidRPr="00AF5D01">
        <w:rPr>
          <w:vertAlign w:val="superscript"/>
        </w:rPr>
        <w:t xml:space="preserve"> </w:t>
      </w:r>
    </w:p>
    <w:p w14:paraId="2763B702" w14:textId="070329EF" w:rsidR="00C8658A" w:rsidRPr="004A3983" w:rsidRDefault="00C8658A" w:rsidP="00D270C0">
      <w:pPr>
        <w:autoSpaceDE w:val="0"/>
        <w:autoSpaceDN w:val="0"/>
        <w:adjustRightInd w:val="0"/>
        <w:spacing w:after="160"/>
        <w:ind w:right="-2"/>
        <w:rPr>
          <w:rFonts w:ascii="Gotham Book" w:hAnsi="Gotham Book" w:cs="ArialMT"/>
        </w:rPr>
      </w:pPr>
      <w:r w:rsidRPr="004A3983">
        <w:rPr>
          <w:rFonts w:ascii="Gotham Book" w:hAnsi="Gotham Book" w:cs="Arial"/>
        </w:rPr>
        <w:t xml:space="preserve">The letter included accurate information about restrictions under the CPOR Act that continued to apply to Mr KK as a registrable person, despite the fact his reporting obligations had ended. </w:t>
      </w:r>
      <w:r w:rsidRPr="004A3983">
        <w:rPr>
          <w:rFonts w:ascii="Gotham Book" w:hAnsi="Gotham Book" w:cs="ArialMT"/>
        </w:rPr>
        <w:t xml:space="preserve"> </w:t>
      </w:r>
      <w:r w:rsidR="006D31A8" w:rsidRPr="004A3983">
        <w:rPr>
          <w:rFonts w:ascii="Gotham Book" w:hAnsi="Gotham Book" w:cs="ArialMT"/>
        </w:rPr>
        <w:t>The language used in Mr KK’s letter matches that of the draft/template letter which was approved by the OGC solicitor on 26 July 2016.</w:t>
      </w:r>
      <w:r w:rsidR="00045765" w:rsidRPr="004A3983">
        <w:rPr>
          <w:rStyle w:val="FootnoteReference"/>
          <w:rFonts w:ascii="Gotham Book" w:hAnsi="Gotham Book" w:cs="ArialMT"/>
        </w:rPr>
        <w:footnoteReference w:id="210"/>
      </w:r>
    </w:p>
    <w:p w14:paraId="7460C6F6" w14:textId="5DC62051" w:rsidR="00C8658A" w:rsidRPr="004A3983" w:rsidRDefault="000524CF" w:rsidP="00D270C0">
      <w:pPr>
        <w:autoSpaceDE w:val="0"/>
        <w:autoSpaceDN w:val="0"/>
        <w:adjustRightInd w:val="0"/>
        <w:spacing w:after="160"/>
        <w:ind w:right="-2"/>
        <w:rPr>
          <w:rFonts w:ascii="Gotham Book" w:hAnsi="Gotham Book" w:cs="ArialMT"/>
        </w:rPr>
      </w:pPr>
      <w:r w:rsidRPr="004A3983">
        <w:rPr>
          <w:rFonts w:ascii="Gotham Book" w:hAnsi="Gotham Book" w:cs="ArialMT"/>
        </w:rPr>
        <w:t>T</w:t>
      </w:r>
      <w:r w:rsidR="005C13F7" w:rsidRPr="004A3983">
        <w:rPr>
          <w:rFonts w:ascii="Gotham Book" w:hAnsi="Gotham Book" w:cs="ArialMT"/>
        </w:rPr>
        <w:t>he letter to Mr KK i</w:t>
      </w:r>
      <w:r w:rsidRPr="004A3983">
        <w:rPr>
          <w:rFonts w:ascii="Gotham Book" w:hAnsi="Gotham Book" w:cs="ArialMT"/>
        </w:rPr>
        <w:t xml:space="preserve">s misleading; </w:t>
      </w:r>
      <w:r w:rsidR="00C8658A" w:rsidRPr="004A3983">
        <w:rPr>
          <w:rFonts w:ascii="Gotham Book" w:hAnsi="Gotham Book" w:cs="ArialMT"/>
        </w:rPr>
        <w:t xml:space="preserve">in stating </w:t>
      </w:r>
      <w:r w:rsidRPr="004A3983">
        <w:rPr>
          <w:rFonts w:ascii="Gotham Book" w:hAnsi="Gotham Book" w:cs="ArialMT"/>
        </w:rPr>
        <w:t xml:space="preserve">‘you are no longer </w:t>
      </w:r>
      <w:r w:rsidR="00C8658A" w:rsidRPr="004A3983">
        <w:rPr>
          <w:rFonts w:ascii="Gotham Book" w:hAnsi="Gotham Book" w:cs="ArialMT"/>
        </w:rPr>
        <w:t>required</w:t>
      </w:r>
      <w:r w:rsidRPr="004A3983">
        <w:rPr>
          <w:rFonts w:ascii="Gotham Book" w:hAnsi="Gotham Book" w:cs="ArialMT"/>
        </w:rPr>
        <w:t>’</w:t>
      </w:r>
      <w:r w:rsidR="00C8658A" w:rsidRPr="004A3983">
        <w:rPr>
          <w:rFonts w:ascii="Gotham Book" w:hAnsi="Gotham Book" w:cs="ArialMT"/>
        </w:rPr>
        <w:t xml:space="preserve"> to report i</w:t>
      </w:r>
      <w:r w:rsidR="003D3CDD" w:rsidRPr="004A3983">
        <w:rPr>
          <w:rFonts w:ascii="Gotham Book" w:hAnsi="Gotham Book" w:cs="ArialMT"/>
        </w:rPr>
        <w:t xml:space="preserve">n March 2017, it </w:t>
      </w:r>
      <w:r w:rsidR="000F167F" w:rsidRPr="004A3983">
        <w:rPr>
          <w:rFonts w:ascii="Gotham Book" w:hAnsi="Gotham Book" w:cs="ArialMT"/>
        </w:rPr>
        <w:t>implies</w:t>
      </w:r>
      <w:r w:rsidR="00C8658A" w:rsidRPr="004A3983">
        <w:rPr>
          <w:rFonts w:ascii="Gotham Book" w:hAnsi="Gotham Book" w:cs="ArialMT"/>
        </w:rPr>
        <w:t xml:space="preserve"> tha</w:t>
      </w:r>
      <w:r w:rsidR="004A2835" w:rsidRPr="004A3983">
        <w:rPr>
          <w:rFonts w:ascii="Gotham Book" w:hAnsi="Gotham Book" w:cs="ArialMT"/>
        </w:rPr>
        <w:t>t his</w:t>
      </w:r>
      <w:r w:rsidR="00307C6D" w:rsidRPr="004A3983">
        <w:rPr>
          <w:rFonts w:ascii="Gotham Book" w:hAnsi="Gotham Book" w:cs="ArialMT"/>
        </w:rPr>
        <w:t xml:space="preserve"> reporting obligations </w:t>
      </w:r>
      <w:r w:rsidR="0016161B" w:rsidRPr="004A3983">
        <w:rPr>
          <w:rFonts w:ascii="Gotham Book" w:hAnsi="Gotham Book" w:cs="ArialMT"/>
        </w:rPr>
        <w:t xml:space="preserve">ceased around that time. The </w:t>
      </w:r>
      <w:r w:rsidR="00C8658A" w:rsidRPr="004A3983">
        <w:rPr>
          <w:rFonts w:ascii="Gotham Book" w:hAnsi="Gotham Book" w:cs="ArialMT"/>
        </w:rPr>
        <w:t>NS</w:t>
      </w:r>
      <w:r w:rsidR="0016161B" w:rsidRPr="004A3983">
        <w:rPr>
          <w:rFonts w:ascii="Gotham Book" w:hAnsi="Gotham Book" w:cs="ArialMT"/>
        </w:rPr>
        <w:t>W Police Force was</w:t>
      </w:r>
      <w:r w:rsidR="004A2835" w:rsidRPr="004A3983">
        <w:rPr>
          <w:rFonts w:ascii="Gotham Book" w:hAnsi="Gotham Book" w:cs="ArialMT"/>
        </w:rPr>
        <w:t xml:space="preserve"> aware that his</w:t>
      </w:r>
      <w:r w:rsidR="00C8658A" w:rsidRPr="004A3983">
        <w:rPr>
          <w:rFonts w:ascii="Gotham Book" w:hAnsi="Gotham Book" w:cs="ArialMT"/>
        </w:rPr>
        <w:t xml:space="preserve"> obligations had in fact ceased more than three years earlier, in October 2013.</w:t>
      </w:r>
    </w:p>
    <w:p w14:paraId="7D8831B0" w14:textId="4D93237D" w:rsidR="00D23473" w:rsidRPr="004A3983" w:rsidRDefault="00D23473" w:rsidP="000F69DA">
      <w:pPr>
        <w:pStyle w:val="Heading3"/>
        <w:ind w:left="709" w:right="-2" w:hanging="709"/>
      </w:pPr>
      <w:bookmarkStart w:id="245" w:name="_Toc22627772"/>
      <w:r w:rsidRPr="004A3983">
        <w:t>Comparison with other letters sent by the NSW Police Force</w:t>
      </w:r>
      <w:bookmarkEnd w:id="245"/>
    </w:p>
    <w:p w14:paraId="37EE4488" w14:textId="65540E39" w:rsidR="002D6164" w:rsidRPr="004A3983" w:rsidRDefault="002D6164" w:rsidP="00D270C0">
      <w:pPr>
        <w:autoSpaceDE w:val="0"/>
        <w:autoSpaceDN w:val="0"/>
        <w:adjustRightInd w:val="0"/>
        <w:spacing w:after="160"/>
        <w:ind w:right="-2"/>
        <w:rPr>
          <w:rFonts w:ascii="Gotham Book" w:hAnsi="Gotham Book" w:cs="ArialMT"/>
        </w:rPr>
      </w:pPr>
      <w:r w:rsidRPr="004A3983">
        <w:rPr>
          <w:rFonts w:ascii="Gotham Book" w:hAnsi="Gotham Book" w:cs="ArialMT"/>
        </w:rPr>
        <w:t xml:space="preserve">The letters </w:t>
      </w:r>
      <w:r w:rsidR="00D23473" w:rsidRPr="004A3983">
        <w:rPr>
          <w:rFonts w:ascii="Gotham Book" w:hAnsi="Gotham Book" w:cs="ArialMT"/>
        </w:rPr>
        <w:t xml:space="preserve">to Mr DD, Mr NN and Mr KK </w:t>
      </w:r>
      <w:r w:rsidRPr="004A3983">
        <w:rPr>
          <w:rFonts w:ascii="Gotham Book" w:hAnsi="Gotham Book" w:cs="ArialMT"/>
        </w:rPr>
        <w:t xml:space="preserve">can be contrasted with the information the NSW Police Force included in letters to persons that it realised were required to report under the CPOR Act for </w:t>
      </w:r>
      <w:r w:rsidRPr="00617F54">
        <w:rPr>
          <w:rStyle w:val="Bold"/>
        </w:rPr>
        <w:t>longer</w:t>
      </w:r>
      <w:r w:rsidRPr="004A3983">
        <w:rPr>
          <w:rFonts w:ascii="Gotham Book" w:hAnsi="Gotham Book" w:cs="ArialMT"/>
        </w:rPr>
        <w:t xml:space="preserve"> than the NSW Police Force had initially calculated. The Commission reviewed four letters that the NSW Police Force wrot</w:t>
      </w:r>
      <w:r w:rsidR="00F37981" w:rsidRPr="004A3983">
        <w:rPr>
          <w:rFonts w:ascii="Gotham Book" w:hAnsi="Gotham Book" w:cs="ArialMT"/>
        </w:rPr>
        <w:t>e to persons in this situation.</w:t>
      </w:r>
      <w:r w:rsidR="007010B3" w:rsidRPr="004A3983">
        <w:rPr>
          <w:rStyle w:val="FootnoteReference"/>
          <w:rFonts w:ascii="Gotham Book" w:hAnsi="Gotham Book" w:cs="ArialMT"/>
        </w:rPr>
        <w:footnoteReference w:id="211"/>
      </w:r>
      <w:r w:rsidR="00F37981" w:rsidRPr="004A3983">
        <w:rPr>
          <w:rFonts w:ascii="Gotham Book" w:hAnsi="Gotham Book" w:cs="ArialMT"/>
        </w:rPr>
        <w:t xml:space="preserve"> </w:t>
      </w:r>
      <w:r w:rsidRPr="004A3983">
        <w:rPr>
          <w:rFonts w:ascii="Gotham Book" w:hAnsi="Gotham Book" w:cs="ArialMT"/>
        </w:rPr>
        <w:t>Each of these letters contain</w:t>
      </w:r>
      <w:r w:rsidR="00922CE0" w:rsidRPr="004A3983">
        <w:rPr>
          <w:rFonts w:ascii="Gotham Book" w:hAnsi="Gotham Book" w:cs="ArialMT"/>
        </w:rPr>
        <w:t>ed</w:t>
      </w:r>
      <w:r w:rsidRPr="004A3983">
        <w:rPr>
          <w:rFonts w:ascii="Gotham Book" w:hAnsi="Gotham Book" w:cs="ArialMT"/>
        </w:rPr>
        <w:t xml:space="preserve"> information about the basis under the CPOR Act for the person’s (correct) reporting period, and suggest</w:t>
      </w:r>
      <w:r w:rsidR="00922CE0" w:rsidRPr="004A3983">
        <w:rPr>
          <w:rFonts w:ascii="Gotham Book" w:hAnsi="Gotham Book" w:cs="ArialMT"/>
        </w:rPr>
        <w:t>ed</w:t>
      </w:r>
      <w:r w:rsidRPr="004A3983">
        <w:rPr>
          <w:rFonts w:ascii="Gotham Book" w:hAnsi="Gotham Book" w:cs="ArialMT"/>
        </w:rPr>
        <w:t xml:space="preserve"> the person seek independent legal advice if they had ‘any further issues or concerns’. Three of the four letters acknowledged that an error had been made in their case. For example, the letter the NSW Police Force wrote to Mr MM on 9 July 2016 read:</w:t>
      </w:r>
    </w:p>
    <w:p w14:paraId="4AC7DEC3" w14:textId="77777777" w:rsidR="002D6164" w:rsidRPr="004A3983" w:rsidRDefault="002D6164" w:rsidP="00617F54">
      <w:pPr>
        <w:pStyle w:val="Quotesmall1cm"/>
      </w:pPr>
      <w:r w:rsidRPr="004A3983">
        <w:t>On 12 March 2008 you were sentenced in respect of two Class 2 offences and as such you became a registrable person according to the [CPOR Act].</w:t>
      </w:r>
    </w:p>
    <w:p w14:paraId="70B9B202" w14:textId="77777777" w:rsidR="002D6164" w:rsidRPr="004A3983" w:rsidRDefault="002D6164" w:rsidP="00617F54">
      <w:pPr>
        <w:pStyle w:val="Quotesmall1cm"/>
      </w:pPr>
      <w:r w:rsidRPr="004A3983">
        <w:t>On 5 August 2008 you were…advised that your reporting obligations pursuant to the Act would continue for 8 years.</w:t>
      </w:r>
    </w:p>
    <w:p w14:paraId="1EEEE865" w14:textId="77777777" w:rsidR="002D6164" w:rsidRPr="004A3983" w:rsidRDefault="002D6164" w:rsidP="00617F54">
      <w:pPr>
        <w:pStyle w:val="Quotesmall1cm"/>
      </w:pPr>
      <w:r w:rsidRPr="004A3983">
        <w:t xml:space="preserve">Upon a review of your registrable status, the length of your reporting period was, incorrectly determined. </w:t>
      </w:r>
    </w:p>
    <w:p w14:paraId="4E56334C" w14:textId="6C0A0748" w:rsidR="002D6164" w:rsidRPr="004A3983" w:rsidRDefault="002D6164" w:rsidP="00617F54">
      <w:pPr>
        <w:pStyle w:val="Quotesmall1cm"/>
      </w:pPr>
      <w:r w:rsidRPr="004A3983">
        <w:t>Pursuant to section 14A(1)(b)(ii) of the Act, at the time you were convicted (2008); a</w:t>
      </w:r>
      <w:r w:rsidR="00617F54">
        <w:t> </w:t>
      </w:r>
      <w:r w:rsidRPr="004A3983">
        <w:t>registrable person must comply with the reporting obligations imposed by the Act for</w:t>
      </w:r>
      <w:r w:rsidR="00617F54">
        <w:t> </w:t>
      </w:r>
      <w:r w:rsidRPr="004A3983">
        <w:t>15 years, if a person has even been found guilty of more than a single registrable offence.</w:t>
      </w:r>
    </w:p>
    <w:p w14:paraId="5BFAC4D2" w14:textId="77777777" w:rsidR="002D6164" w:rsidRPr="004A3983" w:rsidRDefault="002D6164" w:rsidP="00617F54">
      <w:pPr>
        <w:pStyle w:val="Quotesmall1cm"/>
      </w:pPr>
      <w:r w:rsidRPr="004A3983">
        <w:t>[Letter then sets out the text of s 14A]</w:t>
      </w:r>
    </w:p>
    <w:p w14:paraId="3E5DA0CE" w14:textId="77777777" w:rsidR="002D6164" w:rsidRPr="004A3983" w:rsidRDefault="002D6164" w:rsidP="00617F54">
      <w:pPr>
        <w:pStyle w:val="Quotesmall1cm"/>
      </w:pPr>
      <w:r w:rsidRPr="004A3983">
        <w:lastRenderedPageBreak/>
        <w:t>As you were found guilty of two separate Class 2 offences your reporting obligations under the Act will continue until 5</w:t>
      </w:r>
      <w:r w:rsidRPr="004A3983">
        <w:rPr>
          <w:vertAlign w:val="superscript"/>
        </w:rPr>
        <w:t>th</w:t>
      </w:r>
      <w:r w:rsidRPr="004A3983">
        <w:t xml:space="preserve"> June 2023.</w:t>
      </w:r>
    </w:p>
    <w:p w14:paraId="28EEC39F" w14:textId="77777777" w:rsidR="002D6164" w:rsidRPr="004A3983" w:rsidRDefault="002D6164" w:rsidP="00617F54">
      <w:pPr>
        <w:pStyle w:val="Quotesmall1cm"/>
      </w:pPr>
      <w:r w:rsidRPr="004A3983">
        <w:t>If you have any further issues or concerns, please seek your own independent legal advice.</w:t>
      </w:r>
      <w:r w:rsidRPr="004A3983">
        <w:rPr>
          <w:rStyle w:val="FootnoteReference"/>
          <w:rFonts w:cs="ArialMT"/>
        </w:rPr>
        <w:footnoteReference w:id="212"/>
      </w:r>
    </w:p>
    <w:p w14:paraId="6AD37ADC" w14:textId="48FDF6C4" w:rsidR="002D6164" w:rsidRPr="004A3983" w:rsidRDefault="009C40AB" w:rsidP="00D270C0">
      <w:pPr>
        <w:autoSpaceDE w:val="0"/>
        <w:autoSpaceDN w:val="0"/>
        <w:adjustRightInd w:val="0"/>
        <w:spacing w:after="160"/>
        <w:ind w:right="-2"/>
        <w:rPr>
          <w:rFonts w:ascii="Gotham Book" w:hAnsi="Gotham Book" w:cs="ArialMT"/>
        </w:rPr>
      </w:pPr>
      <w:r w:rsidRPr="004A3983">
        <w:rPr>
          <w:rFonts w:ascii="Gotham Book" w:hAnsi="Gotham Book" w:cs="ArialMT"/>
        </w:rPr>
        <w:t>These letters, combined with t</w:t>
      </w:r>
      <w:r w:rsidR="002D6164" w:rsidRPr="004A3983">
        <w:rPr>
          <w:rFonts w:ascii="Gotham Book" w:hAnsi="Gotham Book" w:cs="ArialMT"/>
        </w:rPr>
        <w:t>he email from the Manager in the OGC on 1 July 2016 in response to the template the Registry Manager se</w:t>
      </w:r>
      <w:r w:rsidR="00D23473" w:rsidRPr="004A3983">
        <w:rPr>
          <w:rFonts w:ascii="Gotham Book" w:hAnsi="Gotham Book" w:cs="ArialMT"/>
        </w:rPr>
        <w:t>nt to him</w:t>
      </w:r>
      <w:r w:rsidRPr="004A3983">
        <w:rPr>
          <w:rFonts w:ascii="Gotham Book" w:hAnsi="Gotham Book" w:cs="ArialMT"/>
        </w:rPr>
        <w:t>,</w:t>
      </w:r>
      <w:r w:rsidR="00CE14C2" w:rsidRPr="004A3983">
        <w:rPr>
          <w:rStyle w:val="FootnoteReference"/>
          <w:rFonts w:ascii="Gotham Book" w:hAnsi="Gotham Book" w:cs="ArialMT"/>
        </w:rPr>
        <w:footnoteReference w:id="213"/>
      </w:r>
      <w:r w:rsidR="00D23473" w:rsidRPr="004A3983">
        <w:rPr>
          <w:rFonts w:ascii="Gotham Book" w:hAnsi="Gotham Book" w:cs="ArialMT"/>
        </w:rPr>
        <w:t xml:space="preserve"> </w:t>
      </w:r>
      <w:r w:rsidR="00F8674B" w:rsidRPr="004A3983">
        <w:rPr>
          <w:rFonts w:ascii="Gotham Book" w:hAnsi="Gotham Book" w:cs="ArialMT"/>
        </w:rPr>
        <w:t>establish</w:t>
      </w:r>
      <w:r w:rsidR="00D23473" w:rsidRPr="004A3983">
        <w:rPr>
          <w:rFonts w:ascii="Gotham Book" w:hAnsi="Gotham Book" w:cs="ArialMT"/>
        </w:rPr>
        <w:t xml:space="preserve"> that on the basis of </w:t>
      </w:r>
      <w:r w:rsidR="004837C9" w:rsidRPr="004A3983">
        <w:rPr>
          <w:rFonts w:ascii="Gotham Book" w:hAnsi="Gotham Book" w:cs="ArialMT"/>
        </w:rPr>
        <w:t xml:space="preserve">the </w:t>
      </w:r>
      <w:r w:rsidR="00D23473" w:rsidRPr="004A3983">
        <w:rPr>
          <w:rFonts w:ascii="Gotham Book" w:hAnsi="Gotham Book" w:cs="ArialMT"/>
        </w:rPr>
        <w:t>OGC</w:t>
      </w:r>
      <w:r w:rsidR="004837C9" w:rsidRPr="004A3983">
        <w:rPr>
          <w:rFonts w:ascii="Gotham Book" w:hAnsi="Gotham Book" w:cs="ArialMT"/>
        </w:rPr>
        <w:t>’s</w:t>
      </w:r>
      <w:r w:rsidR="00D23473" w:rsidRPr="004A3983">
        <w:rPr>
          <w:rFonts w:ascii="Gotham Book" w:hAnsi="Gotham Book" w:cs="ArialMT"/>
        </w:rPr>
        <w:t xml:space="preserve"> advice,</w:t>
      </w:r>
      <w:r w:rsidR="002D6164" w:rsidRPr="004A3983">
        <w:rPr>
          <w:rFonts w:ascii="Gotham Book" w:hAnsi="Gotham Book" w:cs="ArialMT"/>
        </w:rPr>
        <w:t xml:space="preserve"> the NSW Police Force deliberately took a different approach to the drafting of letters </w:t>
      </w:r>
      <w:r w:rsidR="00FB7A55" w:rsidRPr="004A3983">
        <w:rPr>
          <w:rFonts w:ascii="Gotham Book" w:hAnsi="Gotham Book" w:cs="ArialMT"/>
        </w:rPr>
        <w:t>to send</w:t>
      </w:r>
      <w:r w:rsidR="002D6164" w:rsidRPr="004A3983">
        <w:rPr>
          <w:rFonts w:ascii="Gotham Book" w:hAnsi="Gotham Book" w:cs="ArialMT"/>
        </w:rPr>
        <w:t xml:space="preserve"> to persons who had been subjected to unlawful reporting </w:t>
      </w:r>
      <w:r w:rsidR="00F64CC9" w:rsidRPr="004A3983">
        <w:rPr>
          <w:rFonts w:ascii="Gotham Book" w:hAnsi="Gotham Book" w:cs="ArialMT"/>
        </w:rPr>
        <w:t>requirements</w:t>
      </w:r>
      <w:r w:rsidR="002D6164" w:rsidRPr="004A3983">
        <w:rPr>
          <w:rFonts w:ascii="Gotham Book" w:hAnsi="Gotham Book" w:cs="ArialMT"/>
        </w:rPr>
        <w:t>. This is</w:t>
      </w:r>
      <w:r w:rsidRPr="004A3983">
        <w:rPr>
          <w:rFonts w:ascii="Gotham Book" w:hAnsi="Gotham Book" w:cs="ArialMT"/>
        </w:rPr>
        <w:t xml:space="preserve"> further</w:t>
      </w:r>
      <w:r w:rsidR="002D6164" w:rsidRPr="004A3983">
        <w:rPr>
          <w:rFonts w:ascii="Gotham Book" w:hAnsi="Gotham Book" w:cs="ArialMT"/>
        </w:rPr>
        <w:t xml:space="preserve"> supported by the email sent by the OGC solicitor on 20 July 2016.</w:t>
      </w:r>
      <w:r w:rsidR="00CE14C2" w:rsidRPr="004A3983">
        <w:rPr>
          <w:rStyle w:val="FootnoteReference"/>
          <w:rFonts w:ascii="Gotham Book" w:hAnsi="Gotham Book" w:cs="ArialMT"/>
        </w:rPr>
        <w:footnoteReference w:id="214"/>
      </w:r>
      <w:r w:rsidR="002D6164" w:rsidRPr="004A3983">
        <w:rPr>
          <w:rFonts w:ascii="Gotham Book" w:hAnsi="Gotham Book" w:cs="ArialMT"/>
        </w:rPr>
        <w:t xml:space="preserve"> </w:t>
      </w:r>
    </w:p>
    <w:p w14:paraId="4C36FB0A" w14:textId="0F27CD1E" w:rsidR="007E7825" w:rsidRPr="004A3983" w:rsidRDefault="007E7825" w:rsidP="007E7825">
      <w:pPr>
        <w:pStyle w:val="Heading3"/>
        <w:ind w:left="709" w:right="-2" w:hanging="709"/>
      </w:pPr>
      <w:bookmarkStart w:id="246" w:name="_Toc14790493"/>
      <w:bookmarkStart w:id="247" w:name="_Toc15478376"/>
      <w:bookmarkStart w:id="248" w:name="_Toc22627773"/>
      <w:r w:rsidRPr="004A3983">
        <w:t xml:space="preserve">Decision not to notify persons </w:t>
      </w:r>
      <w:r w:rsidR="008C4B59" w:rsidRPr="004A3983">
        <w:t>no longer on the R</w:t>
      </w:r>
      <w:r w:rsidR="00F9457B" w:rsidRPr="004A3983">
        <w:t>egister in J</w:t>
      </w:r>
      <w:r w:rsidRPr="004A3983">
        <w:t>uly 2016</w:t>
      </w:r>
      <w:bookmarkEnd w:id="246"/>
      <w:bookmarkEnd w:id="247"/>
      <w:bookmarkEnd w:id="248"/>
    </w:p>
    <w:p w14:paraId="74498F10" w14:textId="48038688" w:rsidR="007E7825" w:rsidRPr="004A3983" w:rsidRDefault="007E7825" w:rsidP="007E7825">
      <w:pPr>
        <w:autoSpaceDE w:val="0"/>
        <w:autoSpaceDN w:val="0"/>
        <w:adjustRightInd w:val="0"/>
        <w:spacing w:after="160"/>
        <w:ind w:right="-2"/>
        <w:rPr>
          <w:rFonts w:ascii="Gotham Book" w:hAnsi="Gotham Book" w:cs="ArialMT"/>
        </w:rPr>
      </w:pPr>
      <w:r w:rsidRPr="004A3983">
        <w:rPr>
          <w:rFonts w:ascii="Gotham Book" w:hAnsi="Gotham Book" w:cs="ArialMT"/>
        </w:rPr>
        <w:t>In the email sent by the OGC soli</w:t>
      </w:r>
      <w:r w:rsidR="00C64627" w:rsidRPr="004A3983">
        <w:rPr>
          <w:rFonts w:ascii="Gotham Book" w:hAnsi="Gotham Book" w:cs="ArialMT"/>
        </w:rPr>
        <w:t>citor on 20 July 2016, he referred</w:t>
      </w:r>
      <w:r w:rsidRPr="004A3983">
        <w:rPr>
          <w:rFonts w:ascii="Gotham Book" w:hAnsi="Gotham Book" w:cs="ArialMT"/>
        </w:rPr>
        <w:t xml:space="preserve"> to an agreement being made (it is assumed at the meeting held earlier that day) that:</w:t>
      </w:r>
    </w:p>
    <w:p w14:paraId="45025040" w14:textId="77777777" w:rsidR="007E7825" w:rsidRPr="00617F54" w:rsidRDefault="007E7825" w:rsidP="00617F54">
      <w:pPr>
        <w:pStyle w:val="Quotesmall1cm"/>
      </w:pPr>
      <w:r w:rsidRPr="00617F54">
        <w:t>in cases where a person was incorrectly on the register but where they are no longer because they have seen out their time, that no notice need be sent. This is because they will have already been informed that they are no longer subject to reporting conditions in the ordinary course of things and because they are no longer at risk of being arrested for failing to comply with reporting conditions.</w:t>
      </w:r>
      <w:r w:rsidRPr="0092349C">
        <w:rPr>
          <w:rStyle w:val="FootnoteReference"/>
        </w:rPr>
        <w:footnoteReference w:id="215"/>
      </w:r>
    </w:p>
    <w:p w14:paraId="04CD6F69" w14:textId="77777777" w:rsidR="007E7825" w:rsidRPr="004A3983" w:rsidRDefault="007E7825" w:rsidP="007E7825">
      <w:pPr>
        <w:autoSpaceDE w:val="0"/>
        <w:autoSpaceDN w:val="0"/>
        <w:adjustRightInd w:val="0"/>
        <w:spacing w:after="160"/>
        <w:ind w:right="-2"/>
        <w:rPr>
          <w:rFonts w:ascii="Gotham Book" w:hAnsi="Gotham Book" w:cs="ArialMT"/>
        </w:rPr>
      </w:pPr>
      <w:r w:rsidRPr="004A3983">
        <w:rPr>
          <w:rFonts w:ascii="Gotham Book" w:hAnsi="Gotham Book" w:cs="ArialMT"/>
        </w:rPr>
        <w:t xml:space="preserve">It is understood that these comments were made in the context of discussions focusing on the need to notify persons who were still reporting their information to police, to avoid future wrongful charges. </w:t>
      </w:r>
    </w:p>
    <w:p w14:paraId="70BADF3B" w14:textId="77777777" w:rsidR="00E60054" w:rsidRPr="004A3983" w:rsidRDefault="007E7825" w:rsidP="007E7825">
      <w:pPr>
        <w:autoSpaceDE w:val="0"/>
        <w:autoSpaceDN w:val="0"/>
        <w:adjustRightInd w:val="0"/>
        <w:spacing w:after="160"/>
        <w:ind w:right="-2"/>
        <w:rPr>
          <w:rFonts w:ascii="Gotham Book" w:hAnsi="Gotham Book" w:cs="ArialMT"/>
        </w:rPr>
      </w:pPr>
      <w:r w:rsidRPr="004A3983">
        <w:rPr>
          <w:rFonts w:ascii="Gotham Book" w:hAnsi="Gotham Book" w:cs="ArialMT"/>
        </w:rPr>
        <w:t xml:space="preserve">However, persons who were ‘incorrectly on the Register’ would have been subjected to unlawful requirements to report their personal information to police, prior to being (belatedly) informed by the NSW Police Force that their reporting periods had ended. </w:t>
      </w:r>
    </w:p>
    <w:p w14:paraId="5837BF8C" w14:textId="40320128" w:rsidR="007E7825" w:rsidRPr="004A3983" w:rsidRDefault="00AC78B2" w:rsidP="007E7825">
      <w:pPr>
        <w:autoSpaceDE w:val="0"/>
        <w:autoSpaceDN w:val="0"/>
        <w:adjustRightInd w:val="0"/>
        <w:spacing w:after="160"/>
        <w:ind w:right="-2"/>
        <w:rPr>
          <w:rFonts w:ascii="Gotham Book" w:hAnsi="Gotham Book" w:cs="ArialMT"/>
        </w:rPr>
      </w:pPr>
      <w:r w:rsidRPr="004A3983">
        <w:rPr>
          <w:rFonts w:ascii="Gotham Book" w:hAnsi="Gotham Book" w:cs="ArialMT"/>
        </w:rPr>
        <w:t>The</w:t>
      </w:r>
      <w:r w:rsidR="007E7825" w:rsidRPr="004A3983">
        <w:rPr>
          <w:rFonts w:ascii="Gotham Book" w:hAnsi="Gotham Book" w:cs="ArialMT"/>
        </w:rPr>
        <w:t xml:space="preserve"> email forwarded by the Register Manager to </w:t>
      </w:r>
      <w:r w:rsidRPr="004A3983">
        <w:rPr>
          <w:rFonts w:ascii="Gotham Book" w:hAnsi="Gotham Book" w:cs="ArialMT"/>
        </w:rPr>
        <w:t xml:space="preserve">the </w:t>
      </w:r>
      <w:r w:rsidR="007E7825" w:rsidRPr="004A3983">
        <w:rPr>
          <w:rFonts w:ascii="Gotham Book" w:hAnsi="Gotham Book" w:cs="ArialMT"/>
        </w:rPr>
        <w:t>Commander</w:t>
      </w:r>
      <w:r w:rsidRPr="004A3983">
        <w:rPr>
          <w:rFonts w:ascii="Gotham Book" w:hAnsi="Gotham Book" w:cs="ArialMT"/>
        </w:rPr>
        <w:t xml:space="preserve"> of the Sex Crimes Squad, </w:t>
      </w:r>
      <w:r w:rsidR="007E7825" w:rsidRPr="004A3983">
        <w:rPr>
          <w:rFonts w:ascii="Gotham Book" w:hAnsi="Gotham Book" w:cs="ArialMT"/>
        </w:rPr>
        <w:t xml:space="preserve">the </w:t>
      </w:r>
      <w:r w:rsidRPr="004A3983">
        <w:rPr>
          <w:rFonts w:ascii="Gotham Book" w:hAnsi="Gotham Book" w:cs="ArialMT"/>
        </w:rPr>
        <w:t xml:space="preserve">Manager in the </w:t>
      </w:r>
      <w:r w:rsidR="007E7825" w:rsidRPr="004A3983">
        <w:rPr>
          <w:rFonts w:ascii="Gotham Book" w:hAnsi="Gotham Book" w:cs="ArialMT"/>
        </w:rPr>
        <w:t>OGC</w:t>
      </w:r>
      <w:r w:rsidRPr="004A3983">
        <w:rPr>
          <w:rFonts w:ascii="Gotham Book" w:hAnsi="Gotham Book" w:cs="ArialMT"/>
        </w:rPr>
        <w:t xml:space="preserve"> and the OGC solicitor</w:t>
      </w:r>
      <w:r w:rsidR="007E7825" w:rsidRPr="004A3983">
        <w:rPr>
          <w:rFonts w:ascii="Gotham Book" w:hAnsi="Gotham Book" w:cs="ArialMT"/>
        </w:rPr>
        <w:t xml:space="preserve"> on 27 October 2016 contained examples of persons who either </w:t>
      </w:r>
      <w:r w:rsidR="00B42AE3" w:rsidRPr="004A3983">
        <w:rPr>
          <w:rFonts w:ascii="Gotham Book" w:hAnsi="Gotham Book" w:cs="ArialMT"/>
        </w:rPr>
        <w:t>had been</w:t>
      </w:r>
      <w:r w:rsidR="007E7825" w:rsidRPr="004A3983">
        <w:rPr>
          <w:rFonts w:ascii="Gotham Book" w:hAnsi="Gotham Book" w:cs="ArialMT"/>
        </w:rPr>
        <w:t xml:space="preserve"> on the Register when they were not registrable persons</w:t>
      </w:r>
      <w:r w:rsidR="00B42AE3" w:rsidRPr="004A3983">
        <w:rPr>
          <w:rFonts w:ascii="Gotham Book" w:hAnsi="Gotham Book" w:cs="ArialMT"/>
        </w:rPr>
        <w:t>, or had been</w:t>
      </w:r>
      <w:r w:rsidR="007E7825" w:rsidRPr="004A3983">
        <w:rPr>
          <w:rFonts w:ascii="Gotham Book" w:hAnsi="Gotham Book" w:cs="ArialMT"/>
        </w:rPr>
        <w:t xml:space="preserve"> recorded </w:t>
      </w:r>
      <w:r w:rsidRPr="004A3983">
        <w:rPr>
          <w:rFonts w:ascii="Gotham Book" w:hAnsi="Gotham Book" w:cs="ArialMT"/>
        </w:rPr>
        <w:t>by the NSW Police Force as having</w:t>
      </w:r>
      <w:r w:rsidR="007E7825" w:rsidRPr="004A3983">
        <w:rPr>
          <w:rFonts w:ascii="Gotham Book" w:hAnsi="Gotham Book" w:cs="ArialMT"/>
        </w:rPr>
        <w:t xml:space="preserve"> reporting obligations for years longer than permitted under the CPOR Act. </w:t>
      </w:r>
      <w:r w:rsidR="00BF32D6" w:rsidRPr="004A3983">
        <w:rPr>
          <w:rFonts w:ascii="Gotham Book" w:hAnsi="Gotham Book" w:cs="ArialMT"/>
        </w:rPr>
        <w:t>Three</w:t>
      </w:r>
      <w:r w:rsidR="007E7825" w:rsidRPr="004A3983">
        <w:rPr>
          <w:rFonts w:ascii="Gotham Book" w:hAnsi="Gotham Book" w:cs="ArialMT"/>
        </w:rPr>
        <w:t xml:space="preserve"> </w:t>
      </w:r>
      <w:r w:rsidRPr="004A3983">
        <w:rPr>
          <w:rFonts w:ascii="Gotham Book" w:hAnsi="Gotham Book" w:cs="ArialMT"/>
        </w:rPr>
        <w:t xml:space="preserve">of </w:t>
      </w:r>
      <w:r w:rsidR="007E7825" w:rsidRPr="004A3983">
        <w:rPr>
          <w:rFonts w:ascii="Gotham Book" w:hAnsi="Gotham Book" w:cs="ArialMT"/>
        </w:rPr>
        <w:t xml:space="preserve">these persons’ </w:t>
      </w:r>
      <w:r w:rsidR="00BF32D6" w:rsidRPr="004A3983">
        <w:rPr>
          <w:rFonts w:ascii="Gotham Book" w:hAnsi="Gotham Book" w:cs="ArialMT"/>
        </w:rPr>
        <w:t xml:space="preserve">Register </w:t>
      </w:r>
      <w:r w:rsidR="007E7825" w:rsidRPr="004A3983">
        <w:rPr>
          <w:rFonts w:ascii="Gotham Book" w:hAnsi="Gotham Book" w:cs="ArialMT"/>
        </w:rPr>
        <w:t>ca</w:t>
      </w:r>
      <w:r w:rsidRPr="004A3983">
        <w:rPr>
          <w:rFonts w:ascii="Gotham Book" w:hAnsi="Gotham Book" w:cs="ArialMT"/>
        </w:rPr>
        <w:t>ses had finalised prior to</w:t>
      </w:r>
      <w:r w:rsidR="007E7825" w:rsidRPr="004A3983">
        <w:rPr>
          <w:rFonts w:ascii="Gotham Book" w:hAnsi="Gotham Book" w:cs="ArialMT"/>
        </w:rPr>
        <w:t xml:space="preserve"> 2016.</w:t>
      </w:r>
      <w:r w:rsidR="007E7825" w:rsidRPr="004A3983">
        <w:rPr>
          <w:rStyle w:val="FootnoteReference"/>
          <w:rFonts w:ascii="Gotham Book" w:hAnsi="Gotham Book" w:cs="ArialMT"/>
        </w:rPr>
        <w:footnoteReference w:id="216"/>
      </w:r>
      <w:r w:rsidR="007E7825" w:rsidRPr="004A3983">
        <w:rPr>
          <w:rFonts w:ascii="Gotham Book" w:hAnsi="Gotham Book" w:cs="ArialMT"/>
        </w:rPr>
        <w:t xml:space="preserve"> </w:t>
      </w:r>
    </w:p>
    <w:p w14:paraId="6DBC44BC" w14:textId="77777777" w:rsidR="007E7825" w:rsidRPr="004A3983" w:rsidRDefault="007E7825" w:rsidP="007E7825">
      <w:pPr>
        <w:autoSpaceDE w:val="0"/>
        <w:autoSpaceDN w:val="0"/>
        <w:adjustRightInd w:val="0"/>
        <w:spacing w:after="160"/>
        <w:ind w:right="-2"/>
        <w:rPr>
          <w:rFonts w:ascii="Gotham Book" w:hAnsi="Gotham Book" w:cs="ArialMT"/>
        </w:rPr>
      </w:pPr>
      <w:r w:rsidRPr="004A3983">
        <w:rPr>
          <w:rFonts w:ascii="Gotham Book" w:hAnsi="Gotham Book" w:cs="ArialMT"/>
        </w:rPr>
        <w:lastRenderedPageBreak/>
        <w:t>The Registry Manager noted while none of these persons had been charged for offences under the CPOR Act, they had been required to comply with reporting obligations and may have been subjected to unlawful home inspections. The Registry Manager stated:</w:t>
      </w:r>
    </w:p>
    <w:p w14:paraId="6AA5C932" w14:textId="77777777" w:rsidR="007E7825" w:rsidRPr="004A3983" w:rsidRDefault="007E7825" w:rsidP="00617F54">
      <w:pPr>
        <w:pStyle w:val="Quotesmall1cm"/>
      </w:pPr>
      <w:r w:rsidRPr="004A3983">
        <w:t>Even though they were never [charged for breaches of their reporting obligations], their civil rights have been impinged and they have been required to report and do things that legally we were not entitled to impose upon them.</w:t>
      </w:r>
      <w:r w:rsidRPr="004A3983">
        <w:rPr>
          <w:rStyle w:val="FootnoteReference"/>
          <w:rFonts w:cs="ArialMT"/>
        </w:rPr>
        <w:footnoteReference w:id="217"/>
      </w:r>
    </w:p>
    <w:p w14:paraId="67E0EDE8" w14:textId="77777777" w:rsidR="00264812" w:rsidRPr="004A3983" w:rsidRDefault="007E7825" w:rsidP="00D270C0">
      <w:pPr>
        <w:autoSpaceDE w:val="0"/>
        <w:autoSpaceDN w:val="0"/>
        <w:adjustRightInd w:val="0"/>
        <w:spacing w:after="160"/>
        <w:ind w:right="-2"/>
        <w:rPr>
          <w:rFonts w:ascii="Gotham Book" w:hAnsi="Gotham Book" w:cs="Arial"/>
        </w:rPr>
      </w:pPr>
      <w:r w:rsidRPr="004A3983">
        <w:rPr>
          <w:rFonts w:ascii="Gotham Book" w:hAnsi="Gotham Book" w:cs="ArialMT"/>
        </w:rPr>
        <w:t>In that email the Registry Manager asked the OGC for advice as to whether the NSW Police Force had any obligations to inform these people of the errors in their cases, noting that his view was that ‘</w:t>
      </w:r>
      <w:r w:rsidRPr="004A3983">
        <w:rPr>
          <w:rFonts w:ascii="Gotham Book" w:hAnsi="Gotham Book" w:cs="Arial"/>
        </w:rPr>
        <w:t>we probably need to advise them’, but that he would ‘be guided by your advice’.</w:t>
      </w:r>
      <w:r w:rsidRPr="004A3983">
        <w:rPr>
          <w:rStyle w:val="FootnoteReference"/>
          <w:rFonts w:ascii="Gotham Book" w:hAnsi="Gotham Book" w:cs="Arial"/>
        </w:rPr>
        <w:footnoteReference w:id="218"/>
      </w:r>
      <w:r w:rsidRPr="004A3983">
        <w:rPr>
          <w:rFonts w:ascii="Gotham Book" w:hAnsi="Gotham Book" w:cs="Arial"/>
        </w:rPr>
        <w:t xml:space="preserve">  </w:t>
      </w:r>
    </w:p>
    <w:p w14:paraId="4DBE4628" w14:textId="3B13C8E1" w:rsidR="007E7825" w:rsidRPr="004A3983" w:rsidRDefault="007E7825" w:rsidP="00D270C0">
      <w:pPr>
        <w:autoSpaceDE w:val="0"/>
        <w:autoSpaceDN w:val="0"/>
        <w:adjustRightInd w:val="0"/>
        <w:spacing w:after="160"/>
        <w:ind w:right="-2"/>
        <w:rPr>
          <w:rFonts w:ascii="Gotham Book" w:hAnsi="Gotham Book" w:cs="ArialMT"/>
        </w:rPr>
      </w:pPr>
      <w:r w:rsidRPr="004A3983">
        <w:rPr>
          <w:rFonts w:ascii="Gotham Book" w:hAnsi="Gotham Book" w:cs="Arial"/>
        </w:rPr>
        <w:t>No email in response was contained in the documents presented to the Commission. However the Commission has not received any evidence to suggest that a different position to that reflected in the email on 20 July 2016 was adopted after the Registry Manager’s email.</w:t>
      </w:r>
    </w:p>
    <w:p w14:paraId="0C5438B4" w14:textId="26B87B26" w:rsidR="00D23473" w:rsidRPr="004A3983" w:rsidRDefault="004A1E57" w:rsidP="000E546A">
      <w:pPr>
        <w:pStyle w:val="Heading2"/>
        <w:spacing w:after="160"/>
        <w:ind w:right="-2"/>
      </w:pPr>
      <w:bookmarkStart w:id="249" w:name="_Toc14790492"/>
      <w:bookmarkStart w:id="250" w:name="_Toc15478375"/>
      <w:bookmarkStart w:id="251" w:name="_Toc22627774"/>
      <w:r w:rsidRPr="004A3983">
        <w:t>NSW Police Force</w:t>
      </w:r>
      <w:r w:rsidR="00D23473" w:rsidRPr="004A3983">
        <w:t xml:space="preserve"> obligation to notify persons of errors</w:t>
      </w:r>
      <w:bookmarkEnd w:id="249"/>
      <w:bookmarkEnd w:id="250"/>
      <w:bookmarkEnd w:id="251"/>
    </w:p>
    <w:p w14:paraId="30B610F1" w14:textId="46833A9E" w:rsidR="007C6B68" w:rsidRPr="004A3983" w:rsidRDefault="004A71DE" w:rsidP="00D270C0">
      <w:pPr>
        <w:autoSpaceDE w:val="0"/>
        <w:autoSpaceDN w:val="0"/>
        <w:adjustRightInd w:val="0"/>
        <w:spacing w:after="160"/>
        <w:ind w:right="-2"/>
        <w:rPr>
          <w:rFonts w:ascii="Gotham Book" w:hAnsi="Gotham Book" w:cs="ArialMT"/>
        </w:rPr>
      </w:pPr>
      <w:r w:rsidRPr="004A3983">
        <w:rPr>
          <w:rFonts w:ascii="Gotham Book" w:hAnsi="Gotham Book" w:cs="ArialMT"/>
        </w:rPr>
        <w:t>On the advice of two lawyers in the OGC, t</w:t>
      </w:r>
      <w:r w:rsidR="007C6B68" w:rsidRPr="004A3983">
        <w:rPr>
          <w:rFonts w:ascii="Gotham Book" w:hAnsi="Gotham Book" w:cs="ArialMT"/>
        </w:rPr>
        <w:t xml:space="preserve">he NSW Police Force </w:t>
      </w:r>
      <w:r w:rsidR="007D3C5B" w:rsidRPr="004A3983">
        <w:rPr>
          <w:rFonts w:ascii="Gotham Book" w:hAnsi="Gotham Book" w:cs="ArialMT"/>
        </w:rPr>
        <w:t>deliberately</w:t>
      </w:r>
      <w:r w:rsidR="007C6B68" w:rsidRPr="004A3983">
        <w:rPr>
          <w:rFonts w:ascii="Gotham Book" w:hAnsi="Gotham Book" w:cs="ArialMT"/>
        </w:rPr>
        <w:t xml:space="preserve"> </w:t>
      </w:r>
      <w:r w:rsidR="004B105E" w:rsidRPr="004A3983">
        <w:rPr>
          <w:rFonts w:ascii="Gotham Book" w:hAnsi="Gotham Book" w:cs="ArialMT"/>
        </w:rPr>
        <w:t>excluded reference to relevant and important</w:t>
      </w:r>
      <w:r w:rsidR="007C6B68" w:rsidRPr="004A3983">
        <w:rPr>
          <w:rFonts w:ascii="Gotham Book" w:hAnsi="Gotham Book" w:cs="ArialMT"/>
        </w:rPr>
        <w:t xml:space="preserve"> information in the letters sent to persons who had been subjected t</w:t>
      </w:r>
      <w:r w:rsidR="00F64CC9" w:rsidRPr="004A3983">
        <w:rPr>
          <w:rFonts w:ascii="Gotham Book" w:hAnsi="Gotham Book" w:cs="ArialMT"/>
        </w:rPr>
        <w:t>o unlawful reporting requirements</w:t>
      </w:r>
      <w:r w:rsidR="007C6B68" w:rsidRPr="004A3983">
        <w:rPr>
          <w:rFonts w:ascii="Gotham Book" w:hAnsi="Gotham Book" w:cs="ArialMT"/>
        </w:rPr>
        <w:t>, in order to</w:t>
      </w:r>
      <w:r w:rsidR="00DA1228" w:rsidRPr="004A3983">
        <w:rPr>
          <w:rFonts w:ascii="Gotham Book" w:hAnsi="Gotham Book" w:cs="ArialMT"/>
        </w:rPr>
        <w:t xml:space="preserve"> ‘minimis[e]</w:t>
      </w:r>
      <w:r w:rsidR="007C6B68" w:rsidRPr="004A3983">
        <w:rPr>
          <w:rFonts w:ascii="Gotham Book" w:hAnsi="Gotham Book" w:cs="ArialMT"/>
        </w:rPr>
        <w:t xml:space="preserve"> th</w:t>
      </w:r>
      <w:r w:rsidRPr="004A3983">
        <w:rPr>
          <w:rFonts w:ascii="Gotham Book" w:hAnsi="Gotham Book" w:cs="ArialMT"/>
        </w:rPr>
        <w:t>e prospect of civil litigation’</w:t>
      </w:r>
      <w:r w:rsidR="007C6B68" w:rsidRPr="004A3983">
        <w:rPr>
          <w:rFonts w:ascii="Gotham Book" w:hAnsi="Gotham Book" w:cs="ArialMT"/>
        </w:rPr>
        <w:t xml:space="preserve">. </w:t>
      </w:r>
      <w:r w:rsidR="004B105E" w:rsidRPr="004A3983">
        <w:rPr>
          <w:rFonts w:ascii="Gotham Book" w:hAnsi="Gotham Book" w:cs="ArialMT"/>
        </w:rPr>
        <w:t>This defensiveness went so far as</w:t>
      </w:r>
      <w:r w:rsidR="007C6B68" w:rsidRPr="004A3983">
        <w:rPr>
          <w:rFonts w:ascii="Gotham Book" w:hAnsi="Gotham Book" w:cs="ArialMT"/>
        </w:rPr>
        <w:t xml:space="preserve"> </w:t>
      </w:r>
      <w:r w:rsidR="00FE0788" w:rsidRPr="004A3983">
        <w:rPr>
          <w:rFonts w:ascii="Gotham Book" w:hAnsi="Gotham Book" w:cs="ArialMT"/>
        </w:rPr>
        <w:t>to not</w:t>
      </w:r>
      <w:r w:rsidR="007C6B68" w:rsidRPr="004A3983">
        <w:rPr>
          <w:rFonts w:ascii="Gotham Book" w:hAnsi="Gotham Book" w:cs="ArialMT"/>
        </w:rPr>
        <w:t xml:space="preserve"> include in these letters any suggestion that these persons should seek independent legal advice</w:t>
      </w:r>
      <w:r w:rsidR="00B25BBB" w:rsidRPr="004A3983">
        <w:rPr>
          <w:rFonts w:ascii="Gotham Book" w:hAnsi="Gotham Book" w:cs="ArialMT"/>
        </w:rPr>
        <w:t xml:space="preserve"> (as compared with the letters </w:t>
      </w:r>
      <w:r w:rsidR="000B48DF" w:rsidRPr="004A3983">
        <w:rPr>
          <w:rFonts w:ascii="Gotham Book" w:hAnsi="Gotham Book" w:cs="ArialMT"/>
        </w:rPr>
        <w:t>like the one sent to Mr MM in the section above)</w:t>
      </w:r>
      <w:r w:rsidR="007C6B68" w:rsidRPr="004A3983">
        <w:rPr>
          <w:rFonts w:ascii="Gotham Book" w:hAnsi="Gotham Book" w:cs="ArialMT"/>
        </w:rPr>
        <w:t>.</w:t>
      </w:r>
      <w:r w:rsidR="004B105E" w:rsidRPr="004A3983">
        <w:rPr>
          <w:rFonts w:ascii="Gotham Book" w:hAnsi="Gotham Book" w:cs="ArialMT"/>
        </w:rPr>
        <w:t xml:space="preserve"> N</w:t>
      </w:r>
      <w:r w:rsidR="008E07A8" w:rsidRPr="004A3983">
        <w:rPr>
          <w:rFonts w:ascii="Gotham Book" w:hAnsi="Gotham Book" w:cs="ArialMT"/>
        </w:rPr>
        <w:t>ot</w:t>
      </w:r>
      <w:r w:rsidR="00AA18AA" w:rsidRPr="004A3983">
        <w:rPr>
          <w:rFonts w:ascii="Gotham Book" w:hAnsi="Gotham Book" w:cs="ArialMT"/>
        </w:rPr>
        <w:t xml:space="preserve"> </w:t>
      </w:r>
      <w:r w:rsidR="004B105E" w:rsidRPr="004A3983">
        <w:rPr>
          <w:rFonts w:ascii="Gotham Book" w:hAnsi="Gotham Book" w:cs="ArialMT"/>
        </w:rPr>
        <w:t>disclosing</w:t>
      </w:r>
      <w:r w:rsidR="00AA18AA" w:rsidRPr="004A3983">
        <w:rPr>
          <w:rFonts w:ascii="Gotham Book" w:hAnsi="Gotham Book" w:cs="ArialMT"/>
        </w:rPr>
        <w:t xml:space="preserve"> the reason for the termination of the</w:t>
      </w:r>
      <w:r w:rsidR="008E07A8" w:rsidRPr="004A3983">
        <w:rPr>
          <w:rFonts w:ascii="Gotham Book" w:hAnsi="Gotham Book" w:cs="ArialMT"/>
        </w:rPr>
        <w:t>ir</w:t>
      </w:r>
      <w:r w:rsidR="00AA18AA" w:rsidRPr="004A3983">
        <w:rPr>
          <w:rFonts w:ascii="Gotham Book" w:hAnsi="Gotham Book" w:cs="ArialMT"/>
        </w:rPr>
        <w:t xml:space="preserve"> </w:t>
      </w:r>
      <w:r w:rsidR="008E07A8" w:rsidRPr="004A3983">
        <w:rPr>
          <w:rFonts w:ascii="Gotham Book" w:hAnsi="Gotham Book" w:cs="ArialMT"/>
        </w:rPr>
        <w:t>reporting obligations</w:t>
      </w:r>
      <w:r w:rsidR="00783976" w:rsidRPr="004A3983">
        <w:rPr>
          <w:rFonts w:ascii="Gotham Book" w:hAnsi="Gotham Book" w:cs="ArialMT"/>
        </w:rPr>
        <w:t xml:space="preserve"> </w:t>
      </w:r>
      <w:r w:rsidR="0081101F" w:rsidRPr="004A3983">
        <w:rPr>
          <w:rFonts w:ascii="Gotham Book" w:hAnsi="Gotham Book" w:cs="ArialMT"/>
        </w:rPr>
        <w:t>is a classic case of ‘</w:t>
      </w:r>
      <w:r w:rsidR="0081101F" w:rsidRPr="004A3983">
        <w:rPr>
          <w:rFonts w:ascii="Gotham Book" w:hAnsi="Gotham Book" w:cs="ArialMT"/>
          <w:i/>
        </w:rPr>
        <w:t>suppressio veri, suggestio</w:t>
      </w:r>
      <w:r w:rsidR="00783976" w:rsidRPr="004A3983">
        <w:rPr>
          <w:rFonts w:ascii="Gotham Book" w:hAnsi="Gotham Book" w:cs="ArialMT"/>
          <w:i/>
        </w:rPr>
        <w:t xml:space="preserve"> falsi’</w:t>
      </w:r>
      <w:r w:rsidR="003F103F" w:rsidRPr="004A3983">
        <w:rPr>
          <w:rFonts w:ascii="Gotham Book" w:hAnsi="Gotham Book" w:cs="ArialMT"/>
          <w:i/>
        </w:rPr>
        <w:t xml:space="preserve"> </w:t>
      </w:r>
      <w:r w:rsidR="003F103F" w:rsidRPr="004A3983">
        <w:rPr>
          <w:rFonts w:ascii="Gotham Book" w:hAnsi="Gotham Book" w:cs="ArialMT"/>
        </w:rPr>
        <w:t xml:space="preserve">(suppression of </w:t>
      </w:r>
      <w:r w:rsidR="002D3470" w:rsidRPr="004A3983">
        <w:rPr>
          <w:rFonts w:ascii="Gotham Book" w:hAnsi="Gotham Book" w:cs="ArialMT"/>
        </w:rPr>
        <w:t xml:space="preserve">the </w:t>
      </w:r>
      <w:r w:rsidR="003F103F" w:rsidRPr="004A3983">
        <w:rPr>
          <w:rFonts w:ascii="Gotham Book" w:hAnsi="Gotham Book" w:cs="ArialMT"/>
        </w:rPr>
        <w:t xml:space="preserve">truth </w:t>
      </w:r>
      <w:r w:rsidR="002D3470" w:rsidRPr="004A3983">
        <w:rPr>
          <w:rFonts w:ascii="Gotham Book" w:hAnsi="Gotham Book" w:cs="ArialMT"/>
        </w:rPr>
        <w:t>is equivalent to the suggestion of</w:t>
      </w:r>
      <w:r w:rsidR="003F103F" w:rsidRPr="004A3983">
        <w:rPr>
          <w:rFonts w:ascii="Gotham Book" w:hAnsi="Gotham Book" w:cs="ArialMT"/>
        </w:rPr>
        <w:t xml:space="preserve"> </w:t>
      </w:r>
      <w:r w:rsidR="002D3470" w:rsidRPr="004A3983">
        <w:rPr>
          <w:rFonts w:ascii="Gotham Book" w:hAnsi="Gotham Book" w:cs="ArialMT"/>
        </w:rPr>
        <w:t>what is false</w:t>
      </w:r>
      <w:r w:rsidR="003F103F" w:rsidRPr="004A3983">
        <w:rPr>
          <w:rFonts w:ascii="Gotham Book" w:hAnsi="Gotham Book" w:cs="ArialMT"/>
        </w:rPr>
        <w:t>)</w:t>
      </w:r>
      <w:r w:rsidR="00AA18AA" w:rsidRPr="004A3983">
        <w:rPr>
          <w:rFonts w:ascii="Gotham Book" w:hAnsi="Gotham Book" w:cs="ArialMT"/>
        </w:rPr>
        <w:t>.</w:t>
      </w:r>
    </w:p>
    <w:p w14:paraId="2BF0194F" w14:textId="200A459D" w:rsidR="009C72A8" w:rsidRPr="004A3983" w:rsidRDefault="009C72A8" w:rsidP="00D270C0">
      <w:pPr>
        <w:autoSpaceDE w:val="0"/>
        <w:autoSpaceDN w:val="0"/>
        <w:adjustRightInd w:val="0"/>
        <w:spacing w:after="160"/>
        <w:ind w:right="-2"/>
        <w:rPr>
          <w:rFonts w:ascii="Gotham Book" w:hAnsi="Gotham Book" w:cs="ArialMT"/>
        </w:rPr>
      </w:pPr>
      <w:r w:rsidRPr="004A3983">
        <w:rPr>
          <w:rFonts w:ascii="Gotham Book" w:hAnsi="Gotham Book" w:cs="ArialMT"/>
        </w:rPr>
        <w:t xml:space="preserve">In the case of the letters to Mr DD, Mr NN and Mr KK, the language used </w:t>
      </w:r>
      <w:r w:rsidR="0002583D" w:rsidRPr="004A3983">
        <w:rPr>
          <w:rFonts w:ascii="Gotham Book" w:hAnsi="Gotham Book" w:cs="ArialMT"/>
        </w:rPr>
        <w:t xml:space="preserve">also </w:t>
      </w:r>
      <w:r w:rsidR="00B55942" w:rsidRPr="004A3983">
        <w:rPr>
          <w:rFonts w:ascii="Gotham Book" w:hAnsi="Gotham Book" w:cs="ArialMT"/>
        </w:rPr>
        <w:t>contained implications which the NSW Police</w:t>
      </w:r>
      <w:r w:rsidR="00D07BE6" w:rsidRPr="004A3983">
        <w:rPr>
          <w:rFonts w:ascii="Gotham Book" w:hAnsi="Gotham Book" w:cs="ArialMT"/>
        </w:rPr>
        <w:t xml:space="preserve"> Force knew to be untrue, in particular</w:t>
      </w:r>
      <w:r w:rsidR="00B55942" w:rsidRPr="004A3983">
        <w:rPr>
          <w:rFonts w:ascii="Gotham Book" w:hAnsi="Gotham Book" w:cs="ArialMT"/>
        </w:rPr>
        <w:t xml:space="preserve"> that those persons had an obligation to report their personal information up until the date of the letters.</w:t>
      </w:r>
    </w:p>
    <w:p w14:paraId="4F9BE869" w14:textId="5C659C5E" w:rsidR="004B105E" w:rsidRPr="004A3983" w:rsidRDefault="00564842" w:rsidP="00D270C0">
      <w:pPr>
        <w:autoSpaceDE w:val="0"/>
        <w:autoSpaceDN w:val="0"/>
        <w:adjustRightInd w:val="0"/>
        <w:spacing w:after="160"/>
        <w:ind w:right="-2"/>
        <w:rPr>
          <w:rFonts w:ascii="Gotham Book" w:hAnsi="Gotham Book" w:cs="ArialMT"/>
        </w:rPr>
      </w:pPr>
      <w:r w:rsidRPr="004A3983">
        <w:rPr>
          <w:rFonts w:ascii="Gotham Book" w:hAnsi="Gotham Book" w:cs="ArialMT"/>
        </w:rPr>
        <w:t>T</w:t>
      </w:r>
      <w:r w:rsidR="007C6B68" w:rsidRPr="004A3983">
        <w:rPr>
          <w:rFonts w:ascii="Gotham Book" w:hAnsi="Gotham Book" w:cs="ArialMT"/>
        </w:rPr>
        <w:t xml:space="preserve">hese letters </w:t>
      </w:r>
      <w:r w:rsidR="0051084E" w:rsidRPr="004A3983">
        <w:rPr>
          <w:rFonts w:ascii="Gotham Book" w:hAnsi="Gotham Book" w:cs="ArialMT"/>
        </w:rPr>
        <w:t>concealed</w:t>
      </w:r>
      <w:r w:rsidR="007C6B68" w:rsidRPr="004A3983">
        <w:rPr>
          <w:rFonts w:ascii="Gotham Book" w:hAnsi="Gotham Book" w:cs="ArialMT"/>
        </w:rPr>
        <w:t xml:space="preserve"> the fact that the NSW Police Force had made an error in their case</w:t>
      </w:r>
      <w:r w:rsidRPr="004A3983">
        <w:rPr>
          <w:rFonts w:ascii="Gotham Book" w:hAnsi="Gotham Book" w:cs="ArialMT"/>
        </w:rPr>
        <w:t xml:space="preserve">s. This concealment implied </w:t>
      </w:r>
      <w:r w:rsidR="004B105E" w:rsidRPr="004A3983">
        <w:rPr>
          <w:rFonts w:ascii="Gotham Book" w:hAnsi="Gotham Book"/>
        </w:rPr>
        <w:t xml:space="preserve">that the CPOR Act had been properly applied to them, </w:t>
      </w:r>
      <w:r w:rsidRPr="004A3983">
        <w:rPr>
          <w:rFonts w:ascii="Gotham Book" w:hAnsi="Gotham Book"/>
        </w:rPr>
        <w:t>that nothing untoward had occurred, and that the NSW Police Force was simply bringing to their attention the end of their reporting obligations.</w:t>
      </w:r>
    </w:p>
    <w:p w14:paraId="2953AA29" w14:textId="76D609DC" w:rsidR="00720408" w:rsidRPr="004A3983" w:rsidRDefault="003751AE" w:rsidP="00D270C0">
      <w:pPr>
        <w:autoSpaceDE w:val="0"/>
        <w:autoSpaceDN w:val="0"/>
        <w:adjustRightInd w:val="0"/>
        <w:spacing w:after="160"/>
        <w:ind w:right="-2"/>
        <w:rPr>
          <w:rFonts w:ascii="Gotham Book" w:hAnsi="Gotham Book" w:cs="ArialMT"/>
        </w:rPr>
      </w:pPr>
      <w:r w:rsidRPr="004A3983">
        <w:rPr>
          <w:rFonts w:ascii="Gotham Book" w:hAnsi="Gotham Book" w:cs="ArialMT"/>
        </w:rPr>
        <w:lastRenderedPageBreak/>
        <w:t>T</w:t>
      </w:r>
      <w:r w:rsidR="00942DE1" w:rsidRPr="004A3983">
        <w:rPr>
          <w:rFonts w:ascii="Gotham Book" w:hAnsi="Gotham Book" w:cs="ArialMT"/>
        </w:rPr>
        <w:t>he OGC</w:t>
      </w:r>
      <w:r w:rsidR="00A546C8" w:rsidRPr="004A3983">
        <w:rPr>
          <w:rFonts w:ascii="Gotham Book" w:hAnsi="Gotham Book" w:cs="ArialMT"/>
        </w:rPr>
        <w:t xml:space="preserve"> </w:t>
      </w:r>
      <w:r w:rsidRPr="004A3983">
        <w:rPr>
          <w:rFonts w:ascii="Gotham Book" w:hAnsi="Gotham Book" w:cs="ArialMT"/>
        </w:rPr>
        <w:t xml:space="preserve">solicitor was given the opportunity to make comments </w:t>
      </w:r>
      <w:r w:rsidR="00A546C8" w:rsidRPr="004A3983">
        <w:rPr>
          <w:rFonts w:ascii="Gotham Book" w:hAnsi="Gotham Book" w:cs="ArialMT"/>
        </w:rPr>
        <w:t xml:space="preserve">to the Commission in relation to </w:t>
      </w:r>
      <w:r w:rsidRPr="004A3983">
        <w:rPr>
          <w:rFonts w:ascii="Gotham Book" w:hAnsi="Gotham Book" w:cs="ArialMT"/>
        </w:rPr>
        <w:t xml:space="preserve">a draft of </w:t>
      </w:r>
      <w:r w:rsidR="00A546C8" w:rsidRPr="004A3983">
        <w:rPr>
          <w:rFonts w:ascii="Gotham Book" w:hAnsi="Gotham Book" w:cs="ArialMT"/>
        </w:rPr>
        <w:t>this report</w:t>
      </w:r>
      <w:r w:rsidRPr="004A3983">
        <w:rPr>
          <w:rFonts w:ascii="Gotham Book" w:hAnsi="Gotham Book" w:cs="ArialMT"/>
        </w:rPr>
        <w:t>. He</w:t>
      </w:r>
      <w:r w:rsidR="00A546C8" w:rsidRPr="004A3983">
        <w:rPr>
          <w:rFonts w:ascii="Gotham Book" w:hAnsi="Gotham Book" w:cs="ArialMT"/>
        </w:rPr>
        <w:t xml:space="preserve"> asked the Commission to set out ‘what obligation there was to disclose details</w:t>
      </w:r>
      <w:r w:rsidR="00997B65" w:rsidRPr="004A3983">
        <w:rPr>
          <w:rFonts w:ascii="Gotham Book" w:hAnsi="Gotham Book" w:cs="ArialMT"/>
        </w:rPr>
        <w:t xml:space="preserve"> … to </w:t>
      </w:r>
      <w:r w:rsidR="00A546C8" w:rsidRPr="004A3983">
        <w:rPr>
          <w:rFonts w:ascii="Gotham Book" w:hAnsi="Gotham Book" w:cs="ArialMT"/>
        </w:rPr>
        <w:t xml:space="preserve">those caught up in the error’ </w:t>
      </w:r>
      <w:r w:rsidR="00997B65" w:rsidRPr="004A3983">
        <w:rPr>
          <w:rFonts w:ascii="Gotham Book" w:hAnsi="Gotham Book" w:cs="ArialMT"/>
        </w:rPr>
        <w:t>in the Register</w:t>
      </w:r>
      <w:r w:rsidR="00C80DFC" w:rsidRPr="004A3983">
        <w:rPr>
          <w:rFonts w:ascii="Gotham Book" w:hAnsi="Gotham Book" w:cs="ArialMT"/>
        </w:rPr>
        <w:t>, and ‘where it derives from’</w:t>
      </w:r>
      <w:r w:rsidR="00997B65" w:rsidRPr="004A3983">
        <w:rPr>
          <w:rFonts w:ascii="Gotham Book" w:hAnsi="Gotham Book" w:cs="ArialMT"/>
        </w:rPr>
        <w:t>.</w:t>
      </w:r>
      <w:r w:rsidR="00010E15" w:rsidRPr="004A3983">
        <w:rPr>
          <w:rStyle w:val="FootnoteReference"/>
          <w:rFonts w:ascii="Gotham Book" w:hAnsi="Gotham Book" w:cs="ArialMT"/>
        </w:rPr>
        <w:footnoteReference w:id="219"/>
      </w:r>
    </w:p>
    <w:p w14:paraId="747E42B2" w14:textId="5A33F64E" w:rsidR="00601ACC" w:rsidRPr="004A3983" w:rsidRDefault="006F04F3" w:rsidP="00D270C0">
      <w:pPr>
        <w:autoSpaceDE w:val="0"/>
        <w:autoSpaceDN w:val="0"/>
        <w:adjustRightInd w:val="0"/>
        <w:spacing w:after="160"/>
        <w:ind w:right="-2"/>
        <w:rPr>
          <w:rFonts w:ascii="Gotham Book" w:hAnsi="Gotham Book"/>
          <w:color w:val="000000"/>
        </w:rPr>
      </w:pPr>
      <w:r w:rsidRPr="004A3983">
        <w:rPr>
          <w:rFonts w:ascii="Gotham Book" w:hAnsi="Gotham Book" w:cs="ArialMT"/>
        </w:rPr>
        <w:t xml:space="preserve">In the </w:t>
      </w:r>
      <w:r w:rsidR="00CD3F25" w:rsidRPr="004A3983">
        <w:rPr>
          <w:rFonts w:ascii="Gotham Book" w:hAnsi="Gotham Book" w:cs="ArialMT"/>
        </w:rPr>
        <w:t xml:space="preserve">1912 </w:t>
      </w:r>
      <w:r w:rsidRPr="004A3983">
        <w:rPr>
          <w:rFonts w:ascii="Gotham Book" w:hAnsi="Gotham Book" w:cs="ArialMT"/>
        </w:rPr>
        <w:t xml:space="preserve">case of </w:t>
      </w:r>
      <w:r w:rsidRPr="004A3983">
        <w:rPr>
          <w:rFonts w:ascii="Gotham Book" w:hAnsi="Gotham Book" w:cs="ArialMT"/>
          <w:i/>
        </w:rPr>
        <w:t xml:space="preserve">Melbourne Steamship </w:t>
      </w:r>
      <w:r w:rsidR="009C33D9" w:rsidRPr="004A3983">
        <w:rPr>
          <w:rFonts w:ascii="Gotham Book" w:hAnsi="Gotham Book" w:cs="ArialMT"/>
          <w:i/>
        </w:rPr>
        <w:t>Co Lt</w:t>
      </w:r>
      <w:r w:rsidRPr="004A3983">
        <w:rPr>
          <w:rFonts w:ascii="Gotham Book" w:hAnsi="Gotham Book" w:cs="ArialMT"/>
          <w:i/>
        </w:rPr>
        <w:t>d v Moorhead</w:t>
      </w:r>
      <w:r w:rsidRPr="004A3983">
        <w:rPr>
          <w:rFonts w:ascii="Gotham Book" w:hAnsi="Gotham Book" w:cs="ArialMT"/>
        </w:rPr>
        <w:t>, Chief Justice Griffith emphasised that there is a</w:t>
      </w:r>
      <w:r w:rsidR="00431428" w:rsidRPr="004A3983">
        <w:rPr>
          <w:rFonts w:ascii="Gotham Book" w:hAnsi="Gotham Book" w:cs="ArialMT"/>
        </w:rPr>
        <w:t>n</w:t>
      </w:r>
      <w:r w:rsidRPr="004A3983">
        <w:rPr>
          <w:rFonts w:ascii="Gotham Book" w:hAnsi="Gotham Book" w:cs="ArialMT"/>
        </w:rPr>
        <w:t xml:space="preserve"> ‘old-fashioned traditional, and almost instinctive, standard of fair play to be observed by the Crown in dealing with subjects’.</w:t>
      </w:r>
      <w:r w:rsidRPr="004A3983">
        <w:rPr>
          <w:rStyle w:val="FootnoteReference"/>
          <w:rFonts w:ascii="Gotham Book" w:hAnsi="Gotham Book" w:cs="ArialMT"/>
        </w:rPr>
        <w:footnoteReference w:id="220"/>
      </w:r>
      <w:r w:rsidRPr="004A3983">
        <w:rPr>
          <w:rFonts w:ascii="Gotham Book" w:hAnsi="Gotham Book" w:cs="ArialMT"/>
        </w:rPr>
        <w:t xml:space="preserve"> </w:t>
      </w:r>
      <w:r w:rsidR="00334E98" w:rsidRPr="004A3983">
        <w:rPr>
          <w:rFonts w:ascii="Gotham Book" w:hAnsi="Gotham Book" w:cs="ArialMT"/>
        </w:rPr>
        <w:t>Justice Finn</w:t>
      </w:r>
      <w:r w:rsidR="006B5658" w:rsidRPr="004A3983">
        <w:rPr>
          <w:rFonts w:ascii="Gotham Book" w:hAnsi="Gotham Book" w:cs="ArialMT"/>
        </w:rPr>
        <w:t xml:space="preserve"> in </w:t>
      </w:r>
      <w:r w:rsidR="006B5658" w:rsidRPr="004A3983">
        <w:rPr>
          <w:rFonts w:ascii="Gotham Book" w:hAnsi="Gotham Book" w:cs="ArialMT"/>
          <w:i/>
        </w:rPr>
        <w:t>Hughes Aircraft Systems International v Airservices Australia</w:t>
      </w:r>
      <w:r w:rsidR="00134ABD" w:rsidRPr="004A3983">
        <w:rPr>
          <w:rFonts w:ascii="Gotham Book" w:hAnsi="Gotham Book" w:cs="ArialMT"/>
          <w:i/>
        </w:rPr>
        <w:t xml:space="preserve">, </w:t>
      </w:r>
      <w:r w:rsidR="00134ABD" w:rsidRPr="004A3983">
        <w:rPr>
          <w:rFonts w:ascii="Gotham Book" w:hAnsi="Gotham Book" w:cs="ArialMT"/>
        </w:rPr>
        <w:t>applying Griffith CJ’s comments in the context of a contract tender process,</w:t>
      </w:r>
      <w:r w:rsidR="006B5658" w:rsidRPr="004A3983">
        <w:rPr>
          <w:rFonts w:ascii="Gotham Book" w:hAnsi="Gotham Book" w:cs="ArialMT"/>
        </w:rPr>
        <w:t xml:space="preserve"> stated that ‘t</w:t>
      </w:r>
      <w:r w:rsidR="00431428" w:rsidRPr="004A3983">
        <w:rPr>
          <w:rFonts w:ascii="Gotham Book" w:hAnsi="Gotham Book" w:cs="ArialMT"/>
        </w:rPr>
        <w:t>he law entertains expectations of fair dealing of government and of public bodies’</w:t>
      </w:r>
      <w:r w:rsidR="006B5658" w:rsidRPr="004A3983">
        <w:rPr>
          <w:rFonts w:ascii="Gotham Book" w:hAnsi="Gotham Book" w:cs="ArialMT"/>
        </w:rPr>
        <w:t>.</w:t>
      </w:r>
      <w:r w:rsidR="006B5658" w:rsidRPr="004A3983">
        <w:rPr>
          <w:rStyle w:val="FootnoteReference"/>
          <w:rFonts w:ascii="Gotham Book" w:hAnsi="Gotham Book" w:cs="ArialMT"/>
        </w:rPr>
        <w:footnoteReference w:id="221"/>
      </w:r>
      <w:r w:rsidR="006B5658" w:rsidRPr="004A3983">
        <w:rPr>
          <w:rFonts w:ascii="Gotham Book" w:hAnsi="Gotham Book" w:cs="ArialMT"/>
        </w:rPr>
        <w:t xml:space="preserve"> </w:t>
      </w:r>
      <w:r w:rsidR="00601ACC" w:rsidRPr="004A3983">
        <w:rPr>
          <w:rFonts w:ascii="Gotham Book" w:hAnsi="Gotham Book" w:cs="ArialMT"/>
        </w:rPr>
        <w:t xml:space="preserve">In </w:t>
      </w:r>
      <w:r w:rsidR="00E57F07" w:rsidRPr="004A3983">
        <w:rPr>
          <w:rFonts w:ascii="Gotham Book" w:hAnsi="Gotham Book" w:cs="ArialMT"/>
        </w:rPr>
        <w:t xml:space="preserve">the case of </w:t>
      </w:r>
      <w:r w:rsidR="00601ACC" w:rsidRPr="004A3983">
        <w:rPr>
          <w:rFonts w:ascii="Gotham Book" w:hAnsi="Gotham Book"/>
          <w:i/>
          <w:iCs/>
          <w:color w:val="000000"/>
        </w:rPr>
        <w:t xml:space="preserve">Logue v </w:t>
      </w:r>
      <w:r w:rsidR="00E57F07" w:rsidRPr="004A3983">
        <w:rPr>
          <w:rFonts w:ascii="Gotham Book" w:hAnsi="Gotham Book"/>
          <w:i/>
          <w:iCs/>
          <w:color w:val="000000"/>
        </w:rPr>
        <w:t>Shoalhaven Shire Council</w:t>
      </w:r>
      <w:r w:rsidR="00E57F07" w:rsidRPr="004A3983">
        <w:rPr>
          <w:rFonts w:ascii="Gotham Book" w:hAnsi="Gotham Book"/>
          <w:iCs/>
          <w:color w:val="000000"/>
        </w:rPr>
        <w:t>,</w:t>
      </w:r>
      <w:r w:rsidR="00E57F07" w:rsidRPr="004A3983">
        <w:rPr>
          <w:rStyle w:val="FootnoteReference"/>
          <w:rFonts w:ascii="Gotham Book" w:hAnsi="Gotham Book"/>
          <w:iCs/>
          <w:color w:val="000000"/>
        </w:rPr>
        <w:footnoteReference w:id="222"/>
      </w:r>
      <w:r w:rsidR="00E57F07" w:rsidRPr="004A3983">
        <w:rPr>
          <w:rFonts w:ascii="Gotham Book" w:hAnsi="Gotham Book"/>
          <w:iCs/>
          <w:color w:val="000000"/>
        </w:rPr>
        <w:t xml:space="preserve"> </w:t>
      </w:r>
      <w:r w:rsidR="00601ACC" w:rsidRPr="004A3983">
        <w:rPr>
          <w:rFonts w:ascii="Gotham Book" w:hAnsi="Gotham Book"/>
          <w:color w:val="000000"/>
        </w:rPr>
        <w:t xml:space="preserve">Mahoney JA cited Griffith CJ’s comments in </w:t>
      </w:r>
      <w:r w:rsidR="00601ACC" w:rsidRPr="004A3983">
        <w:rPr>
          <w:rFonts w:ascii="Gotham Book" w:hAnsi="Gotham Book"/>
          <w:i/>
          <w:color w:val="000000"/>
        </w:rPr>
        <w:t>Melbourne Steamship</w:t>
      </w:r>
      <w:r w:rsidR="00601ACC" w:rsidRPr="004A3983">
        <w:rPr>
          <w:rFonts w:ascii="Gotham Book" w:hAnsi="Gotham Book"/>
          <w:color w:val="000000"/>
        </w:rPr>
        <w:t xml:space="preserve"> in </w:t>
      </w:r>
      <w:r w:rsidR="00972F02" w:rsidRPr="004A3983">
        <w:rPr>
          <w:rFonts w:ascii="Gotham Book" w:hAnsi="Gotham Book"/>
          <w:color w:val="000000"/>
        </w:rPr>
        <w:t>the context of</w:t>
      </w:r>
      <w:r w:rsidR="00601ACC" w:rsidRPr="004A3983">
        <w:rPr>
          <w:rFonts w:ascii="Gotham Book" w:hAnsi="Gotham Book"/>
          <w:color w:val="000000"/>
        </w:rPr>
        <w:t xml:space="preserve"> a </w:t>
      </w:r>
      <w:r w:rsidR="00792B42" w:rsidRPr="004A3983">
        <w:rPr>
          <w:rFonts w:ascii="Gotham Book" w:hAnsi="Gotham Book"/>
          <w:color w:val="000000"/>
        </w:rPr>
        <w:t xml:space="preserve">local </w:t>
      </w:r>
      <w:r w:rsidR="00601ACC" w:rsidRPr="004A3983">
        <w:rPr>
          <w:rFonts w:ascii="Gotham Book" w:hAnsi="Gotham Book"/>
          <w:color w:val="000000"/>
        </w:rPr>
        <w:t xml:space="preserve">council </w:t>
      </w:r>
      <w:r w:rsidR="00972F02" w:rsidRPr="004A3983">
        <w:rPr>
          <w:rFonts w:ascii="Gotham Book" w:hAnsi="Gotham Book"/>
          <w:color w:val="000000"/>
        </w:rPr>
        <w:t>seeking</w:t>
      </w:r>
      <w:r w:rsidR="00376E6D" w:rsidRPr="004A3983">
        <w:rPr>
          <w:rFonts w:ascii="Gotham Book" w:hAnsi="Gotham Book"/>
          <w:color w:val="000000"/>
        </w:rPr>
        <w:t xml:space="preserve"> to uphold a compulsory sale of property to recover unpaid rates</w:t>
      </w:r>
      <w:r w:rsidR="006F4E2A" w:rsidRPr="004A3983">
        <w:rPr>
          <w:rFonts w:ascii="Gotham Book" w:hAnsi="Gotham Book"/>
          <w:color w:val="000000"/>
        </w:rPr>
        <w:t xml:space="preserve"> which was made </w:t>
      </w:r>
      <w:r w:rsidR="00376E6D" w:rsidRPr="004A3983">
        <w:rPr>
          <w:rFonts w:ascii="Gotham Book" w:hAnsi="Gotham Book"/>
          <w:color w:val="000000"/>
        </w:rPr>
        <w:t xml:space="preserve">pursuant </w:t>
      </w:r>
      <w:r w:rsidR="00D94C3A" w:rsidRPr="004A3983">
        <w:rPr>
          <w:rFonts w:ascii="Gotham Book" w:hAnsi="Gotham Book"/>
          <w:color w:val="000000"/>
        </w:rPr>
        <w:t>to</w:t>
      </w:r>
      <w:r w:rsidR="00E57F07" w:rsidRPr="004A3983">
        <w:rPr>
          <w:rFonts w:ascii="Gotham Book" w:hAnsi="Gotham Book"/>
          <w:color w:val="000000"/>
        </w:rPr>
        <w:t xml:space="preserve"> a </w:t>
      </w:r>
      <w:r w:rsidR="00D032F9" w:rsidRPr="004A3983">
        <w:rPr>
          <w:rFonts w:ascii="Gotham Book" w:hAnsi="Gotham Book"/>
          <w:color w:val="000000"/>
        </w:rPr>
        <w:t xml:space="preserve">defective </w:t>
      </w:r>
      <w:r w:rsidR="00E57F07" w:rsidRPr="004A3983">
        <w:rPr>
          <w:rFonts w:ascii="Gotham Book" w:hAnsi="Gotham Book"/>
          <w:color w:val="000000"/>
        </w:rPr>
        <w:t>statutory notice.</w:t>
      </w:r>
      <w:r w:rsidR="00376E6D" w:rsidRPr="004A3983">
        <w:rPr>
          <w:rFonts w:ascii="Gotham Book" w:hAnsi="Gotham Book"/>
          <w:color w:val="000000"/>
        </w:rPr>
        <w:t xml:space="preserve"> </w:t>
      </w:r>
      <w:r w:rsidR="00E57F07" w:rsidRPr="004A3983">
        <w:rPr>
          <w:rFonts w:ascii="Gotham Book" w:hAnsi="Gotham Book"/>
          <w:color w:val="000000"/>
        </w:rPr>
        <w:t>His Honour commented:</w:t>
      </w:r>
    </w:p>
    <w:p w14:paraId="4C5BA48E" w14:textId="5021E90E" w:rsidR="00601ACC" w:rsidRPr="004A3983" w:rsidRDefault="00601ACC" w:rsidP="00617F54">
      <w:pPr>
        <w:pStyle w:val="Quotesmall1cm"/>
        <w:rPr>
          <w:rFonts w:cs="ArialMT"/>
        </w:rPr>
      </w:pPr>
      <w:r w:rsidRPr="004A3983">
        <w:t>It is well settled that there is expected of the Crown the highest standards in dealing with its subjects … What might be accepted from others would not been seen as in full accord with the principles of equity and good conscience to be expected in the case of the Crown.</w:t>
      </w:r>
      <w:r w:rsidR="00E57F07" w:rsidRPr="004A3983">
        <w:rPr>
          <w:rStyle w:val="FootnoteReference"/>
          <w:color w:val="000000"/>
        </w:rPr>
        <w:footnoteReference w:id="223"/>
      </w:r>
    </w:p>
    <w:p w14:paraId="2C6ADDE1" w14:textId="2803D63B" w:rsidR="002B17BA" w:rsidRPr="004A3983" w:rsidRDefault="00E57EA7" w:rsidP="00243543">
      <w:pPr>
        <w:autoSpaceDE w:val="0"/>
        <w:autoSpaceDN w:val="0"/>
        <w:adjustRightInd w:val="0"/>
        <w:spacing w:after="160"/>
        <w:ind w:right="-2"/>
        <w:rPr>
          <w:rFonts w:ascii="Gotham Book" w:hAnsi="Gotham Book" w:cs="ArialMT"/>
        </w:rPr>
      </w:pPr>
      <w:r w:rsidRPr="004A3983">
        <w:rPr>
          <w:rFonts w:ascii="Gotham Book" w:hAnsi="Gotham Book" w:cs="ArialMT"/>
        </w:rPr>
        <w:t>Although Mahoney JA was in dissent in that case as to the outcome, i</w:t>
      </w:r>
      <w:r w:rsidR="00F952E8" w:rsidRPr="004A3983">
        <w:rPr>
          <w:rFonts w:ascii="Gotham Book" w:hAnsi="Gotham Book" w:cs="ArialMT"/>
        </w:rPr>
        <w:t>n</w:t>
      </w:r>
      <w:r w:rsidR="00243543" w:rsidRPr="004A3983">
        <w:rPr>
          <w:rFonts w:ascii="Gotham Book" w:hAnsi="Gotham Book" w:cs="ArialMT"/>
        </w:rPr>
        <w:t xml:space="preserve"> 2008 </w:t>
      </w:r>
      <w:r w:rsidR="002B17BA" w:rsidRPr="004A3983">
        <w:rPr>
          <w:rFonts w:ascii="Gotham Book" w:hAnsi="Gotham Book" w:cs="ArialMT"/>
        </w:rPr>
        <w:t>the NSW Court of Appeal cited</w:t>
      </w:r>
      <w:r w:rsidR="00C56A3D" w:rsidRPr="004A3983">
        <w:rPr>
          <w:rFonts w:ascii="Gotham Book" w:hAnsi="Gotham Book" w:cs="ArialMT"/>
        </w:rPr>
        <w:t xml:space="preserve"> his Honour’s comments </w:t>
      </w:r>
      <w:r w:rsidR="00243543" w:rsidRPr="004A3983">
        <w:rPr>
          <w:rFonts w:ascii="Gotham Book" w:hAnsi="Gotham Book" w:cs="ArialMT"/>
        </w:rPr>
        <w:t>with approval</w:t>
      </w:r>
      <w:r w:rsidR="00A75139" w:rsidRPr="004A3983">
        <w:rPr>
          <w:rFonts w:ascii="Gotham Book" w:hAnsi="Gotham Book" w:cs="ArialMT"/>
        </w:rPr>
        <w:t xml:space="preserve"> in</w:t>
      </w:r>
      <w:r w:rsidR="00243543" w:rsidRPr="004A3983">
        <w:rPr>
          <w:rFonts w:ascii="Gotham Book" w:hAnsi="Gotham Book" w:cs="ArialMT"/>
        </w:rPr>
        <w:t xml:space="preserve"> </w:t>
      </w:r>
      <w:r w:rsidR="00243543" w:rsidRPr="004A3983">
        <w:rPr>
          <w:rFonts w:ascii="Gotham Book" w:hAnsi="Gotham Book" w:cs="ArialMT"/>
          <w:i/>
        </w:rPr>
        <w:t>Mahenthirarasa v State Rail Authority (NSW) (No 2)</w:t>
      </w:r>
      <w:r w:rsidR="002B17BA" w:rsidRPr="004A3983">
        <w:rPr>
          <w:rFonts w:ascii="Gotham Book" w:hAnsi="Gotham Book"/>
          <w:color w:val="000000"/>
          <w:sz w:val="20"/>
          <w:szCs w:val="20"/>
        </w:rPr>
        <w:t>.</w:t>
      </w:r>
      <w:r w:rsidR="002B17BA" w:rsidRPr="004A3983">
        <w:rPr>
          <w:rStyle w:val="FootnoteReference"/>
          <w:rFonts w:ascii="Gotham Book" w:hAnsi="Gotham Book"/>
          <w:color w:val="000000"/>
          <w:sz w:val="20"/>
          <w:szCs w:val="20"/>
        </w:rPr>
        <w:footnoteReference w:id="224"/>
      </w:r>
    </w:p>
    <w:p w14:paraId="2B2DCE36" w14:textId="1E40E0D9" w:rsidR="00A32780" w:rsidRPr="004A3983" w:rsidRDefault="00546F3A" w:rsidP="00D270C0">
      <w:pPr>
        <w:autoSpaceDE w:val="0"/>
        <w:autoSpaceDN w:val="0"/>
        <w:adjustRightInd w:val="0"/>
        <w:spacing w:after="160"/>
        <w:ind w:right="-2"/>
        <w:rPr>
          <w:rFonts w:ascii="Gotham Book" w:hAnsi="Gotham Book" w:cs="ArialMT"/>
        </w:rPr>
      </w:pPr>
      <w:r w:rsidRPr="004A3983">
        <w:rPr>
          <w:rFonts w:ascii="Gotham Book" w:hAnsi="Gotham Book" w:cs="ArialMT"/>
        </w:rPr>
        <w:t xml:space="preserve">In </w:t>
      </w:r>
      <w:r w:rsidRPr="004A3983">
        <w:rPr>
          <w:rFonts w:ascii="Gotham Book" w:hAnsi="Gotham Book" w:cs="ArialMT"/>
          <w:i/>
        </w:rPr>
        <w:t>Australian Securities and Investments Commission v Hellicar</w:t>
      </w:r>
      <w:r w:rsidRPr="004A3983">
        <w:rPr>
          <w:rFonts w:ascii="Gotham Book" w:hAnsi="Gotham Book" w:cs="ArialMT"/>
        </w:rPr>
        <w:t xml:space="preserve"> </w:t>
      </w:r>
      <w:r w:rsidR="00A32780" w:rsidRPr="004A3983">
        <w:rPr>
          <w:rFonts w:ascii="Gotham Book" w:hAnsi="Gotham Book" w:cs="ArialMT"/>
        </w:rPr>
        <w:t>Justice Heydon</w:t>
      </w:r>
      <w:r w:rsidRPr="004A3983">
        <w:rPr>
          <w:rFonts w:ascii="Gotham Book" w:hAnsi="Gotham Book" w:cs="ArialMT"/>
        </w:rPr>
        <w:t xml:space="preserve"> on the High Court noted that ASIC accepted Griffith CJ’s comments in </w:t>
      </w:r>
      <w:r w:rsidR="00FB2445" w:rsidRPr="004A3983">
        <w:rPr>
          <w:rFonts w:ascii="Gotham Book" w:hAnsi="Gotham Book" w:cs="ArialMT"/>
          <w:i/>
        </w:rPr>
        <w:t>Melbourne Steamship</w:t>
      </w:r>
      <w:r w:rsidRPr="004A3983">
        <w:rPr>
          <w:rFonts w:ascii="Gotham Book" w:hAnsi="Gotham Book" w:cs="ArialMT"/>
        </w:rPr>
        <w:t xml:space="preserve"> about the standard of ‘fair play’</w:t>
      </w:r>
      <w:r w:rsidR="00A32780" w:rsidRPr="004A3983">
        <w:rPr>
          <w:rFonts w:ascii="Gotham Book" w:hAnsi="Gotham Book" w:cs="ArialMT"/>
        </w:rPr>
        <w:t xml:space="preserve"> to be observed by the Crown:</w:t>
      </w:r>
      <w:r w:rsidRPr="004A3983">
        <w:rPr>
          <w:rFonts w:ascii="Gotham Book" w:hAnsi="Gotham Book" w:cs="ArialMT"/>
        </w:rPr>
        <w:t xml:space="preserve"> </w:t>
      </w:r>
    </w:p>
    <w:p w14:paraId="2846AF86" w14:textId="009EA44F" w:rsidR="003F6839" w:rsidRPr="004A3983" w:rsidRDefault="00A32780" w:rsidP="00617F54">
      <w:pPr>
        <w:pStyle w:val="Quotesmall1cm"/>
      </w:pPr>
      <w:r w:rsidRPr="004A3983">
        <w:t xml:space="preserve">Its </w:t>
      </w:r>
      <w:r w:rsidR="00546F3A" w:rsidRPr="004A3983">
        <w:t>powers are exercised for the public good. It has no legitimate private interest in the performance of its functions. And often it is larger and has access to greater resources than private litigants. Hence it must act as a moral exemplar.</w:t>
      </w:r>
      <w:r w:rsidRPr="004A3983">
        <w:rPr>
          <w:rStyle w:val="FootnoteReference"/>
          <w:rFonts w:cs="ArialMT"/>
        </w:rPr>
        <w:footnoteReference w:id="225"/>
      </w:r>
    </w:p>
    <w:p w14:paraId="03AEC505" w14:textId="23C1DCFE" w:rsidR="007150BC" w:rsidRPr="004A3983" w:rsidRDefault="0099615A" w:rsidP="00D270C0">
      <w:pPr>
        <w:autoSpaceDE w:val="0"/>
        <w:autoSpaceDN w:val="0"/>
        <w:adjustRightInd w:val="0"/>
        <w:spacing w:after="160"/>
        <w:ind w:right="-2"/>
        <w:rPr>
          <w:rFonts w:ascii="Gotham Book" w:hAnsi="Gotham Book" w:cs="ArialMT"/>
        </w:rPr>
      </w:pPr>
      <w:r w:rsidRPr="004A3983">
        <w:rPr>
          <w:rFonts w:ascii="Gotham Book" w:hAnsi="Gotham Book" w:cs="ArialMT"/>
        </w:rPr>
        <w:t>These standards of ‘fairness’ which apply t</w:t>
      </w:r>
      <w:r w:rsidR="00EA4B16" w:rsidRPr="004A3983">
        <w:rPr>
          <w:rFonts w:ascii="Gotham Book" w:hAnsi="Gotham Book" w:cs="ArialMT"/>
        </w:rPr>
        <w:t xml:space="preserve">o </w:t>
      </w:r>
      <w:r w:rsidR="00D728BA" w:rsidRPr="004A3983">
        <w:rPr>
          <w:rFonts w:ascii="Gotham Book" w:hAnsi="Gotham Book" w:cs="ArialMT"/>
        </w:rPr>
        <w:t>public servants</w:t>
      </w:r>
      <w:r w:rsidR="00EA4B16" w:rsidRPr="004A3983">
        <w:rPr>
          <w:rFonts w:ascii="Gotham Book" w:hAnsi="Gotham Book" w:cs="ArialMT"/>
        </w:rPr>
        <w:t xml:space="preserve"> discharging public functions</w:t>
      </w:r>
      <w:r w:rsidR="00D728BA" w:rsidRPr="004A3983">
        <w:rPr>
          <w:rFonts w:ascii="Gotham Book" w:hAnsi="Gotham Book" w:cs="ArialMT"/>
        </w:rPr>
        <w:t xml:space="preserve"> are </w:t>
      </w:r>
      <w:r w:rsidR="00EA4B16" w:rsidRPr="004A3983">
        <w:rPr>
          <w:rFonts w:ascii="Gotham Book" w:hAnsi="Gotham Book" w:cs="ArialMT"/>
        </w:rPr>
        <w:t xml:space="preserve">also </w:t>
      </w:r>
      <w:r w:rsidR="00D728BA" w:rsidRPr="004A3983">
        <w:rPr>
          <w:rFonts w:ascii="Gotham Book" w:hAnsi="Gotham Book" w:cs="ArialMT"/>
        </w:rPr>
        <w:t xml:space="preserve">reflected </w:t>
      </w:r>
      <w:r w:rsidR="00EA6DB0" w:rsidRPr="004A3983">
        <w:rPr>
          <w:rFonts w:ascii="Gotham Book" w:hAnsi="Gotham Book" w:cs="ArialMT"/>
        </w:rPr>
        <w:t>in New South Wales</w:t>
      </w:r>
      <w:r w:rsidR="00EB0C95" w:rsidRPr="004A3983">
        <w:rPr>
          <w:rFonts w:ascii="Gotham Book" w:hAnsi="Gotham Book" w:cs="ArialMT"/>
        </w:rPr>
        <w:t xml:space="preserve"> in</w:t>
      </w:r>
      <w:r w:rsidR="00F85B5D" w:rsidRPr="004A3983">
        <w:rPr>
          <w:rFonts w:ascii="Gotham Book" w:hAnsi="Gotham Book" w:cs="ArialMT"/>
        </w:rPr>
        <w:t xml:space="preserve"> Part 2 of the</w:t>
      </w:r>
      <w:r w:rsidRPr="004A3983">
        <w:rPr>
          <w:rFonts w:ascii="Gotham Book" w:hAnsi="Gotham Book" w:cs="ArialMT"/>
        </w:rPr>
        <w:t xml:space="preserve"> </w:t>
      </w:r>
      <w:r w:rsidRPr="004A3983">
        <w:rPr>
          <w:rFonts w:ascii="Gotham Book" w:hAnsi="Gotham Book" w:cs="ArialMT"/>
          <w:i/>
        </w:rPr>
        <w:t>Government Sector Employment Act 2013</w:t>
      </w:r>
      <w:r w:rsidRPr="004A3983">
        <w:rPr>
          <w:rFonts w:ascii="Gotham Book" w:hAnsi="Gotham Book" w:cs="ArialMT"/>
        </w:rPr>
        <w:t xml:space="preserve"> (NSW)</w:t>
      </w:r>
      <w:r w:rsidR="00F85B5D" w:rsidRPr="004A3983">
        <w:rPr>
          <w:rFonts w:ascii="Gotham Book" w:hAnsi="Gotham Book" w:cs="ArialMT"/>
        </w:rPr>
        <w:t>, which contains the ‘Ethical Framework for the government sector’</w:t>
      </w:r>
      <w:r w:rsidRPr="004A3983">
        <w:rPr>
          <w:rFonts w:ascii="Gotham Book" w:hAnsi="Gotham Book" w:cs="ArialMT"/>
        </w:rPr>
        <w:t>.</w:t>
      </w:r>
      <w:r w:rsidR="00A17A46" w:rsidRPr="004A3983">
        <w:rPr>
          <w:rFonts w:ascii="Gotham Book" w:hAnsi="Gotham Book" w:cs="ArialMT"/>
        </w:rPr>
        <w:t xml:space="preserve"> </w:t>
      </w:r>
    </w:p>
    <w:p w14:paraId="7A199F61" w14:textId="1453923B" w:rsidR="00A10C06" w:rsidRPr="004A3983" w:rsidRDefault="00A10C06" w:rsidP="00D270C0">
      <w:pPr>
        <w:autoSpaceDE w:val="0"/>
        <w:autoSpaceDN w:val="0"/>
        <w:adjustRightInd w:val="0"/>
        <w:spacing w:after="160"/>
        <w:ind w:right="-2"/>
        <w:rPr>
          <w:rFonts w:ascii="Gotham Book" w:hAnsi="Gotham Book" w:cs="ArialMT"/>
        </w:rPr>
      </w:pPr>
      <w:r w:rsidRPr="004A3983">
        <w:rPr>
          <w:rFonts w:ascii="Gotham Book" w:hAnsi="Gotham Book" w:cs="ArialMT"/>
        </w:rPr>
        <w:t xml:space="preserve">The </w:t>
      </w:r>
      <w:r w:rsidRPr="004A3983">
        <w:rPr>
          <w:rFonts w:ascii="Gotham Book" w:hAnsi="Gotham Book" w:cs="ArialMT"/>
          <w:i/>
        </w:rPr>
        <w:t>Police Act 1990</w:t>
      </w:r>
      <w:r w:rsidR="00DB6283" w:rsidRPr="004A3983">
        <w:rPr>
          <w:rFonts w:ascii="Gotham Book" w:hAnsi="Gotham Book" w:cs="ArialMT"/>
        </w:rPr>
        <w:t xml:space="preserve"> (NSW)</w:t>
      </w:r>
      <w:r w:rsidR="004E0AB4" w:rsidRPr="004A3983">
        <w:rPr>
          <w:rFonts w:ascii="Gotham Book" w:hAnsi="Gotham Book" w:cs="ArialMT"/>
        </w:rPr>
        <w:t xml:space="preserve"> contains a </w:t>
      </w:r>
      <w:r w:rsidR="00FA7AF6" w:rsidRPr="004A3983">
        <w:rPr>
          <w:rFonts w:ascii="Gotham Book" w:hAnsi="Gotham Book" w:cs="ArialMT"/>
        </w:rPr>
        <w:t xml:space="preserve">specific </w:t>
      </w:r>
      <w:r w:rsidR="004E0AB4" w:rsidRPr="004A3983">
        <w:rPr>
          <w:rFonts w:ascii="Gotham Book" w:hAnsi="Gotham Book" w:cs="ArialMT"/>
        </w:rPr>
        <w:t xml:space="preserve">statement of values for </w:t>
      </w:r>
      <w:r w:rsidR="00C9754A" w:rsidRPr="004A3983">
        <w:rPr>
          <w:rFonts w:ascii="Gotham Book" w:hAnsi="Gotham Book" w:cs="ArialMT"/>
        </w:rPr>
        <w:t xml:space="preserve">all </w:t>
      </w:r>
      <w:r w:rsidR="00163918" w:rsidRPr="004A3983">
        <w:rPr>
          <w:rFonts w:ascii="Gotham Book" w:hAnsi="Gotham Book" w:cs="ArialMT"/>
        </w:rPr>
        <w:t>members of</w:t>
      </w:r>
      <w:r w:rsidR="004E0AB4" w:rsidRPr="004A3983">
        <w:rPr>
          <w:rFonts w:ascii="Gotham Book" w:hAnsi="Gotham Book" w:cs="ArialMT"/>
        </w:rPr>
        <w:t xml:space="preserve"> the NSW Police Force. Section 7 of that Act states that each member ‘is to act in a manner which … places integrity above all…upholds the rule of law, [and] preserves the rights and freedoms of individuals.’</w:t>
      </w:r>
      <w:r w:rsidR="001D1348" w:rsidRPr="004A3983">
        <w:rPr>
          <w:rFonts w:ascii="Gotham Book" w:hAnsi="Gotham Book" w:cs="ArialMT"/>
        </w:rPr>
        <w:t xml:space="preserve"> The </w:t>
      </w:r>
      <w:r w:rsidR="001D1348" w:rsidRPr="004A3983">
        <w:rPr>
          <w:rFonts w:ascii="Gotham Book" w:hAnsi="Gotham Book" w:cs="ArialMT"/>
          <w:i/>
        </w:rPr>
        <w:t>NSW Police Force</w:t>
      </w:r>
      <w:r w:rsidR="001D1348" w:rsidRPr="004A3983">
        <w:rPr>
          <w:rFonts w:ascii="Gotham Book" w:hAnsi="Gotham Book" w:cs="ArialMT"/>
        </w:rPr>
        <w:t xml:space="preserve"> </w:t>
      </w:r>
      <w:r w:rsidR="001D1348" w:rsidRPr="004A3983">
        <w:rPr>
          <w:rFonts w:ascii="Gotham Book" w:hAnsi="Gotham Book" w:cs="ArialMT"/>
          <w:i/>
        </w:rPr>
        <w:t>Code of Conduct and Ethics</w:t>
      </w:r>
      <w:r w:rsidR="001D1348" w:rsidRPr="004A3983">
        <w:rPr>
          <w:rFonts w:ascii="Gotham Book" w:hAnsi="Gotham Book" w:cs="ArialMT"/>
        </w:rPr>
        <w:t xml:space="preserve"> requires that </w:t>
      </w:r>
      <w:r w:rsidR="00FA200B" w:rsidRPr="004A3983">
        <w:rPr>
          <w:rFonts w:ascii="Gotham Book" w:hAnsi="Gotham Book" w:cs="ArialMT"/>
        </w:rPr>
        <w:t xml:space="preserve">all employees of the NSW Police Force must ‘behave honestly and in a way that upholds the values and </w:t>
      </w:r>
      <w:r w:rsidR="00397C20">
        <w:rPr>
          <w:rFonts w:ascii="Gotham Book" w:hAnsi="Gotham Book" w:cs="ArialMT"/>
        </w:rPr>
        <w:t xml:space="preserve">the </w:t>
      </w:r>
      <w:r w:rsidR="00FA200B" w:rsidRPr="004A3983">
        <w:rPr>
          <w:rFonts w:ascii="Gotham Book" w:hAnsi="Gotham Book" w:cs="ArialMT"/>
        </w:rPr>
        <w:t>good reputation of the NSW Police Force’ and ‘treat everyone with respect, courtesy and fairness’.</w:t>
      </w:r>
    </w:p>
    <w:p w14:paraId="36A40F33" w14:textId="63100FAD" w:rsidR="00756B2C" w:rsidRPr="004A3983" w:rsidRDefault="006D3CC3" w:rsidP="00D270C0">
      <w:pPr>
        <w:autoSpaceDE w:val="0"/>
        <w:autoSpaceDN w:val="0"/>
        <w:adjustRightInd w:val="0"/>
        <w:spacing w:after="160"/>
        <w:ind w:right="-2"/>
        <w:rPr>
          <w:rFonts w:eastAsia="Arial Unicode MS" w:cs="Arial"/>
          <w:color w:val="000000"/>
        </w:rPr>
      </w:pPr>
      <w:r w:rsidRPr="004A3983">
        <w:rPr>
          <w:rFonts w:eastAsia="Arial Unicode MS" w:cs="Arial"/>
          <w:color w:val="000000"/>
        </w:rPr>
        <w:lastRenderedPageBreak/>
        <w:t xml:space="preserve">It is evident from the </w:t>
      </w:r>
      <w:r w:rsidR="001C04BF" w:rsidRPr="004A3983">
        <w:rPr>
          <w:rFonts w:eastAsia="Arial Unicode MS" w:cs="Arial"/>
          <w:color w:val="000000"/>
        </w:rPr>
        <w:t xml:space="preserve">emails set out </w:t>
      </w:r>
      <w:r w:rsidR="00A10C06" w:rsidRPr="004A3983">
        <w:rPr>
          <w:rFonts w:eastAsia="Arial Unicode MS" w:cs="Arial"/>
          <w:color w:val="000000"/>
        </w:rPr>
        <w:t>in section 4.3.1</w:t>
      </w:r>
      <w:r w:rsidR="001C04BF" w:rsidRPr="004A3983">
        <w:rPr>
          <w:rFonts w:eastAsia="Arial Unicode MS" w:cs="Arial"/>
          <w:color w:val="000000"/>
        </w:rPr>
        <w:t xml:space="preserve"> </w:t>
      </w:r>
      <w:r w:rsidRPr="004A3983">
        <w:rPr>
          <w:rFonts w:eastAsia="Arial Unicode MS" w:cs="Arial"/>
          <w:color w:val="000000"/>
        </w:rPr>
        <w:t xml:space="preserve">that the officers in the State Crime Command who signed the letters which omitted relevant information to the detriment of the recipients, were guided by the advice of </w:t>
      </w:r>
      <w:r w:rsidR="000B5A11" w:rsidRPr="004A3983">
        <w:rPr>
          <w:rFonts w:eastAsia="Arial Unicode MS" w:cs="Arial"/>
          <w:color w:val="000000"/>
        </w:rPr>
        <w:t>the OGC solicitor and the Manager</w:t>
      </w:r>
      <w:r w:rsidRPr="004A3983">
        <w:rPr>
          <w:rFonts w:eastAsia="Arial Unicode MS" w:cs="Arial"/>
          <w:color w:val="000000"/>
        </w:rPr>
        <w:t xml:space="preserve"> in the OGC. </w:t>
      </w:r>
      <w:r w:rsidR="0006516D" w:rsidRPr="004A3983">
        <w:rPr>
          <w:rFonts w:eastAsia="Arial Unicode MS" w:cs="Arial"/>
          <w:color w:val="000000"/>
        </w:rPr>
        <w:t xml:space="preserve">It </w:t>
      </w:r>
      <w:r w:rsidR="0054619E" w:rsidRPr="004A3983">
        <w:rPr>
          <w:rFonts w:eastAsia="Arial Unicode MS" w:cs="Arial"/>
          <w:color w:val="000000"/>
        </w:rPr>
        <w:t>i</w:t>
      </w:r>
      <w:r w:rsidR="0006516D" w:rsidRPr="004A3983">
        <w:rPr>
          <w:rFonts w:eastAsia="Arial Unicode MS" w:cs="Arial"/>
          <w:color w:val="000000"/>
        </w:rPr>
        <w:t>s</w:t>
      </w:r>
      <w:r w:rsidR="00D662CE" w:rsidRPr="004A3983">
        <w:rPr>
          <w:rFonts w:eastAsia="Arial Unicode MS" w:cs="Arial"/>
          <w:color w:val="000000"/>
        </w:rPr>
        <w:t xml:space="preserve"> </w:t>
      </w:r>
      <w:r w:rsidR="00C502CD" w:rsidRPr="004A3983">
        <w:rPr>
          <w:rFonts w:eastAsia="Arial Unicode MS" w:cs="Arial"/>
          <w:color w:val="000000"/>
        </w:rPr>
        <w:t xml:space="preserve">not only </w:t>
      </w:r>
      <w:r w:rsidR="00A10C06" w:rsidRPr="004A3983">
        <w:rPr>
          <w:rFonts w:eastAsia="Arial Unicode MS" w:cs="Arial"/>
          <w:color w:val="000000"/>
        </w:rPr>
        <w:t xml:space="preserve">reasonable that those officers </w:t>
      </w:r>
      <w:r w:rsidR="00D662CE" w:rsidRPr="004A3983">
        <w:rPr>
          <w:rFonts w:eastAsia="Arial Unicode MS" w:cs="Arial"/>
          <w:color w:val="000000"/>
        </w:rPr>
        <w:t xml:space="preserve">would </w:t>
      </w:r>
      <w:r w:rsidR="00C502CD" w:rsidRPr="004A3983">
        <w:rPr>
          <w:rFonts w:eastAsia="Arial Unicode MS" w:cs="Arial"/>
          <w:color w:val="000000"/>
        </w:rPr>
        <w:t>follow</w:t>
      </w:r>
      <w:r w:rsidR="00D662CE" w:rsidRPr="004A3983">
        <w:rPr>
          <w:rFonts w:eastAsia="Arial Unicode MS" w:cs="Arial"/>
          <w:color w:val="000000"/>
        </w:rPr>
        <w:t xml:space="preserve"> the advice</w:t>
      </w:r>
      <w:r w:rsidR="00276D85" w:rsidRPr="004A3983">
        <w:rPr>
          <w:rFonts w:eastAsia="Arial Unicode MS" w:cs="Arial"/>
          <w:color w:val="000000"/>
        </w:rPr>
        <w:t xml:space="preserve"> given by </w:t>
      </w:r>
      <w:r w:rsidR="004A1E57" w:rsidRPr="004A3983">
        <w:rPr>
          <w:rFonts w:eastAsia="Arial Unicode MS" w:cs="Arial"/>
          <w:color w:val="000000"/>
        </w:rPr>
        <w:t>NSW Police Force</w:t>
      </w:r>
      <w:r w:rsidR="00D662CE" w:rsidRPr="004A3983">
        <w:rPr>
          <w:rFonts w:eastAsia="Arial Unicode MS" w:cs="Arial"/>
          <w:color w:val="000000"/>
        </w:rPr>
        <w:t xml:space="preserve"> internal legal counsel</w:t>
      </w:r>
      <w:r w:rsidR="00C502CD" w:rsidRPr="004A3983">
        <w:rPr>
          <w:rFonts w:eastAsia="Arial Unicode MS" w:cs="Arial"/>
          <w:color w:val="000000"/>
        </w:rPr>
        <w:t>, but expected</w:t>
      </w:r>
      <w:r w:rsidR="00D662CE" w:rsidRPr="004A3983">
        <w:rPr>
          <w:rFonts w:eastAsia="Arial Unicode MS" w:cs="Arial"/>
          <w:color w:val="000000"/>
        </w:rPr>
        <w:t>.</w:t>
      </w:r>
      <w:r w:rsidR="00C502CD" w:rsidRPr="004A3983">
        <w:rPr>
          <w:rFonts w:eastAsia="Arial Unicode MS" w:cs="Arial"/>
          <w:color w:val="000000"/>
        </w:rPr>
        <w:t xml:space="preserve"> Officers who departed from that advice in any significant</w:t>
      </w:r>
      <w:r w:rsidR="007708D6" w:rsidRPr="004A3983">
        <w:rPr>
          <w:rFonts w:eastAsia="Arial Unicode MS" w:cs="Arial"/>
          <w:color w:val="000000"/>
        </w:rPr>
        <w:t xml:space="preserve"> respect</w:t>
      </w:r>
      <w:r w:rsidR="00C502CD" w:rsidRPr="004A3983">
        <w:rPr>
          <w:rFonts w:eastAsia="Arial Unicode MS" w:cs="Arial"/>
          <w:color w:val="000000"/>
        </w:rPr>
        <w:t xml:space="preserve"> would do so at their peril.</w:t>
      </w:r>
      <w:r w:rsidR="00756B2C" w:rsidRPr="004A3983">
        <w:rPr>
          <w:rFonts w:eastAsia="Arial Unicode MS" w:cs="Arial"/>
          <w:color w:val="000000"/>
        </w:rPr>
        <w:t xml:space="preserve"> </w:t>
      </w:r>
    </w:p>
    <w:p w14:paraId="567E3BFC" w14:textId="5348C8AD" w:rsidR="00FB2445" w:rsidRPr="004A3983" w:rsidRDefault="00056483" w:rsidP="00D270C0">
      <w:pPr>
        <w:autoSpaceDE w:val="0"/>
        <w:autoSpaceDN w:val="0"/>
        <w:adjustRightInd w:val="0"/>
        <w:spacing w:after="160"/>
        <w:ind w:right="-2"/>
        <w:rPr>
          <w:rFonts w:eastAsia="Arial Unicode MS" w:cs="Arial"/>
          <w:color w:val="000000"/>
        </w:rPr>
      </w:pPr>
      <w:r w:rsidRPr="004A3983">
        <w:rPr>
          <w:rFonts w:eastAsia="Arial Unicode MS" w:cs="Arial"/>
          <w:color w:val="000000"/>
        </w:rPr>
        <w:t>In addition to the ethical obligations that apply to all members of the NSW Police Force, l</w:t>
      </w:r>
      <w:r w:rsidR="006D3CC3" w:rsidRPr="004A3983">
        <w:rPr>
          <w:rFonts w:eastAsia="Arial Unicode MS" w:cs="Arial"/>
          <w:color w:val="000000"/>
        </w:rPr>
        <w:t>awyers in the OGC</w:t>
      </w:r>
      <w:r w:rsidR="00C84D8D" w:rsidRPr="004A3983">
        <w:rPr>
          <w:rFonts w:eastAsia="Arial Unicode MS" w:cs="Arial"/>
          <w:color w:val="000000"/>
        </w:rPr>
        <w:t xml:space="preserve">, as all </w:t>
      </w:r>
      <w:r w:rsidRPr="004A3983">
        <w:rPr>
          <w:rFonts w:eastAsia="Arial Unicode MS" w:cs="Arial"/>
          <w:color w:val="000000"/>
        </w:rPr>
        <w:t>government lawyers, are under a specific</w:t>
      </w:r>
      <w:r w:rsidR="00C84D8D" w:rsidRPr="004A3983">
        <w:rPr>
          <w:rFonts w:eastAsia="Arial Unicode MS" w:cs="Arial"/>
          <w:color w:val="000000"/>
        </w:rPr>
        <w:t xml:space="preserve"> obligation to act as ‘model litigants’</w:t>
      </w:r>
      <w:r w:rsidR="00666B2E" w:rsidRPr="004A3983">
        <w:rPr>
          <w:rFonts w:eastAsia="Arial Unicode MS" w:cs="Arial"/>
          <w:color w:val="000000"/>
        </w:rPr>
        <w:t xml:space="preserve">, under the NSW Department of Justice’s </w:t>
      </w:r>
      <w:r w:rsidR="00666B2E" w:rsidRPr="004A3983">
        <w:rPr>
          <w:rFonts w:eastAsia="Arial Unicode MS" w:cs="Arial"/>
          <w:i/>
          <w:color w:val="000000"/>
        </w:rPr>
        <w:t>Model Litigant Policy for Civil Litigation</w:t>
      </w:r>
      <w:r w:rsidR="00063E73" w:rsidRPr="004A3983">
        <w:rPr>
          <w:rFonts w:eastAsia="Arial Unicode MS" w:cs="Arial"/>
          <w:i/>
          <w:color w:val="000000"/>
        </w:rPr>
        <w:t xml:space="preserve"> </w:t>
      </w:r>
      <w:r w:rsidR="00063E73" w:rsidRPr="004A3983">
        <w:rPr>
          <w:rFonts w:eastAsia="Arial Unicode MS" w:cs="Arial"/>
          <w:color w:val="000000"/>
        </w:rPr>
        <w:t>(the Model Litigant Policy).</w:t>
      </w:r>
      <w:r w:rsidR="00666B2E" w:rsidRPr="004A3983">
        <w:rPr>
          <w:rStyle w:val="FootnoteReference"/>
          <w:rFonts w:eastAsia="Arial Unicode MS" w:cs="Arial"/>
          <w:color w:val="000000"/>
        </w:rPr>
        <w:footnoteReference w:id="226"/>
      </w:r>
      <w:r w:rsidR="00F83DC1" w:rsidRPr="004A3983">
        <w:rPr>
          <w:rFonts w:eastAsia="Arial Unicode MS" w:cs="Arial"/>
          <w:color w:val="000000"/>
        </w:rPr>
        <w:t xml:space="preserve"> </w:t>
      </w:r>
      <w:r w:rsidR="006D25A4" w:rsidRPr="004A3983">
        <w:rPr>
          <w:rFonts w:eastAsia="Arial Unicode MS" w:cs="Arial"/>
          <w:color w:val="000000"/>
        </w:rPr>
        <w:t>This Policy states:</w:t>
      </w:r>
    </w:p>
    <w:p w14:paraId="68F36B18" w14:textId="24A2B29C" w:rsidR="006D25A4" w:rsidRPr="004A3983" w:rsidRDefault="00720408" w:rsidP="00617F54">
      <w:pPr>
        <w:pStyle w:val="Quotesmall1cm"/>
      </w:pPr>
      <w:r w:rsidRPr="004A3983">
        <w:t xml:space="preserve">The obligation to act as a model litigant requires more than merely acting honestly and in accordance with the law and court rules. It also goes beyond the requirement for lawyers to act in accordance with </w:t>
      </w:r>
      <w:r w:rsidRPr="00617F54">
        <w:t>their</w:t>
      </w:r>
      <w:r w:rsidRPr="004A3983">
        <w:t xml:space="preserve"> ethical obligations. Essentially it requires that the State and its agencies act with complete propriety, fairly and in accordance with the highest professional standards.</w:t>
      </w:r>
      <w:r w:rsidRPr="004A3983">
        <w:rPr>
          <w:rStyle w:val="FootnoteReference"/>
          <w:rFonts w:eastAsia="Arial Unicode MS" w:cs="Arial"/>
          <w:color w:val="000000"/>
        </w:rPr>
        <w:footnoteReference w:id="227"/>
      </w:r>
    </w:p>
    <w:p w14:paraId="0B4D123A" w14:textId="5DA890D3" w:rsidR="0042118A" w:rsidRPr="004A3983" w:rsidRDefault="0042118A" w:rsidP="00D270C0">
      <w:pPr>
        <w:autoSpaceDE w:val="0"/>
        <w:autoSpaceDN w:val="0"/>
        <w:adjustRightInd w:val="0"/>
        <w:spacing w:after="160"/>
        <w:ind w:right="-2"/>
        <w:rPr>
          <w:rFonts w:eastAsia="Arial Unicode MS" w:cs="Arial"/>
          <w:color w:val="000000"/>
        </w:rPr>
      </w:pPr>
      <w:r w:rsidRPr="004A3983">
        <w:rPr>
          <w:rFonts w:eastAsia="Arial Unicode MS" w:cs="Arial"/>
          <w:color w:val="000000"/>
        </w:rPr>
        <w:t>The</w:t>
      </w:r>
      <w:r w:rsidR="00063E73" w:rsidRPr="004A3983">
        <w:rPr>
          <w:rFonts w:eastAsia="Arial Unicode MS" w:cs="Arial"/>
          <w:color w:val="000000"/>
        </w:rPr>
        <w:t xml:space="preserve"> Model Litigant</w:t>
      </w:r>
      <w:r w:rsidRPr="004A3983">
        <w:rPr>
          <w:rFonts w:eastAsia="Arial Unicode MS" w:cs="Arial"/>
          <w:color w:val="000000"/>
        </w:rPr>
        <w:t xml:space="preserve"> Policy further states that the obligation ‘requires </w:t>
      </w:r>
      <w:r w:rsidR="00C80DFC" w:rsidRPr="004A3983">
        <w:rPr>
          <w:rFonts w:eastAsia="Arial Unicode MS" w:cs="Arial"/>
          <w:color w:val="000000"/>
        </w:rPr>
        <w:t xml:space="preserve">that </w:t>
      </w:r>
      <w:r w:rsidRPr="004A3983">
        <w:rPr>
          <w:rFonts w:eastAsia="Arial Unicode MS" w:cs="Arial"/>
          <w:color w:val="000000"/>
        </w:rPr>
        <w:t xml:space="preserve">the State and its agencies, act honestly and fairly in the handling of claims and litigation by…apologising where the </w:t>
      </w:r>
      <w:r w:rsidR="00894FEF" w:rsidRPr="004A3983">
        <w:rPr>
          <w:rFonts w:eastAsia="Arial Unicode MS" w:cs="Arial"/>
          <w:color w:val="000000"/>
        </w:rPr>
        <w:t>State or</w:t>
      </w:r>
      <w:r w:rsidRPr="004A3983">
        <w:rPr>
          <w:rFonts w:eastAsia="Arial Unicode MS" w:cs="Arial"/>
          <w:color w:val="000000"/>
        </w:rPr>
        <w:t xml:space="preserve"> agency is aware that it has acted wrongfully or improperly</w:t>
      </w:r>
      <w:r w:rsidR="00096E24" w:rsidRPr="004A3983">
        <w:rPr>
          <w:rFonts w:eastAsia="Arial Unicode MS" w:cs="Arial"/>
          <w:color w:val="000000"/>
        </w:rPr>
        <w:t>’.</w:t>
      </w:r>
      <w:r w:rsidR="00096E24" w:rsidRPr="004A3983">
        <w:rPr>
          <w:rStyle w:val="FootnoteReference"/>
          <w:rFonts w:eastAsia="Arial Unicode MS" w:cs="Arial"/>
          <w:color w:val="000000"/>
        </w:rPr>
        <w:footnoteReference w:id="228"/>
      </w:r>
    </w:p>
    <w:p w14:paraId="386BBED9" w14:textId="7A94E9D9" w:rsidR="0099615A" w:rsidRPr="004A3983" w:rsidRDefault="009B15D1" w:rsidP="00D270C0">
      <w:pPr>
        <w:autoSpaceDE w:val="0"/>
        <w:autoSpaceDN w:val="0"/>
        <w:adjustRightInd w:val="0"/>
        <w:spacing w:after="160"/>
        <w:ind w:right="-2"/>
        <w:rPr>
          <w:rFonts w:eastAsia="Arial Unicode MS" w:cs="Arial"/>
          <w:color w:val="000000"/>
        </w:rPr>
      </w:pPr>
      <w:r w:rsidRPr="004A3983">
        <w:rPr>
          <w:rFonts w:eastAsia="Arial Unicode MS" w:cs="Arial"/>
          <w:color w:val="000000"/>
        </w:rPr>
        <w:t xml:space="preserve">While the Model Litigant Policy is described as applying ‘to civil claims </w:t>
      </w:r>
      <w:r w:rsidR="006D3DDA" w:rsidRPr="004A3983">
        <w:rPr>
          <w:rFonts w:eastAsia="Arial Unicode MS" w:cs="Arial"/>
          <w:color w:val="000000"/>
        </w:rPr>
        <w:t>and civil litigation’,</w:t>
      </w:r>
      <w:r w:rsidR="00274430" w:rsidRPr="004A3983">
        <w:rPr>
          <w:rFonts w:eastAsia="Arial Unicode MS" w:cs="Arial"/>
          <w:color w:val="000000"/>
        </w:rPr>
        <w:t xml:space="preserve"> it sets </w:t>
      </w:r>
      <w:r w:rsidRPr="004A3983">
        <w:rPr>
          <w:rFonts w:eastAsia="Arial Unicode MS" w:cs="Arial"/>
          <w:color w:val="000000"/>
        </w:rPr>
        <w:t>standard</w:t>
      </w:r>
      <w:r w:rsidR="00274430" w:rsidRPr="004A3983">
        <w:rPr>
          <w:rFonts w:eastAsia="Arial Unicode MS" w:cs="Arial"/>
          <w:color w:val="000000"/>
        </w:rPr>
        <w:t>s</w:t>
      </w:r>
      <w:r w:rsidRPr="004A3983">
        <w:rPr>
          <w:rFonts w:eastAsia="Arial Unicode MS" w:cs="Arial"/>
          <w:color w:val="000000"/>
        </w:rPr>
        <w:t xml:space="preserve"> that should </w:t>
      </w:r>
      <w:r w:rsidR="00274430" w:rsidRPr="004A3983">
        <w:rPr>
          <w:rFonts w:eastAsia="Arial Unicode MS" w:cs="Arial"/>
          <w:color w:val="000000"/>
        </w:rPr>
        <w:t>be adhered to</w:t>
      </w:r>
      <w:r w:rsidRPr="004A3983">
        <w:rPr>
          <w:rFonts w:eastAsia="Arial Unicode MS" w:cs="Arial"/>
          <w:color w:val="000000"/>
        </w:rPr>
        <w:t xml:space="preserve"> even before any claim or litigation has commenced.</w:t>
      </w:r>
      <w:r w:rsidRPr="004A3983">
        <w:rPr>
          <w:rStyle w:val="FootnoteReference"/>
          <w:rFonts w:eastAsia="Arial Unicode MS" w:cs="Arial"/>
          <w:color w:val="000000"/>
        </w:rPr>
        <w:footnoteReference w:id="229"/>
      </w:r>
      <w:r w:rsidR="006D3DDA" w:rsidRPr="004A3983">
        <w:rPr>
          <w:rFonts w:eastAsia="Arial Unicode MS" w:cs="Arial"/>
          <w:color w:val="000000"/>
        </w:rPr>
        <w:t xml:space="preserve"> I</w:t>
      </w:r>
      <w:r w:rsidR="002A1EA3" w:rsidRPr="004A3983">
        <w:rPr>
          <w:rFonts w:eastAsia="Arial Unicode MS" w:cs="Arial"/>
          <w:color w:val="000000"/>
        </w:rPr>
        <w:t>n any event</w:t>
      </w:r>
      <w:r w:rsidR="003F1645" w:rsidRPr="004A3983">
        <w:rPr>
          <w:rFonts w:eastAsia="Arial Unicode MS" w:cs="Arial"/>
          <w:color w:val="000000"/>
        </w:rPr>
        <w:t>,</w:t>
      </w:r>
      <w:r w:rsidR="009A7ADA" w:rsidRPr="004A3983">
        <w:rPr>
          <w:rFonts w:eastAsia="Arial Unicode MS" w:cs="Arial"/>
          <w:color w:val="000000"/>
        </w:rPr>
        <w:t xml:space="preserve"> m</w:t>
      </w:r>
      <w:r w:rsidR="00FB2445" w:rsidRPr="004A3983">
        <w:rPr>
          <w:rFonts w:eastAsia="Arial Unicode MS" w:cs="Arial"/>
          <w:color w:val="000000"/>
        </w:rPr>
        <w:t>odel litigant</w:t>
      </w:r>
      <w:r w:rsidR="002A1EA3" w:rsidRPr="004A3983">
        <w:rPr>
          <w:rFonts w:eastAsia="Arial Unicode MS" w:cs="Arial"/>
          <w:color w:val="000000"/>
        </w:rPr>
        <w:t xml:space="preserve"> standards</w:t>
      </w:r>
      <w:r w:rsidR="00FB2445" w:rsidRPr="004A3983">
        <w:rPr>
          <w:rFonts w:eastAsia="Arial Unicode MS" w:cs="Arial"/>
          <w:color w:val="000000"/>
        </w:rPr>
        <w:t xml:space="preserve"> are a specific manifestation of the general duty of ‘fair play’ described by Griffiths CJ in </w:t>
      </w:r>
      <w:r w:rsidR="00FB2445" w:rsidRPr="004A3983">
        <w:rPr>
          <w:rFonts w:cs="ArialMT"/>
          <w:i/>
        </w:rPr>
        <w:t>Melbourne Steamship</w:t>
      </w:r>
      <w:r w:rsidR="00FB2445" w:rsidRPr="004A3983">
        <w:rPr>
          <w:rFonts w:cs="ArialMT"/>
        </w:rPr>
        <w:t>.</w:t>
      </w:r>
      <w:r w:rsidR="00FB2445" w:rsidRPr="004A3983">
        <w:rPr>
          <w:rStyle w:val="FootnoteReference"/>
          <w:rFonts w:cs="ArialMT"/>
        </w:rPr>
        <w:footnoteReference w:id="230"/>
      </w:r>
      <w:r w:rsidR="00FB2445" w:rsidRPr="004A3983">
        <w:rPr>
          <w:rFonts w:cs="ArialMT"/>
        </w:rPr>
        <w:t xml:space="preserve"> </w:t>
      </w:r>
    </w:p>
    <w:p w14:paraId="08195304" w14:textId="0A536135" w:rsidR="00443D45" w:rsidRPr="004A3983" w:rsidRDefault="004C7371" w:rsidP="000E546A">
      <w:pPr>
        <w:pStyle w:val="Heading2"/>
        <w:spacing w:after="160"/>
        <w:ind w:right="-2"/>
      </w:pPr>
      <w:bookmarkStart w:id="252" w:name="_Toc8913515"/>
      <w:bookmarkStart w:id="253" w:name="_Toc9428376"/>
      <w:bookmarkStart w:id="254" w:name="_Toc12020328"/>
      <w:bookmarkStart w:id="255" w:name="_Toc14790494"/>
      <w:bookmarkStart w:id="256" w:name="_Toc15478377"/>
      <w:bookmarkStart w:id="257" w:name="_Toc22627775"/>
      <w:bookmarkEnd w:id="252"/>
      <w:bookmarkEnd w:id="253"/>
      <w:bookmarkEnd w:id="254"/>
      <w:bookmarkEnd w:id="255"/>
      <w:bookmarkEnd w:id="256"/>
      <w:r w:rsidRPr="004A3983">
        <w:t>R</w:t>
      </w:r>
      <w:r w:rsidR="00666B03" w:rsidRPr="004A3983">
        <w:t>esponse</w:t>
      </w:r>
      <w:r w:rsidRPr="004A3983">
        <w:t>s</w:t>
      </w:r>
      <w:r w:rsidR="00666B03" w:rsidRPr="004A3983">
        <w:t xml:space="preserve"> to </w:t>
      </w:r>
      <w:r w:rsidR="005F0C32" w:rsidRPr="004A3983">
        <w:t xml:space="preserve">the </w:t>
      </w:r>
      <w:r w:rsidR="007200EF" w:rsidRPr="004A3983">
        <w:t>d</w:t>
      </w:r>
      <w:r w:rsidR="00666B03" w:rsidRPr="004A3983">
        <w:t>raft final report</w:t>
      </w:r>
      <w:bookmarkEnd w:id="257"/>
    </w:p>
    <w:p w14:paraId="7CE83FBD" w14:textId="35192B54" w:rsidR="00666B03" w:rsidRPr="004A3983" w:rsidRDefault="00666B03" w:rsidP="00D270C0">
      <w:pPr>
        <w:autoSpaceDE w:val="0"/>
        <w:autoSpaceDN w:val="0"/>
        <w:adjustRightInd w:val="0"/>
        <w:spacing w:after="160"/>
        <w:ind w:right="-2"/>
        <w:rPr>
          <w:rFonts w:ascii="Gotham Book" w:hAnsi="Gotham Book"/>
        </w:rPr>
      </w:pPr>
      <w:r w:rsidRPr="004A3983">
        <w:rPr>
          <w:rFonts w:ascii="Gotham Book" w:hAnsi="Gotham Book"/>
        </w:rPr>
        <w:t xml:space="preserve">The NSW Police Force in its response to a draft of this report agreed that </w:t>
      </w:r>
      <w:r w:rsidR="004C7371" w:rsidRPr="004A3983">
        <w:rPr>
          <w:rFonts w:ascii="Gotham Book" w:hAnsi="Gotham Book"/>
        </w:rPr>
        <w:t xml:space="preserve">‘the letters to Mr DD, Mr NN, Mr </w:t>
      </w:r>
      <w:r w:rsidR="00425407" w:rsidRPr="004A3983">
        <w:rPr>
          <w:rFonts w:ascii="Gotham Book" w:hAnsi="Gotham Book"/>
        </w:rPr>
        <w:t>KK (and others who were on the R</w:t>
      </w:r>
      <w:r w:rsidR="004C7371" w:rsidRPr="004A3983">
        <w:rPr>
          <w:rFonts w:ascii="Gotham Book" w:hAnsi="Gotham Book"/>
        </w:rPr>
        <w:t>egister for too long or who were incorrectly determined to be registrab</w:t>
      </w:r>
      <w:r w:rsidR="00272C35" w:rsidRPr="004A3983">
        <w:rPr>
          <w:rFonts w:ascii="Gotham Book" w:hAnsi="Gotham Book"/>
        </w:rPr>
        <w:t>le) were misleading by omission</w:t>
      </w:r>
      <w:r w:rsidR="004C7371" w:rsidRPr="004A3983">
        <w:rPr>
          <w:rFonts w:ascii="Gotham Book" w:hAnsi="Gotham Book"/>
        </w:rPr>
        <w:t>’</w:t>
      </w:r>
      <w:r w:rsidR="00272C35" w:rsidRPr="004A3983">
        <w:rPr>
          <w:rFonts w:ascii="Gotham Book" w:hAnsi="Gotham Book"/>
        </w:rPr>
        <w:t>.</w:t>
      </w:r>
      <w:r w:rsidR="00272C35" w:rsidRPr="004A3983">
        <w:rPr>
          <w:rStyle w:val="FootnoteReference"/>
          <w:rFonts w:ascii="Gotham Book" w:hAnsi="Gotham Book"/>
        </w:rPr>
        <w:footnoteReference w:id="231"/>
      </w:r>
    </w:p>
    <w:p w14:paraId="04DFF5EC" w14:textId="6011657C" w:rsidR="00235457" w:rsidRPr="004A3983" w:rsidRDefault="00CE223E" w:rsidP="00D270C0">
      <w:pPr>
        <w:autoSpaceDE w:val="0"/>
        <w:autoSpaceDN w:val="0"/>
        <w:adjustRightInd w:val="0"/>
        <w:spacing w:after="160"/>
        <w:ind w:right="-2"/>
      </w:pPr>
      <w:r w:rsidRPr="004A3983">
        <w:rPr>
          <w:rFonts w:ascii="Gotham Book" w:hAnsi="Gotham Book"/>
        </w:rPr>
        <w:lastRenderedPageBreak/>
        <w:t xml:space="preserve">The OGC solicitor </w:t>
      </w:r>
      <w:r w:rsidR="00A06D2D" w:rsidRPr="004A3983">
        <w:rPr>
          <w:rFonts w:ascii="Gotham Book" w:hAnsi="Gotham Book"/>
        </w:rPr>
        <w:t xml:space="preserve">in his </w:t>
      </w:r>
      <w:r w:rsidR="006E4A4F" w:rsidRPr="004A3983">
        <w:rPr>
          <w:rFonts w:ascii="Gotham Book" w:hAnsi="Gotham Book"/>
        </w:rPr>
        <w:t>comments to the Commission</w:t>
      </w:r>
      <w:r w:rsidR="00A06D2D" w:rsidRPr="004A3983">
        <w:rPr>
          <w:rFonts w:ascii="Gotham Book" w:hAnsi="Gotham Book"/>
        </w:rPr>
        <w:t xml:space="preserve"> </w:t>
      </w:r>
      <w:r w:rsidR="00B13A17" w:rsidRPr="004A3983">
        <w:t>denied any intention on his part to engage in deliberately misleading conduct.</w:t>
      </w:r>
      <w:r w:rsidR="00DA467F" w:rsidRPr="004A3983">
        <w:rPr>
          <w:rStyle w:val="FootnoteReference"/>
        </w:rPr>
        <w:footnoteReference w:id="232"/>
      </w:r>
      <w:r w:rsidR="00235457" w:rsidRPr="004A3983">
        <w:t xml:space="preserve"> He submitted that:</w:t>
      </w:r>
    </w:p>
    <w:p w14:paraId="10947BE4" w14:textId="23348141" w:rsidR="00CE223E" w:rsidRPr="004A3983" w:rsidRDefault="00CE223E" w:rsidP="00344C05">
      <w:pPr>
        <w:pStyle w:val="Quotesmall1cm"/>
      </w:pPr>
      <w:r w:rsidRPr="004A3983">
        <w:t>The situation was a difficult one, where urgent attention was required and where there were competing interests, and it was not one in which there was some readily identifiable standard of disclosure available to us for reference</w:t>
      </w:r>
      <w:r w:rsidR="00235457" w:rsidRPr="004A3983">
        <w:t>.</w:t>
      </w:r>
      <w:r w:rsidR="00235457" w:rsidRPr="004A3983">
        <w:rPr>
          <w:rStyle w:val="FootnoteReference"/>
        </w:rPr>
        <w:footnoteReference w:id="233"/>
      </w:r>
    </w:p>
    <w:p w14:paraId="7CEE3945" w14:textId="620AD541" w:rsidR="00552BC6" w:rsidRPr="004A3983" w:rsidRDefault="00552BC6" w:rsidP="00D270C0">
      <w:pPr>
        <w:autoSpaceDE w:val="0"/>
        <w:autoSpaceDN w:val="0"/>
        <w:adjustRightInd w:val="0"/>
        <w:spacing w:after="160"/>
        <w:ind w:right="-2"/>
      </w:pPr>
      <w:r w:rsidRPr="004A3983">
        <w:t>He denied that any strategy was adopted to hide the errors that had led to unlawful or unjust conduct, and pointed to the fact that the NSW Police Force applied for annulments of the wrongful convictions.</w:t>
      </w:r>
      <w:r w:rsidRPr="004A3983">
        <w:rPr>
          <w:rStyle w:val="FootnoteReference"/>
        </w:rPr>
        <w:footnoteReference w:id="234"/>
      </w:r>
      <w:r w:rsidRPr="004A3983">
        <w:t xml:space="preserve"> </w:t>
      </w:r>
    </w:p>
    <w:p w14:paraId="166F22F6" w14:textId="626AD512" w:rsidR="00272C35" w:rsidRPr="004A3983" w:rsidRDefault="00272C35" w:rsidP="00D270C0">
      <w:pPr>
        <w:autoSpaceDE w:val="0"/>
        <w:autoSpaceDN w:val="0"/>
        <w:adjustRightInd w:val="0"/>
        <w:spacing w:after="160"/>
        <w:ind w:right="-2"/>
      </w:pPr>
      <w:r w:rsidRPr="004A3983">
        <w:t>The NSW Commissioner of Police stated to the Commission that, although the NSW Police Force acknowledges that the letters were misleading, he was ‘satisfied there was no intention to mislead’.</w:t>
      </w:r>
      <w:r w:rsidRPr="004A3983">
        <w:rPr>
          <w:rStyle w:val="FootnoteReference"/>
        </w:rPr>
        <w:footnoteReference w:id="235"/>
      </w:r>
      <w:r w:rsidRPr="004A3983">
        <w:t xml:space="preserve"> </w:t>
      </w:r>
    </w:p>
    <w:p w14:paraId="06DB29F5" w14:textId="1A6ADBC0" w:rsidR="00934ADA" w:rsidRPr="004A3983" w:rsidRDefault="00425407" w:rsidP="00312C5C">
      <w:pPr>
        <w:autoSpaceDE w:val="0"/>
        <w:autoSpaceDN w:val="0"/>
        <w:adjustRightInd w:val="0"/>
        <w:spacing w:after="160"/>
        <w:ind w:right="-2"/>
      </w:pPr>
      <w:r w:rsidRPr="004A3983">
        <w:t xml:space="preserve">The NSW Police Force also acknowledged that ‘letters should have been written to affected persons who had been placed on the Register for too long, but who were no longer on the Register’ (ie </w:t>
      </w:r>
      <w:r w:rsidR="00AB2D58">
        <w:t>those persons discussed at 4.3.4</w:t>
      </w:r>
      <w:r w:rsidRPr="004A3983">
        <w:t xml:space="preserve">). </w:t>
      </w:r>
    </w:p>
    <w:p w14:paraId="6D44E554" w14:textId="77B4F94A" w:rsidR="00312C5C" w:rsidRPr="004A3983" w:rsidRDefault="00425407" w:rsidP="00312C5C">
      <w:pPr>
        <w:autoSpaceDE w:val="0"/>
        <w:autoSpaceDN w:val="0"/>
        <w:adjustRightInd w:val="0"/>
        <w:spacing w:after="160"/>
        <w:ind w:right="-2"/>
      </w:pPr>
      <w:r w:rsidRPr="004A3983">
        <w:t>The NSW Police Force stated that it would write to those people who were incorrectly determined to be registrable or who were on the Register for too long, acknowledging ‘this is the right and fair thing for the NSWPF to do</w:t>
      </w:r>
      <w:r w:rsidR="003F1645" w:rsidRPr="004A3983">
        <w:t>’ (discussed further below at section 4.9</w:t>
      </w:r>
      <w:r w:rsidRPr="004A3983">
        <w:t>).</w:t>
      </w:r>
      <w:r w:rsidRPr="004A3983">
        <w:rPr>
          <w:rStyle w:val="FootnoteReference"/>
        </w:rPr>
        <w:footnoteReference w:id="236"/>
      </w:r>
      <w:r w:rsidR="00934ADA" w:rsidRPr="004A3983">
        <w:t xml:space="preserve"> </w:t>
      </w:r>
      <w:r w:rsidR="00312C5C" w:rsidRPr="004A3983">
        <w:rPr>
          <w:rFonts w:eastAsia="Arial Unicode MS" w:cs="Arial"/>
          <w:color w:val="000000"/>
        </w:rPr>
        <w:t>The NSW Police Force however stated to the Commission that it disagreed that the Model Litigant Policy applied in relation to the template letters</w:t>
      </w:r>
      <w:r w:rsidR="00934ADA" w:rsidRPr="004A3983">
        <w:rPr>
          <w:rFonts w:eastAsia="Arial Unicode MS" w:cs="Arial"/>
          <w:color w:val="000000"/>
        </w:rPr>
        <w:t xml:space="preserve"> that the OGC approved in 2016</w:t>
      </w:r>
      <w:r w:rsidR="00312C5C" w:rsidRPr="004A3983">
        <w:rPr>
          <w:rFonts w:eastAsia="Arial Unicode MS" w:cs="Arial"/>
          <w:color w:val="000000"/>
        </w:rPr>
        <w:t>. It also submitted that the Model Litigant Policy ‘does not impose a legally enforceable duty’,</w:t>
      </w:r>
      <w:r w:rsidR="00562323" w:rsidRPr="004A3983">
        <w:rPr>
          <w:rStyle w:val="FootnoteReference"/>
          <w:rFonts w:eastAsia="Arial Unicode MS" w:cs="Arial"/>
          <w:color w:val="000000"/>
        </w:rPr>
        <w:footnoteReference w:id="237"/>
      </w:r>
      <w:r w:rsidR="00312C5C" w:rsidRPr="004A3983">
        <w:rPr>
          <w:rFonts w:eastAsia="Arial Unicode MS" w:cs="Arial"/>
          <w:color w:val="000000"/>
        </w:rPr>
        <w:t xml:space="preserve"> although it accepted it is an ‘ethical’ standard that ‘will be relevant to the exercise of judicial discretions regarding costs</w:t>
      </w:r>
      <w:r w:rsidR="001631D0" w:rsidRPr="004A3983">
        <w:rPr>
          <w:rFonts w:eastAsia="Arial Unicode MS" w:cs="Arial"/>
          <w:color w:val="000000"/>
        </w:rPr>
        <w:t>’.</w:t>
      </w:r>
      <w:r w:rsidR="00312C5C" w:rsidRPr="004A3983">
        <w:rPr>
          <w:rStyle w:val="FootnoteReference"/>
          <w:rFonts w:eastAsia="Arial Unicode MS" w:cs="Arial"/>
          <w:color w:val="000000"/>
        </w:rPr>
        <w:footnoteReference w:id="238"/>
      </w:r>
      <w:r w:rsidR="00312C5C" w:rsidRPr="004A3983">
        <w:rPr>
          <w:rFonts w:eastAsia="Arial Unicode MS" w:cs="Arial"/>
          <w:color w:val="000000"/>
        </w:rPr>
        <w:t xml:space="preserve"> </w:t>
      </w:r>
    </w:p>
    <w:p w14:paraId="419EBE13" w14:textId="4A10F17B" w:rsidR="00312C5C" w:rsidRPr="004A3983" w:rsidRDefault="00312C5C" w:rsidP="00DB76B0">
      <w:pPr>
        <w:spacing w:after="160"/>
        <w:rPr>
          <w:rFonts w:ascii="Gotham Book" w:eastAsia="Arial Unicode MS" w:hAnsi="Gotham Book" w:cs="Arial"/>
          <w:color w:val="000000"/>
        </w:rPr>
      </w:pPr>
      <w:r w:rsidRPr="004A3983">
        <w:rPr>
          <w:rFonts w:ascii="Gotham Book" w:eastAsia="Arial Unicode MS" w:hAnsi="Gotham Book" w:cs="Arial"/>
          <w:color w:val="000000"/>
        </w:rPr>
        <w:t xml:space="preserve">The NSW Police Force </w:t>
      </w:r>
      <w:r w:rsidR="006932EA" w:rsidRPr="004A3983">
        <w:rPr>
          <w:rFonts w:ascii="Gotham Book" w:eastAsia="Arial Unicode MS" w:hAnsi="Gotham Book" w:cs="Arial"/>
          <w:color w:val="000000"/>
        </w:rPr>
        <w:t xml:space="preserve">in its response </w:t>
      </w:r>
      <w:r w:rsidRPr="004A3983">
        <w:rPr>
          <w:rFonts w:ascii="Gotham Book" w:eastAsia="Arial Unicode MS" w:hAnsi="Gotham Book" w:cs="Arial"/>
          <w:color w:val="000000"/>
        </w:rPr>
        <w:t xml:space="preserve">also </w:t>
      </w:r>
      <w:r w:rsidR="00D340CF" w:rsidRPr="004A3983">
        <w:rPr>
          <w:rFonts w:ascii="Gotham Book" w:eastAsia="Arial Unicode MS" w:hAnsi="Gotham Book" w:cs="Arial"/>
          <w:color w:val="000000"/>
        </w:rPr>
        <w:t xml:space="preserve">referred to the fact that Griffith CJ’s comments in </w:t>
      </w:r>
      <w:r w:rsidR="00D340CF" w:rsidRPr="004A3983">
        <w:rPr>
          <w:rFonts w:ascii="Gotham Book" w:eastAsia="Arial Unicode MS" w:hAnsi="Gotham Book" w:cs="Arial"/>
          <w:i/>
          <w:color w:val="000000"/>
        </w:rPr>
        <w:t>Melbourne Steamship</w:t>
      </w:r>
      <w:r w:rsidR="00D340CF" w:rsidRPr="004A3983">
        <w:rPr>
          <w:rFonts w:ascii="Gotham Book" w:eastAsia="Arial Unicode MS" w:hAnsi="Gotham Book" w:cs="Arial"/>
          <w:color w:val="000000"/>
        </w:rPr>
        <w:t xml:space="preserve"> and Heydon J’s comments in </w:t>
      </w:r>
      <w:r w:rsidR="00D340CF" w:rsidRPr="004A3983">
        <w:rPr>
          <w:rFonts w:ascii="Gotham Book" w:hAnsi="Gotham Book" w:cs="ArialMT"/>
          <w:i/>
        </w:rPr>
        <w:t>Australian Securities and Investments Commission v Hellicar</w:t>
      </w:r>
      <w:r w:rsidR="00D340CF" w:rsidRPr="004A3983">
        <w:rPr>
          <w:rFonts w:ascii="Gotham Book" w:hAnsi="Gotham Book" w:cs="ArialMT"/>
        </w:rPr>
        <w:t xml:space="preserve"> </w:t>
      </w:r>
      <w:r w:rsidR="006932EA" w:rsidRPr="004A3983">
        <w:rPr>
          <w:rFonts w:ascii="Gotham Book" w:hAnsi="Gotham Book" w:cs="ArialMT"/>
        </w:rPr>
        <w:t>related to decisions made in the prosecution of a criminal matter and a civil matter respectively. It stated:</w:t>
      </w:r>
    </w:p>
    <w:p w14:paraId="5814C7C7" w14:textId="08388295" w:rsidR="00312C5C" w:rsidRPr="004A3983" w:rsidRDefault="00312C5C" w:rsidP="00344C05">
      <w:pPr>
        <w:pStyle w:val="Quotesmall1cm"/>
        <w:rPr>
          <w:lang w:eastAsia="en-AU"/>
        </w:rPr>
      </w:pPr>
      <w:r w:rsidRPr="004A3983">
        <w:rPr>
          <w:lang w:eastAsia="en-AU"/>
        </w:rPr>
        <w:t xml:space="preserve">We consider that universal principles of fairness and doing the right thing, supported by the statement of values in section 7 of the </w:t>
      </w:r>
      <w:r w:rsidRPr="004A3983">
        <w:rPr>
          <w:i/>
          <w:iCs/>
          <w:lang w:eastAsia="en-AU"/>
        </w:rPr>
        <w:t xml:space="preserve">Police Act 1990 </w:t>
      </w:r>
      <w:r w:rsidRPr="004A3983">
        <w:rPr>
          <w:lang w:eastAsia="en-AU"/>
        </w:rPr>
        <w:t xml:space="preserve">and the NSWPF Code of Conduct are the relevant guiding principles rather than the Model Litigant Policy and the GSE Act. We do not agree with the implication in...the report that the NSWPF has </w:t>
      </w:r>
      <w:r w:rsidRPr="004A3983">
        <w:rPr>
          <w:lang w:eastAsia="en-AU"/>
        </w:rPr>
        <w:lastRenderedPageBreak/>
        <w:t>any obligation at law to notify affected persons of errors on</w:t>
      </w:r>
      <w:r w:rsidR="001751A8" w:rsidRPr="004A3983">
        <w:rPr>
          <w:lang w:eastAsia="en-AU"/>
        </w:rPr>
        <w:t xml:space="preserve"> </w:t>
      </w:r>
      <w:r w:rsidRPr="004A3983">
        <w:rPr>
          <w:lang w:eastAsia="en-AU"/>
        </w:rPr>
        <w:t>the register, as opposed to an ethical duty.</w:t>
      </w:r>
      <w:r w:rsidR="006932EA" w:rsidRPr="004A3983">
        <w:rPr>
          <w:rStyle w:val="FootnoteReference"/>
          <w:rFonts w:eastAsia="Times New Roman" w:cs="Times New Roman"/>
          <w:color w:val="000000"/>
          <w:lang w:eastAsia="en-AU"/>
        </w:rPr>
        <w:footnoteReference w:id="239"/>
      </w:r>
    </w:p>
    <w:p w14:paraId="3F6986C7" w14:textId="51F6D97B" w:rsidR="00666B03" w:rsidRPr="004A3983" w:rsidRDefault="004C4645" w:rsidP="00E46758">
      <w:pPr>
        <w:pStyle w:val="Heading2"/>
        <w:spacing w:after="160"/>
        <w:ind w:right="-2"/>
      </w:pPr>
      <w:bookmarkStart w:id="258" w:name="_Toc22627776"/>
      <w:r w:rsidRPr="004A3983">
        <w:t>Commission’s analysis</w:t>
      </w:r>
      <w:bookmarkEnd w:id="258"/>
    </w:p>
    <w:p w14:paraId="39366C7F" w14:textId="2BF3B7D4" w:rsidR="00F32432" w:rsidRPr="004A3983" w:rsidRDefault="00272C35" w:rsidP="00D270C0">
      <w:pPr>
        <w:autoSpaceDE w:val="0"/>
        <w:autoSpaceDN w:val="0"/>
        <w:adjustRightInd w:val="0"/>
        <w:spacing w:after="160"/>
        <w:ind w:right="-2"/>
      </w:pPr>
      <w:r w:rsidRPr="004A3983">
        <w:t>T</w:t>
      </w:r>
      <w:r w:rsidR="0085793D" w:rsidRPr="004A3983">
        <w:t xml:space="preserve">he evidence provided </w:t>
      </w:r>
      <w:r w:rsidR="00D87719" w:rsidRPr="004A3983">
        <w:t>to the Commission clearly shows</w:t>
      </w:r>
      <w:r w:rsidR="002F4C08" w:rsidRPr="004A3983">
        <w:t xml:space="preserve"> that </w:t>
      </w:r>
      <w:r w:rsidR="00486B22" w:rsidRPr="004A3983">
        <w:t xml:space="preserve">in July 2016 </w:t>
      </w:r>
      <w:r w:rsidR="006F60C1" w:rsidRPr="004A3983">
        <w:t>the NSW Police Forc</w:t>
      </w:r>
      <w:r w:rsidR="00486B22" w:rsidRPr="004A3983">
        <w:t xml:space="preserve">e </w:t>
      </w:r>
      <w:r w:rsidR="00C7322C" w:rsidRPr="004A3983">
        <w:t>carefully</w:t>
      </w:r>
      <w:r w:rsidR="00BB7C7F" w:rsidRPr="004A3983">
        <w:t xml:space="preserve"> </w:t>
      </w:r>
      <w:r w:rsidR="0085793D" w:rsidRPr="004A3983">
        <w:t>limit</w:t>
      </w:r>
      <w:r w:rsidR="00C7322C" w:rsidRPr="004A3983">
        <w:t>ed</w:t>
      </w:r>
      <w:r w:rsidR="0085793D" w:rsidRPr="004A3983">
        <w:t xml:space="preserve"> the information </w:t>
      </w:r>
      <w:r w:rsidR="00C7322C" w:rsidRPr="004A3983">
        <w:t xml:space="preserve">that was </w:t>
      </w:r>
      <w:r w:rsidR="0085793D" w:rsidRPr="004A3983">
        <w:t>disclose</w:t>
      </w:r>
      <w:r w:rsidR="00C7322C" w:rsidRPr="004A3983">
        <w:t>d</w:t>
      </w:r>
      <w:r w:rsidR="0085793D" w:rsidRPr="004A3983">
        <w:t xml:space="preserve"> to persons who</w:t>
      </w:r>
      <w:r w:rsidR="00C7322C" w:rsidRPr="004A3983">
        <w:t>m</w:t>
      </w:r>
      <w:r w:rsidR="0085793D" w:rsidRPr="004A3983">
        <w:t xml:space="preserve"> it knew had been subjected to unlawful </w:t>
      </w:r>
      <w:r w:rsidR="00A32A3B" w:rsidRPr="004A3983">
        <w:t xml:space="preserve">or unjust </w:t>
      </w:r>
      <w:r w:rsidR="0085793D" w:rsidRPr="004A3983">
        <w:t>actions as a re</w:t>
      </w:r>
      <w:r w:rsidR="00591410" w:rsidRPr="004A3983">
        <w:t>sult of errors in the Register</w:t>
      </w:r>
      <w:r w:rsidR="00D05B0E" w:rsidRPr="004A3983">
        <w:t>.</w:t>
      </w:r>
      <w:r w:rsidR="002F4C08" w:rsidRPr="004A3983">
        <w:t xml:space="preserve"> </w:t>
      </w:r>
    </w:p>
    <w:p w14:paraId="00EFA6B0" w14:textId="61AF2EE1" w:rsidR="00D87719" w:rsidRPr="004A3983" w:rsidRDefault="002F4C08" w:rsidP="00D270C0">
      <w:pPr>
        <w:autoSpaceDE w:val="0"/>
        <w:autoSpaceDN w:val="0"/>
        <w:adjustRightInd w:val="0"/>
        <w:spacing w:after="160"/>
        <w:ind w:right="-2"/>
      </w:pPr>
      <w:r w:rsidRPr="004A3983">
        <w:t>T</w:t>
      </w:r>
      <w:r w:rsidR="00DA0031" w:rsidRPr="004A3983">
        <w:t>his approach</w:t>
      </w:r>
      <w:r w:rsidR="00486B22" w:rsidRPr="004A3983">
        <w:t xml:space="preserve"> </w:t>
      </w:r>
      <w:r w:rsidR="00DA0031" w:rsidRPr="004A3983">
        <w:t>was adopted</w:t>
      </w:r>
      <w:r w:rsidR="00486B22" w:rsidRPr="004A3983">
        <w:t xml:space="preserve"> </w:t>
      </w:r>
      <w:r w:rsidR="00BD7DAB" w:rsidRPr="004A3983">
        <w:t>on</w:t>
      </w:r>
      <w:r w:rsidR="00A93B02" w:rsidRPr="004A3983">
        <w:t xml:space="preserve"> </w:t>
      </w:r>
      <w:r w:rsidR="00BD7DAB" w:rsidRPr="004A3983">
        <w:t xml:space="preserve">the </w:t>
      </w:r>
      <w:r w:rsidR="00486B22" w:rsidRPr="004A3983">
        <w:t xml:space="preserve">advice </w:t>
      </w:r>
      <w:r w:rsidR="00FB74FC" w:rsidRPr="004A3983">
        <w:t>of</w:t>
      </w:r>
      <w:r w:rsidR="00883C65" w:rsidRPr="004A3983">
        <w:t xml:space="preserve"> two lawyers</w:t>
      </w:r>
      <w:r w:rsidR="00D87719" w:rsidRPr="004A3983">
        <w:t xml:space="preserve"> in the OGC</w:t>
      </w:r>
      <w:r w:rsidR="004F755B" w:rsidRPr="004A3983">
        <w:t xml:space="preserve"> (the OGC solicitor and the Manager in the OGC)</w:t>
      </w:r>
      <w:r w:rsidRPr="004A3983">
        <w:t xml:space="preserve">. </w:t>
      </w:r>
      <w:r w:rsidR="00A43BF9" w:rsidRPr="004A3983">
        <w:t>It</w:t>
      </w:r>
      <w:r w:rsidRPr="004A3983">
        <w:t xml:space="preserve"> was</w:t>
      </w:r>
      <w:r w:rsidR="00A43BF9" w:rsidRPr="004A3983">
        <w:t xml:space="preserve"> designed</w:t>
      </w:r>
      <w:r w:rsidRPr="004A3983">
        <w:t xml:space="preserve"> </w:t>
      </w:r>
      <w:r w:rsidR="00C32AF3" w:rsidRPr="004A3983">
        <w:t xml:space="preserve">to </w:t>
      </w:r>
      <w:r w:rsidR="00A43BF9" w:rsidRPr="004A3983">
        <w:t xml:space="preserve">avoid or, at least, </w:t>
      </w:r>
      <w:r w:rsidR="00C32AF3" w:rsidRPr="004A3983">
        <w:t>minimise</w:t>
      </w:r>
      <w:r w:rsidRPr="004A3983">
        <w:t xml:space="preserve"> the risk of civil claims </w:t>
      </w:r>
      <w:r w:rsidR="00D87719" w:rsidRPr="004A3983">
        <w:t>being made against the NSW Police Force</w:t>
      </w:r>
      <w:r w:rsidR="00F32432" w:rsidRPr="004A3983">
        <w:t xml:space="preserve">, as well as </w:t>
      </w:r>
      <w:r w:rsidR="00543318" w:rsidRPr="004A3983">
        <w:t xml:space="preserve">to </w:t>
      </w:r>
      <w:r w:rsidR="00F32432" w:rsidRPr="004A3983">
        <w:t>avo</w:t>
      </w:r>
      <w:r w:rsidR="00543318" w:rsidRPr="004A3983">
        <w:t>id</w:t>
      </w:r>
      <w:r w:rsidR="00F32432" w:rsidRPr="004A3983">
        <w:t xml:space="preserve"> adverse media publicity</w:t>
      </w:r>
      <w:r w:rsidR="00D87719" w:rsidRPr="004A3983">
        <w:t>.</w:t>
      </w:r>
      <w:r w:rsidR="00A129C7" w:rsidRPr="004A3983">
        <w:t xml:space="preserve"> Those lawyers in the </w:t>
      </w:r>
      <w:r w:rsidR="00BD7DAB" w:rsidRPr="004A3983">
        <w:t>OG</w:t>
      </w:r>
      <w:r w:rsidR="00A43BF9" w:rsidRPr="004A3983">
        <w:t>C</w:t>
      </w:r>
      <w:r w:rsidR="00BD7DAB" w:rsidRPr="004A3983">
        <w:t xml:space="preserve"> adopted the role of approving the draft/template letters to </w:t>
      </w:r>
      <w:r w:rsidR="00FF1F5F" w:rsidRPr="004A3983">
        <w:t>be sent</w:t>
      </w:r>
      <w:r w:rsidR="00BD7DAB" w:rsidRPr="004A3983">
        <w:t xml:space="preserve"> </w:t>
      </w:r>
      <w:r w:rsidR="00FF1F5F" w:rsidRPr="004A3983">
        <w:t>to persons affected by the errors in the Register, to ensure the l</w:t>
      </w:r>
      <w:r w:rsidR="00ED4341" w:rsidRPr="004A3983">
        <w:t>etters did not ‘admit’ any more than</w:t>
      </w:r>
      <w:r w:rsidR="00DD2917" w:rsidRPr="004A3983">
        <w:t xml:space="preserve"> they ‘</w:t>
      </w:r>
      <w:r w:rsidR="0025457E" w:rsidRPr="004A3983">
        <w:t>ha</w:t>
      </w:r>
      <w:r w:rsidR="003124C2" w:rsidRPr="004A3983">
        <w:t>[d]</w:t>
      </w:r>
      <w:r w:rsidR="00DD2917" w:rsidRPr="004A3983">
        <w:t xml:space="preserve"> to’</w:t>
      </w:r>
      <w:r w:rsidR="00FF1F5F" w:rsidRPr="004A3983">
        <w:t>.</w:t>
      </w:r>
    </w:p>
    <w:p w14:paraId="6528D6E8" w14:textId="59BCE12F" w:rsidR="00544A38" w:rsidRPr="004A3983" w:rsidRDefault="00BC4F32" w:rsidP="00D270C0">
      <w:pPr>
        <w:spacing w:after="160"/>
        <w:ind w:right="-2"/>
        <w:rPr>
          <w:rFonts w:ascii="Gotham Book" w:hAnsi="Gotham Book"/>
        </w:rPr>
      </w:pPr>
      <w:r w:rsidRPr="004A3983">
        <w:rPr>
          <w:rFonts w:ascii="Gotham Book" w:hAnsi="Gotham Book"/>
        </w:rPr>
        <w:t>The advice</w:t>
      </w:r>
      <w:r w:rsidR="00C32AF3" w:rsidRPr="004A3983">
        <w:rPr>
          <w:rFonts w:ascii="Gotham Book" w:hAnsi="Gotham Book"/>
        </w:rPr>
        <w:t xml:space="preserve"> to limit the information in the letters, and therefore the</w:t>
      </w:r>
      <w:r w:rsidRPr="004A3983">
        <w:rPr>
          <w:rFonts w:ascii="Gotham Book" w:hAnsi="Gotham Book"/>
        </w:rPr>
        <w:t xml:space="preserve"> </w:t>
      </w:r>
      <w:r w:rsidR="00C46B9D" w:rsidRPr="004A3983">
        <w:rPr>
          <w:rFonts w:ascii="Gotham Book" w:hAnsi="Gotham Book"/>
        </w:rPr>
        <w:t>approach</w:t>
      </w:r>
      <w:r w:rsidR="00C32AF3" w:rsidRPr="004A3983">
        <w:rPr>
          <w:rFonts w:ascii="Gotham Book" w:hAnsi="Gotham Book"/>
        </w:rPr>
        <w:t xml:space="preserve"> </w:t>
      </w:r>
      <w:r w:rsidR="00C46B9D" w:rsidRPr="004A3983">
        <w:rPr>
          <w:rFonts w:ascii="Gotham Book" w:hAnsi="Gotham Book"/>
        </w:rPr>
        <w:t>adopted on</w:t>
      </w:r>
      <w:r w:rsidR="00C32AF3" w:rsidRPr="004A3983">
        <w:rPr>
          <w:rFonts w:ascii="Gotham Book" w:hAnsi="Gotham Book"/>
        </w:rPr>
        <w:t xml:space="preserve"> the basis of that advice,</w:t>
      </w:r>
      <w:r w:rsidR="00F91DB2" w:rsidRPr="004A3983">
        <w:rPr>
          <w:rFonts w:ascii="Gotham Book" w:hAnsi="Gotham Book"/>
        </w:rPr>
        <w:t xml:space="preserve"> </w:t>
      </w:r>
      <w:r w:rsidR="001A5976" w:rsidRPr="004A3983">
        <w:rPr>
          <w:rFonts w:ascii="Gotham Book" w:hAnsi="Gotham Book"/>
        </w:rPr>
        <w:t xml:space="preserve">is </w:t>
      </w:r>
      <w:r w:rsidR="00F50284" w:rsidRPr="004A3983">
        <w:rPr>
          <w:rFonts w:ascii="Gotham Book" w:hAnsi="Gotham Book"/>
        </w:rPr>
        <w:t>a significant breach of</w:t>
      </w:r>
      <w:r w:rsidRPr="004A3983">
        <w:rPr>
          <w:rFonts w:ascii="Gotham Book" w:hAnsi="Gotham Book"/>
        </w:rPr>
        <w:t xml:space="preserve"> the </w:t>
      </w:r>
      <w:r w:rsidR="00544A38" w:rsidRPr="004A3983">
        <w:rPr>
          <w:rFonts w:ascii="Gotham Book" w:hAnsi="Gotham Book"/>
        </w:rPr>
        <w:t xml:space="preserve">ethical </w:t>
      </w:r>
      <w:r w:rsidRPr="004A3983">
        <w:rPr>
          <w:rFonts w:ascii="Gotham Book" w:hAnsi="Gotham Book"/>
        </w:rPr>
        <w:t>obligation on the NSW Police Force, as a public authority, to deal fairly with members of the public. The NSW Police Force knew that it had made error</w:t>
      </w:r>
      <w:r w:rsidR="00D87719" w:rsidRPr="004A3983">
        <w:rPr>
          <w:rFonts w:ascii="Gotham Book" w:hAnsi="Gotham Book"/>
        </w:rPr>
        <w:t xml:space="preserve">s in administering the Register. It knew that people </w:t>
      </w:r>
      <w:r w:rsidRPr="004A3983">
        <w:rPr>
          <w:rFonts w:ascii="Gotham Book" w:hAnsi="Gotham Book"/>
        </w:rPr>
        <w:t>had bee</w:t>
      </w:r>
      <w:r w:rsidR="00C32AF3" w:rsidRPr="004A3983">
        <w:rPr>
          <w:rFonts w:ascii="Gotham Book" w:hAnsi="Gotham Book"/>
        </w:rPr>
        <w:t xml:space="preserve">n subjected to unlawful </w:t>
      </w:r>
      <w:r w:rsidR="00A32A3B" w:rsidRPr="004A3983">
        <w:rPr>
          <w:rFonts w:ascii="Gotham Book" w:hAnsi="Gotham Book"/>
        </w:rPr>
        <w:t xml:space="preserve">or unjust </w:t>
      </w:r>
      <w:r w:rsidR="00C32AF3" w:rsidRPr="004A3983">
        <w:rPr>
          <w:rFonts w:ascii="Gotham Book" w:hAnsi="Gotham Book"/>
        </w:rPr>
        <w:t xml:space="preserve">actions, and in some cases </w:t>
      </w:r>
      <w:r w:rsidR="00722D38" w:rsidRPr="004A3983">
        <w:rPr>
          <w:rFonts w:ascii="Gotham Book" w:hAnsi="Gotham Book"/>
        </w:rPr>
        <w:t>even wrongful convictions and</w:t>
      </w:r>
      <w:r w:rsidR="00C32AF3" w:rsidRPr="004A3983">
        <w:rPr>
          <w:rFonts w:ascii="Gotham Book" w:hAnsi="Gotham Book"/>
        </w:rPr>
        <w:t xml:space="preserve"> imprisonment,</w:t>
      </w:r>
      <w:r w:rsidRPr="004A3983">
        <w:rPr>
          <w:rFonts w:ascii="Gotham Book" w:hAnsi="Gotham Book"/>
        </w:rPr>
        <w:t xml:space="preserve"> as a result of those errors</w:t>
      </w:r>
      <w:r w:rsidR="00D87719" w:rsidRPr="004A3983">
        <w:rPr>
          <w:rFonts w:ascii="Gotham Book" w:hAnsi="Gotham Book"/>
        </w:rPr>
        <w:t>. It was aware that those persons</w:t>
      </w:r>
      <w:r w:rsidRPr="004A3983">
        <w:rPr>
          <w:rFonts w:ascii="Gotham Book" w:hAnsi="Gotham Book"/>
        </w:rPr>
        <w:t xml:space="preserve"> would likely </w:t>
      </w:r>
      <w:r w:rsidR="00D87719" w:rsidRPr="004A3983">
        <w:rPr>
          <w:rFonts w:ascii="Gotham Book" w:hAnsi="Gotham Book"/>
        </w:rPr>
        <w:t xml:space="preserve">have </w:t>
      </w:r>
      <w:r w:rsidR="00A43BF9" w:rsidRPr="004A3983">
        <w:rPr>
          <w:rFonts w:ascii="Gotham Book" w:hAnsi="Gotham Book"/>
        </w:rPr>
        <w:t xml:space="preserve">at least </w:t>
      </w:r>
      <w:r w:rsidR="00D87719" w:rsidRPr="004A3983">
        <w:rPr>
          <w:rFonts w:ascii="Gotham Book" w:hAnsi="Gotham Book"/>
        </w:rPr>
        <w:t>a basis for a civil claim</w:t>
      </w:r>
      <w:r w:rsidR="00832779" w:rsidRPr="004A3983">
        <w:rPr>
          <w:rFonts w:ascii="Gotham Book" w:hAnsi="Gotham Book"/>
        </w:rPr>
        <w:t xml:space="preserve"> because of its own conduct</w:t>
      </w:r>
      <w:r w:rsidR="00D87719" w:rsidRPr="004A3983">
        <w:rPr>
          <w:rFonts w:ascii="Gotham Book" w:hAnsi="Gotham Book"/>
        </w:rPr>
        <w:t xml:space="preserve">. </w:t>
      </w:r>
    </w:p>
    <w:p w14:paraId="14EB2C82" w14:textId="199E2482" w:rsidR="002A6040" w:rsidRPr="004A3983" w:rsidRDefault="00D87719" w:rsidP="00D270C0">
      <w:pPr>
        <w:spacing w:after="160"/>
        <w:ind w:right="-2"/>
        <w:rPr>
          <w:rFonts w:ascii="Gotham Book" w:hAnsi="Gotham Book"/>
        </w:rPr>
      </w:pPr>
      <w:r w:rsidRPr="004A3983">
        <w:rPr>
          <w:rFonts w:ascii="Gotham Book" w:hAnsi="Gotham Book"/>
        </w:rPr>
        <w:t xml:space="preserve">The </w:t>
      </w:r>
      <w:r w:rsidR="005C1E1A" w:rsidRPr="004A3983">
        <w:rPr>
          <w:rFonts w:ascii="Gotham Book" w:hAnsi="Gotham Book"/>
        </w:rPr>
        <w:t xml:space="preserve">OGC lawyers’ </w:t>
      </w:r>
      <w:r w:rsidRPr="004A3983">
        <w:rPr>
          <w:rFonts w:ascii="Gotham Book" w:hAnsi="Gotham Book"/>
        </w:rPr>
        <w:t>advice an</w:t>
      </w:r>
      <w:r w:rsidR="004F75D7" w:rsidRPr="004A3983">
        <w:rPr>
          <w:rFonts w:ascii="Gotham Book" w:hAnsi="Gotham Book"/>
        </w:rPr>
        <w:t>d the consequent decisions made</w:t>
      </w:r>
      <w:r w:rsidR="00C31686" w:rsidRPr="004A3983">
        <w:rPr>
          <w:rFonts w:ascii="Gotham Book" w:hAnsi="Gotham Book"/>
        </w:rPr>
        <w:t xml:space="preserve"> </w:t>
      </w:r>
      <w:r w:rsidR="00F91DB2" w:rsidRPr="004A3983">
        <w:rPr>
          <w:rFonts w:ascii="Gotham Book" w:hAnsi="Gotham Book"/>
        </w:rPr>
        <w:t xml:space="preserve">to </w:t>
      </w:r>
      <w:r w:rsidR="00A43BF9" w:rsidRPr="004A3983">
        <w:rPr>
          <w:rFonts w:ascii="Gotham Book" w:hAnsi="Gotham Book"/>
        </w:rPr>
        <w:t>censor</w:t>
      </w:r>
      <w:r w:rsidR="00F91DB2" w:rsidRPr="004A3983">
        <w:rPr>
          <w:rFonts w:ascii="Gotham Book" w:hAnsi="Gotham Book"/>
        </w:rPr>
        <w:t xml:space="preserve"> the information </w:t>
      </w:r>
      <w:r w:rsidR="00CC5ABC" w:rsidRPr="004A3983">
        <w:rPr>
          <w:rFonts w:ascii="Gotham Book" w:hAnsi="Gotham Book"/>
        </w:rPr>
        <w:t xml:space="preserve">to </w:t>
      </w:r>
      <w:r w:rsidR="00F91DB2" w:rsidRPr="004A3983">
        <w:rPr>
          <w:rFonts w:ascii="Gotham Book" w:hAnsi="Gotham Book"/>
        </w:rPr>
        <w:t xml:space="preserve">give </w:t>
      </w:r>
      <w:r w:rsidR="00C31686" w:rsidRPr="004A3983">
        <w:rPr>
          <w:rFonts w:ascii="Gotham Book" w:hAnsi="Gotham Book"/>
        </w:rPr>
        <w:t>to these persons</w:t>
      </w:r>
      <w:r w:rsidR="00A43BF9" w:rsidRPr="004A3983">
        <w:rPr>
          <w:rFonts w:ascii="Gotham Book" w:hAnsi="Gotham Book"/>
        </w:rPr>
        <w:t xml:space="preserve"> and </w:t>
      </w:r>
      <w:r w:rsidR="00F91DB2" w:rsidRPr="004A3983">
        <w:rPr>
          <w:rFonts w:ascii="Gotham Book" w:hAnsi="Gotham Book"/>
        </w:rPr>
        <w:t xml:space="preserve">not </w:t>
      </w:r>
      <w:r w:rsidR="00CC5ABC" w:rsidRPr="004A3983">
        <w:rPr>
          <w:rFonts w:ascii="Gotham Book" w:hAnsi="Gotham Book"/>
        </w:rPr>
        <w:t xml:space="preserve">to </w:t>
      </w:r>
      <w:r w:rsidR="00A43BF9" w:rsidRPr="004A3983">
        <w:rPr>
          <w:rFonts w:ascii="Gotham Book" w:hAnsi="Gotham Book"/>
        </w:rPr>
        <w:t>disclose</w:t>
      </w:r>
      <w:r w:rsidRPr="004A3983">
        <w:rPr>
          <w:rFonts w:ascii="Gotham Book" w:hAnsi="Gotham Book"/>
        </w:rPr>
        <w:t xml:space="preserve"> what had </w:t>
      </w:r>
      <w:r w:rsidR="00A43BF9" w:rsidRPr="004A3983">
        <w:rPr>
          <w:rFonts w:ascii="Gotham Book" w:hAnsi="Gotham Book"/>
        </w:rPr>
        <w:t xml:space="preserve">actually </w:t>
      </w:r>
      <w:r w:rsidRPr="004A3983">
        <w:rPr>
          <w:rFonts w:ascii="Gotham Book" w:hAnsi="Gotham Book"/>
        </w:rPr>
        <w:t>happened in their case</w:t>
      </w:r>
      <w:r w:rsidR="006A1B7C" w:rsidRPr="004A3983">
        <w:rPr>
          <w:rFonts w:ascii="Gotham Book" w:hAnsi="Gotham Book"/>
        </w:rPr>
        <w:t>s</w:t>
      </w:r>
      <w:r w:rsidRPr="004A3983">
        <w:rPr>
          <w:rFonts w:ascii="Gotham Book" w:hAnsi="Gotham Book"/>
        </w:rPr>
        <w:t xml:space="preserve"> </w:t>
      </w:r>
      <w:r w:rsidR="00A43BF9" w:rsidRPr="004A3983">
        <w:rPr>
          <w:rFonts w:ascii="Gotham Book" w:hAnsi="Gotham Book"/>
        </w:rPr>
        <w:t>was designed to save face and, if possible, avoid the leg</w:t>
      </w:r>
      <w:r w:rsidR="00DC475D" w:rsidRPr="004A3983">
        <w:rPr>
          <w:rFonts w:ascii="Gotham Book" w:hAnsi="Gotham Book"/>
        </w:rPr>
        <w:t>al liability of the State of New South Wales</w:t>
      </w:r>
      <w:r w:rsidR="00C32AF3" w:rsidRPr="004A3983">
        <w:rPr>
          <w:rFonts w:ascii="Gotham Book" w:hAnsi="Gotham Book"/>
        </w:rPr>
        <w:t xml:space="preserve">, rather than </w:t>
      </w:r>
      <w:r w:rsidR="004F75D7" w:rsidRPr="004A3983">
        <w:rPr>
          <w:rFonts w:ascii="Gotham Book" w:hAnsi="Gotham Book"/>
        </w:rPr>
        <w:t xml:space="preserve">serve </w:t>
      </w:r>
      <w:r w:rsidR="000B7278" w:rsidRPr="004A3983">
        <w:rPr>
          <w:rFonts w:ascii="Gotham Book" w:hAnsi="Gotham Book"/>
        </w:rPr>
        <w:t xml:space="preserve">the </w:t>
      </w:r>
      <w:r w:rsidR="00C32AF3" w:rsidRPr="004A3983">
        <w:rPr>
          <w:rFonts w:ascii="Gotham Book" w:hAnsi="Gotham Book"/>
        </w:rPr>
        <w:t>public interest</w:t>
      </w:r>
      <w:r w:rsidR="00F91DB2" w:rsidRPr="004A3983">
        <w:rPr>
          <w:rFonts w:ascii="Gotham Book" w:hAnsi="Gotham Book"/>
        </w:rPr>
        <w:t xml:space="preserve">. </w:t>
      </w:r>
      <w:r w:rsidR="0077293D" w:rsidRPr="004A3983">
        <w:rPr>
          <w:rFonts w:ascii="Gotham Book" w:hAnsi="Gotham Book"/>
        </w:rPr>
        <w:t xml:space="preserve">As the </w:t>
      </w:r>
      <w:r w:rsidR="00B4394D" w:rsidRPr="004A3983">
        <w:rPr>
          <w:rFonts w:ascii="Gotham Book" w:hAnsi="Gotham Book"/>
        </w:rPr>
        <w:t>standards</w:t>
      </w:r>
      <w:r w:rsidR="0077293D" w:rsidRPr="004A3983">
        <w:rPr>
          <w:rFonts w:ascii="Gotham Book" w:hAnsi="Gotham Book"/>
        </w:rPr>
        <w:t xml:space="preserve"> expressed by the courts, Parliament, </w:t>
      </w:r>
      <w:r w:rsidR="00397FDD" w:rsidRPr="004A3983">
        <w:rPr>
          <w:rFonts w:ascii="Gotham Book" w:hAnsi="Gotham Book"/>
        </w:rPr>
        <w:t>and</w:t>
      </w:r>
      <w:r w:rsidR="0077293D" w:rsidRPr="004A3983">
        <w:rPr>
          <w:rFonts w:ascii="Gotham Book" w:hAnsi="Gotham Book"/>
        </w:rPr>
        <w:t xml:space="preserve"> the Government make clear, t</w:t>
      </w:r>
      <w:r w:rsidR="00F91DB2" w:rsidRPr="004A3983">
        <w:rPr>
          <w:rFonts w:ascii="Gotham Book" w:hAnsi="Gotham Book"/>
        </w:rPr>
        <w:t xml:space="preserve">he public interest </w:t>
      </w:r>
      <w:r w:rsidR="00B4394D" w:rsidRPr="004A3983">
        <w:rPr>
          <w:rFonts w:ascii="Gotham Book" w:hAnsi="Gotham Book"/>
        </w:rPr>
        <w:t>will require</w:t>
      </w:r>
      <w:r w:rsidR="003B6F58" w:rsidRPr="004A3983">
        <w:rPr>
          <w:rFonts w:ascii="Gotham Book" w:hAnsi="Gotham Book"/>
        </w:rPr>
        <w:t xml:space="preserve"> </w:t>
      </w:r>
      <w:r w:rsidR="00B4394D" w:rsidRPr="004A3983">
        <w:rPr>
          <w:rFonts w:ascii="Gotham Book" w:hAnsi="Gotham Book"/>
        </w:rPr>
        <w:t>a public authority</w:t>
      </w:r>
      <w:r w:rsidR="003B6F58" w:rsidRPr="004A3983">
        <w:rPr>
          <w:rFonts w:ascii="Gotham Book" w:hAnsi="Gotham Book"/>
        </w:rPr>
        <w:t xml:space="preserve"> </w:t>
      </w:r>
      <w:r w:rsidR="00F50284" w:rsidRPr="004A3983">
        <w:rPr>
          <w:rFonts w:ascii="Gotham Book" w:hAnsi="Gotham Book"/>
        </w:rPr>
        <w:t>to acknowledge</w:t>
      </w:r>
      <w:r w:rsidR="003B6F58" w:rsidRPr="004A3983">
        <w:rPr>
          <w:rFonts w:ascii="Gotham Book" w:hAnsi="Gotham Book"/>
        </w:rPr>
        <w:t xml:space="preserve"> when</w:t>
      </w:r>
      <w:r w:rsidR="00F91DB2" w:rsidRPr="004A3983">
        <w:rPr>
          <w:rFonts w:ascii="Gotham Book" w:hAnsi="Gotham Book"/>
        </w:rPr>
        <w:t xml:space="preserve"> </w:t>
      </w:r>
      <w:r w:rsidR="003B6F58" w:rsidRPr="004A3983">
        <w:rPr>
          <w:rFonts w:ascii="Gotham Book" w:hAnsi="Gotham Book"/>
        </w:rPr>
        <w:t xml:space="preserve">it has engaged in </w:t>
      </w:r>
      <w:r w:rsidR="00F91DB2" w:rsidRPr="004A3983">
        <w:rPr>
          <w:rFonts w:ascii="Gotham Book" w:hAnsi="Gotham Book"/>
        </w:rPr>
        <w:t>conduct</w:t>
      </w:r>
      <w:r w:rsidR="003B6F58" w:rsidRPr="004A3983">
        <w:rPr>
          <w:rFonts w:ascii="Gotham Book" w:hAnsi="Gotham Book"/>
        </w:rPr>
        <w:t xml:space="preserve"> against </w:t>
      </w:r>
      <w:r w:rsidR="00B4394D" w:rsidRPr="004A3983">
        <w:rPr>
          <w:rFonts w:ascii="Gotham Book" w:hAnsi="Gotham Book"/>
        </w:rPr>
        <w:t>members of the public</w:t>
      </w:r>
      <w:r w:rsidR="003B6F58" w:rsidRPr="004A3983">
        <w:rPr>
          <w:rFonts w:ascii="Gotham Book" w:hAnsi="Gotham Book"/>
        </w:rPr>
        <w:t xml:space="preserve"> which it knows was unlawful</w:t>
      </w:r>
      <w:r w:rsidR="00A32A3B" w:rsidRPr="004A3983">
        <w:rPr>
          <w:rFonts w:ascii="Gotham Book" w:hAnsi="Gotham Book"/>
        </w:rPr>
        <w:t xml:space="preserve"> or unjust</w:t>
      </w:r>
      <w:r w:rsidR="003B6F58" w:rsidRPr="004A3983">
        <w:rPr>
          <w:rFonts w:ascii="Gotham Book" w:hAnsi="Gotham Book"/>
        </w:rPr>
        <w:t>, particularly where this has resulted in</w:t>
      </w:r>
      <w:r w:rsidR="00F91DB2" w:rsidRPr="004A3983">
        <w:rPr>
          <w:rFonts w:ascii="Gotham Book" w:hAnsi="Gotham Book"/>
        </w:rPr>
        <w:t xml:space="preserve"> wrongfu</w:t>
      </w:r>
      <w:r w:rsidR="003B6F58" w:rsidRPr="004A3983">
        <w:rPr>
          <w:rFonts w:ascii="Gotham Book" w:hAnsi="Gotham Book"/>
        </w:rPr>
        <w:t>l convictions and imprisonment.</w:t>
      </w:r>
      <w:r w:rsidR="00F50284" w:rsidRPr="004A3983">
        <w:rPr>
          <w:rFonts w:ascii="Gotham Book" w:hAnsi="Gotham Book"/>
        </w:rPr>
        <w:t xml:space="preserve"> All this is apart from the duty to ap</w:t>
      </w:r>
      <w:r w:rsidR="00501730" w:rsidRPr="004A3983">
        <w:rPr>
          <w:rFonts w:ascii="Gotham Book" w:hAnsi="Gotham Book"/>
        </w:rPr>
        <w:t xml:space="preserve">ologise to those injured by </w:t>
      </w:r>
      <w:r w:rsidR="00F50284" w:rsidRPr="004A3983">
        <w:rPr>
          <w:rFonts w:ascii="Gotham Book" w:hAnsi="Gotham Book"/>
        </w:rPr>
        <w:t>mistakes that have been made.</w:t>
      </w:r>
    </w:p>
    <w:p w14:paraId="59BB9AA2" w14:textId="203F24D5" w:rsidR="00E962B7" w:rsidRPr="004A3983" w:rsidRDefault="008E2C49" w:rsidP="00570649">
      <w:pPr>
        <w:autoSpaceDE w:val="0"/>
        <w:autoSpaceDN w:val="0"/>
        <w:adjustRightInd w:val="0"/>
        <w:spacing w:after="160"/>
        <w:ind w:right="-2"/>
      </w:pPr>
      <w:r w:rsidRPr="004A3983">
        <w:t>The Commission is inclined to think</w:t>
      </w:r>
      <w:r w:rsidR="00E962B7" w:rsidRPr="004A3983">
        <w:t xml:space="preserve"> that the</w:t>
      </w:r>
      <w:r w:rsidR="00F9381E" w:rsidRPr="004A3983">
        <w:t xml:space="preserve"> two</w:t>
      </w:r>
      <w:r w:rsidR="00E962B7" w:rsidRPr="004A3983">
        <w:t xml:space="preserve"> lawyers in the OGC were </w:t>
      </w:r>
      <w:r w:rsidRPr="004A3983">
        <w:t xml:space="preserve">unfortunately </w:t>
      </w:r>
      <w:r w:rsidR="00E962B7" w:rsidRPr="004A3983">
        <w:t xml:space="preserve">unaware of the obligations of the State when its agencies have acted unlawfully. If, on the other hand, </w:t>
      </w:r>
      <w:r w:rsidRPr="004A3983">
        <w:t>they</w:t>
      </w:r>
      <w:r w:rsidR="00E962B7" w:rsidRPr="004A3983">
        <w:t xml:space="preserve"> were aware of these obligations but chose to ignore them, the position </w:t>
      </w:r>
      <w:r w:rsidRPr="004A3983">
        <w:t>i</w:t>
      </w:r>
      <w:r w:rsidR="00E962B7" w:rsidRPr="004A3983">
        <w:t>s far more serious. For the purposes of this report, the Commission is content to act on the former basis, leaving to a later occasion investigation of the latter</w:t>
      </w:r>
      <w:r w:rsidR="003713C1" w:rsidRPr="004A3983">
        <w:t xml:space="preserve"> (should it regrettably</w:t>
      </w:r>
      <w:r w:rsidRPr="004A3983">
        <w:t xml:space="preserve"> arise)</w:t>
      </w:r>
      <w:r w:rsidR="00E962B7" w:rsidRPr="004A3983">
        <w:t>.</w:t>
      </w:r>
    </w:p>
    <w:p w14:paraId="6EC28BA1" w14:textId="5795A2C5" w:rsidR="009479A4" w:rsidRPr="004A3983" w:rsidRDefault="00AC22A9" w:rsidP="005E2ECC">
      <w:pPr>
        <w:spacing w:after="160"/>
        <w:ind w:right="-2"/>
        <w:rPr>
          <w:rFonts w:ascii="Gotham Book" w:hAnsi="Gotham Book" w:cs="Arial"/>
        </w:rPr>
      </w:pPr>
      <w:r w:rsidRPr="004A3983">
        <w:rPr>
          <w:rFonts w:ascii="Gotham Book" w:hAnsi="Gotham Book" w:cs="Arial"/>
        </w:rPr>
        <w:t>T</w:t>
      </w:r>
      <w:r w:rsidR="002A6618" w:rsidRPr="004A3983">
        <w:rPr>
          <w:rFonts w:ascii="Gotham Book" w:hAnsi="Gotham Book" w:cs="Arial"/>
        </w:rPr>
        <w:t>he advice given by the</w:t>
      </w:r>
      <w:r w:rsidR="0038485D" w:rsidRPr="004A3983">
        <w:rPr>
          <w:rFonts w:ascii="Gotham Book" w:hAnsi="Gotham Book" w:cs="Arial"/>
        </w:rPr>
        <w:t xml:space="preserve"> two</w:t>
      </w:r>
      <w:r w:rsidR="002A6618" w:rsidRPr="004A3983">
        <w:rPr>
          <w:rFonts w:ascii="Gotham Book" w:hAnsi="Gotham Book" w:cs="Arial"/>
        </w:rPr>
        <w:t xml:space="preserve"> </w:t>
      </w:r>
      <w:r w:rsidR="000A5FAD" w:rsidRPr="004A3983">
        <w:rPr>
          <w:rFonts w:ascii="Gotham Book" w:hAnsi="Gotham Book" w:cs="Arial"/>
        </w:rPr>
        <w:t>lawyers</w:t>
      </w:r>
      <w:r w:rsidR="002A6618" w:rsidRPr="004A3983">
        <w:rPr>
          <w:rFonts w:ascii="Gotham Book" w:hAnsi="Gotham Book" w:cs="Arial"/>
        </w:rPr>
        <w:t xml:space="preserve"> in the OGC about what to say to persons </w:t>
      </w:r>
      <w:r w:rsidR="001A5976" w:rsidRPr="004A3983">
        <w:rPr>
          <w:rFonts w:ascii="Gotham Book" w:hAnsi="Gotham Book" w:cs="Arial"/>
        </w:rPr>
        <w:t xml:space="preserve">that </w:t>
      </w:r>
      <w:r w:rsidR="002A6618" w:rsidRPr="004A3983">
        <w:rPr>
          <w:rFonts w:ascii="Gotham Book" w:hAnsi="Gotham Book" w:cs="Arial"/>
        </w:rPr>
        <w:t xml:space="preserve">the NSW Police Force knew it had wronged involved fundamental questions of policy, with strategic significance for the NSW Police Force as an agency. </w:t>
      </w:r>
      <w:r w:rsidR="009479A4" w:rsidRPr="004A3983">
        <w:rPr>
          <w:rFonts w:ascii="Gotham Book" w:hAnsi="Gotham Book" w:cs="Arial"/>
        </w:rPr>
        <w:t>The Commission has not received any evidence</w:t>
      </w:r>
      <w:r w:rsidR="00881EC6" w:rsidRPr="004A3983">
        <w:rPr>
          <w:rFonts w:ascii="Gotham Book" w:hAnsi="Gotham Book" w:cs="Arial"/>
        </w:rPr>
        <w:t xml:space="preserve"> to suggest that the OGC solicitor or the Manager in the OGC</w:t>
      </w:r>
      <w:r w:rsidR="009479A4" w:rsidRPr="004A3983">
        <w:rPr>
          <w:rFonts w:ascii="Gotham Book" w:hAnsi="Gotham Book" w:cs="Arial"/>
        </w:rPr>
        <w:t xml:space="preserve"> </w:t>
      </w:r>
      <w:r w:rsidR="006873DF" w:rsidRPr="004A3983">
        <w:rPr>
          <w:rFonts w:ascii="Gotham Book" w:hAnsi="Gotham Book" w:cs="Arial"/>
        </w:rPr>
        <w:t>consulted with</w:t>
      </w:r>
      <w:r w:rsidR="009479A4" w:rsidRPr="004A3983">
        <w:rPr>
          <w:rFonts w:ascii="Gotham Book" w:hAnsi="Gotham Book" w:cs="Arial"/>
        </w:rPr>
        <w:t xml:space="preserve"> more senior staff in the OGC, or senior officers in </w:t>
      </w:r>
      <w:r w:rsidR="009479A4" w:rsidRPr="004A3983">
        <w:rPr>
          <w:rFonts w:ascii="Gotham Book" w:hAnsi="Gotham Book" w:cs="Arial"/>
        </w:rPr>
        <w:lastRenderedPageBreak/>
        <w:t>the NSW Police Force hierarchy</w:t>
      </w:r>
      <w:r w:rsidR="006873DF" w:rsidRPr="004A3983">
        <w:rPr>
          <w:rFonts w:ascii="Gotham Book" w:hAnsi="Gotham Book" w:cs="Arial"/>
        </w:rPr>
        <w:t xml:space="preserve"> (</w:t>
      </w:r>
      <w:r w:rsidR="009479A4" w:rsidRPr="004A3983">
        <w:rPr>
          <w:rFonts w:ascii="Gotham Book" w:hAnsi="Gotham Book" w:cs="Arial"/>
        </w:rPr>
        <w:t>for example, in the Office of the Commissioner of Police</w:t>
      </w:r>
      <w:r w:rsidR="006873DF" w:rsidRPr="004A3983">
        <w:rPr>
          <w:rFonts w:ascii="Gotham Book" w:hAnsi="Gotham Book" w:cs="Arial"/>
        </w:rPr>
        <w:t>)</w:t>
      </w:r>
      <w:r w:rsidR="009479A4" w:rsidRPr="004A3983">
        <w:rPr>
          <w:rFonts w:ascii="Gotham Book" w:hAnsi="Gotham Book" w:cs="Arial"/>
        </w:rPr>
        <w:t xml:space="preserve">, prior to giving the advice regarding the content of the letters. </w:t>
      </w:r>
    </w:p>
    <w:p w14:paraId="2E785547" w14:textId="48DB260D" w:rsidR="00111682" w:rsidRPr="004A3983" w:rsidRDefault="0061314E" w:rsidP="00D270C0">
      <w:pPr>
        <w:spacing w:after="160"/>
        <w:ind w:right="-2"/>
        <w:rPr>
          <w:rFonts w:ascii="Gotham Book" w:hAnsi="Gotham Book" w:cs="Arial"/>
        </w:rPr>
      </w:pPr>
      <w:r w:rsidRPr="004A3983">
        <w:rPr>
          <w:rFonts w:ascii="Gotham Book" w:hAnsi="Gotham Book" w:cs="Arial"/>
        </w:rPr>
        <w:t xml:space="preserve">As noted above, General Counsel stated to the Commission that she was not involved in the development of the letters, and was not aware of the advice given by </w:t>
      </w:r>
      <w:r w:rsidR="003619F5" w:rsidRPr="004A3983">
        <w:rPr>
          <w:rFonts w:ascii="Gotham Book" w:hAnsi="Gotham Book" w:cs="Arial"/>
        </w:rPr>
        <w:t xml:space="preserve">the two </w:t>
      </w:r>
      <w:r w:rsidRPr="004A3983">
        <w:rPr>
          <w:rFonts w:ascii="Gotham Book" w:hAnsi="Gotham Book" w:cs="Arial"/>
        </w:rPr>
        <w:t xml:space="preserve">lawyers in her office about the content of the letters. </w:t>
      </w:r>
      <w:r w:rsidR="006873DF" w:rsidRPr="004A3983">
        <w:rPr>
          <w:rFonts w:ascii="Gotham Book" w:hAnsi="Gotham Book" w:cs="Arial"/>
        </w:rPr>
        <w:t xml:space="preserve">She </w:t>
      </w:r>
      <w:r w:rsidR="007F3959" w:rsidRPr="004A3983">
        <w:rPr>
          <w:rFonts w:ascii="Gotham Book" w:hAnsi="Gotham Book" w:cs="Arial"/>
        </w:rPr>
        <w:t xml:space="preserve">stated that the letters should have been provided by her staff to the chain of command for approval, which would have included herself, the Assistant Commissioner for the State Crime Command and relevant Deputy Commissioners. </w:t>
      </w:r>
      <w:r w:rsidR="004C3927" w:rsidRPr="004A3983">
        <w:rPr>
          <w:rFonts w:ascii="Gotham Book" w:hAnsi="Gotham Book" w:cs="Arial"/>
        </w:rPr>
        <w:t>She stated that this is ‘the usual process for significant matters’ in the NSW Police Force.</w:t>
      </w:r>
    </w:p>
    <w:p w14:paraId="297F6939" w14:textId="4A2164F2" w:rsidR="004C3927" w:rsidRPr="004A3983" w:rsidRDefault="004C3927" w:rsidP="00D270C0">
      <w:pPr>
        <w:spacing w:after="160"/>
        <w:ind w:right="-2"/>
        <w:rPr>
          <w:rFonts w:ascii="Gotham Book" w:hAnsi="Gotham Book" w:cs="Arial"/>
        </w:rPr>
      </w:pPr>
      <w:r w:rsidRPr="004A3983">
        <w:rPr>
          <w:rFonts w:ascii="Gotham Book" w:hAnsi="Gotham Book" w:cs="Arial"/>
        </w:rPr>
        <w:t xml:space="preserve">General Counsel </w:t>
      </w:r>
      <w:r w:rsidR="00097B75" w:rsidRPr="004A3983">
        <w:rPr>
          <w:rFonts w:ascii="Gotham Book" w:hAnsi="Gotham Book" w:cs="Arial"/>
        </w:rPr>
        <w:t xml:space="preserve">stated that although she was not aware </w:t>
      </w:r>
      <w:r w:rsidR="00101BC7" w:rsidRPr="004A3983">
        <w:rPr>
          <w:rFonts w:ascii="Gotham Book" w:hAnsi="Gotham Book" w:cs="Arial"/>
        </w:rPr>
        <w:t xml:space="preserve">in 2016 </w:t>
      </w:r>
      <w:r w:rsidR="00097B75" w:rsidRPr="004A3983">
        <w:rPr>
          <w:rFonts w:ascii="Gotham Book" w:hAnsi="Gotham Book" w:cs="Arial"/>
        </w:rPr>
        <w:t xml:space="preserve">of the contents of the emails from her staff and the letters, </w:t>
      </w:r>
      <w:r w:rsidR="002E0A96" w:rsidRPr="004A3983">
        <w:rPr>
          <w:rFonts w:ascii="Gotham Book" w:hAnsi="Gotham Book" w:cs="Arial"/>
        </w:rPr>
        <w:t xml:space="preserve">she took </w:t>
      </w:r>
      <w:r w:rsidR="00097B75" w:rsidRPr="004A3983">
        <w:rPr>
          <w:rFonts w:ascii="Gotham Book" w:hAnsi="Gotham Book" w:cs="Arial"/>
        </w:rPr>
        <w:t>responsibili</w:t>
      </w:r>
      <w:r w:rsidR="002E0A96" w:rsidRPr="004A3983">
        <w:rPr>
          <w:rFonts w:ascii="Gotham Book" w:hAnsi="Gotham Book" w:cs="Arial"/>
        </w:rPr>
        <w:t>ty for the advice provided by her</w:t>
      </w:r>
      <w:r w:rsidR="00097B75" w:rsidRPr="004A3983">
        <w:rPr>
          <w:rFonts w:ascii="Gotham Book" w:hAnsi="Gotham Book" w:cs="Arial"/>
        </w:rPr>
        <w:t xml:space="preserve"> staff and the quality review processes within </w:t>
      </w:r>
      <w:r w:rsidR="003619F5" w:rsidRPr="004A3983">
        <w:rPr>
          <w:rFonts w:ascii="Gotham Book" w:hAnsi="Gotham Book" w:cs="Arial"/>
        </w:rPr>
        <w:t xml:space="preserve">the </w:t>
      </w:r>
      <w:r w:rsidR="00097B75" w:rsidRPr="004A3983">
        <w:rPr>
          <w:rFonts w:ascii="Gotham Book" w:hAnsi="Gotham Book" w:cs="Arial"/>
        </w:rPr>
        <w:t xml:space="preserve">OGC. </w:t>
      </w:r>
      <w:r w:rsidR="00AB2C99" w:rsidRPr="004A3983">
        <w:rPr>
          <w:rFonts w:ascii="Gotham Book" w:hAnsi="Gotham Book" w:cs="Arial"/>
        </w:rPr>
        <w:t xml:space="preserve">She </w:t>
      </w:r>
      <w:r w:rsidR="00594BFE" w:rsidRPr="004A3983">
        <w:rPr>
          <w:rFonts w:ascii="Gotham Book" w:hAnsi="Gotham Book" w:cs="Arial"/>
        </w:rPr>
        <w:t xml:space="preserve">informed the </w:t>
      </w:r>
      <w:r w:rsidR="00AB2C99" w:rsidRPr="004A3983">
        <w:rPr>
          <w:rFonts w:ascii="Gotham Book" w:hAnsi="Gotham Book" w:cs="Arial"/>
        </w:rPr>
        <w:t>Commission</w:t>
      </w:r>
      <w:r w:rsidR="002E0A96" w:rsidRPr="004A3983">
        <w:rPr>
          <w:rFonts w:ascii="Gotham Book" w:hAnsi="Gotham Book" w:cs="Arial"/>
        </w:rPr>
        <w:t xml:space="preserve"> that she had ‘</w:t>
      </w:r>
      <w:r w:rsidR="00995BB5" w:rsidRPr="004A3983">
        <w:rPr>
          <w:rFonts w:ascii="Gotham Book" w:hAnsi="Gotham Book" w:cs="Arial"/>
        </w:rPr>
        <w:t>provided additional direction to my direct reports to ensure that there is a shared understanding of the nature of the advice that must be provided to Directors by their direct reports for approval and advice that must be provided to me for appro</w:t>
      </w:r>
      <w:r w:rsidR="007C46C3" w:rsidRPr="004A3983">
        <w:rPr>
          <w:rFonts w:ascii="Gotham Book" w:hAnsi="Gotham Book" w:cs="Arial"/>
        </w:rPr>
        <w:t>val</w:t>
      </w:r>
      <w:r w:rsidR="00995BB5" w:rsidRPr="004A3983">
        <w:rPr>
          <w:rFonts w:ascii="Gotham Book" w:hAnsi="Gotham Book" w:cs="Arial"/>
        </w:rPr>
        <w:t>’</w:t>
      </w:r>
      <w:r w:rsidR="007C46C3" w:rsidRPr="004A3983">
        <w:rPr>
          <w:rFonts w:ascii="Gotham Book" w:hAnsi="Gotham Book" w:cs="Arial"/>
        </w:rPr>
        <w:t>.</w:t>
      </w:r>
      <w:r w:rsidR="00AA34B7" w:rsidRPr="004A3983">
        <w:rPr>
          <w:rStyle w:val="FootnoteReference"/>
          <w:rFonts w:ascii="Gotham Book" w:hAnsi="Gotham Book" w:cs="ArialMT"/>
        </w:rPr>
        <w:footnoteReference w:id="240"/>
      </w:r>
    </w:p>
    <w:p w14:paraId="6CB90EBF" w14:textId="3334C232" w:rsidR="00570649" w:rsidRPr="004A3983" w:rsidRDefault="003B6F58" w:rsidP="00D270C0">
      <w:pPr>
        <w:spacing w:after="160"/>
        <w:ind w:right="-2"/>
        <w:rPr>
          <w:rFonts w:ascii="Gotham Book" w:hAnsi="Gotham Book"/>
        </w:rPr>
      </w:pPr>
      <w:r w:rsidRPr="004A3983">
        <w:rPr>
          <w:rFonts w:ascii="Gotham Book" w:hAnsi="Gotham Book"/>
        </w:rPr>
        <w:t xml:space="preserve">The Commission acknowledges that the NSW Police Force </w:t>
      </w:r>
      <w:r w:rsidR="00BC0BCD" w:rsidRPr="004A3983">
        <w:rPr>
          <w:rFonts w:ascii="Gotham Book" w:hAnsi="Gotham Book"/>
        </w:rPr>
        <w:t>did act</w:t>
      </w:r>
      <w:r w:rsidRPr="004A3983">
        <w:rPr>
          <w:rFonts w:ascii="Gotham Book" w:hAnsi="Gotham Book"/>
        </w:rPr>
        <w:t xml:space="preserve"> to correct the criminal records of persons who it realised had been wrongly convicted under the CPOR Act, by apply</w:t>
      </w:r>
      <w:r w:rsidR="001A5976" w:rsidRPr="004A3983">
        <w:rPr>
          <w:rFonts w:ascii="Gotham Book" w:hAnsi="Gotham Book"/>
        </w:rPr>
        <w:t>ing to the courts or</w:t>
      </w:r>
      <w:r w:rsidR="00AA053A" w:rsidRPr="004A3983">
        <w:rPr>
          <w:rFonts w:ascii="Gotham Book" w:hAnsi="Gotham Book"/>
        </w:rPr>
        <w:t xml:space="preserve"> the Department of Justice for annulments. But the initiation of those annulment processes did not satisfy the </w:t>
      </w:r>
      <w:r w:rsidR="00B443EE" w:rsidRPr="004A3983">
        <w:rPr>
          <w:rFonts w:ascii="Gotham Book" w:hAnsi="Gotham Book"/>
        </w:rPr>
        <w:t xml:space="preserve">ethical </w:t>
      </w:r>
      <w:r w:rsidR="00EF0C83" w:rsidRPr="004A3983">
        <w:rPr>
          <w:rFonts w:ascii="Gotham Book" w:hAnsi="Gotham Book"/>
        </w:rPr>
        <w:t xml:space="preserve">and public policy </w:t>
      </w:r>
      <w:r w:rsidR="00AA053A" w:rsidRPr="004A3983">
        <w:rPr>
          <w:rFonts w:ascii="Gotham Book" w:hAnsi="Gotham Book"/>
        </w:rPr>
        <w:t xml:space="preserve">obligation </w:t>
      </w:r>
      <w:r w:rsidR="004469E2" w:rsidRPr="004A3983">
        <w:rPr>
          <w:rFonts w:ascii="Gotham Book" w:hAnsi="Gotham Book"/>
        </w:rPr>
        <w:t xml:space="preserve">on the NSW Police Force </w:t>
      </w:r>
      <w:r w:rsidR="00AA053A" w:rsidRPr="004A3983">
        <w:rPr>
          <w:rFonts w:ascii="Gotham Book" w:hAnsi="Gotham Book"/>
        </w:rPr>
        <w:t xml:space="preserve">to inform those persons </w:t>
      </w:r>
      <w:r w:rsidR="00EF0C83" w:rsidRPr="004A3983">
        <w:rPr>
          <w:rFonts w:ascii="Gotham Book" w:hAnsi="Gotham Book"/>
        </w:rPr>
        <w:t xml:space="preserve">candidly </w:t>
      </w:r>
      <w:r w:rsidR="00AA053A" w:rsidRPr="004A3983">
        <w:rPr>
          <w:rFonts w:ascii="Gotham Book" w:hAnsi="Gotham Book"/>
        </w:rPr>
        <w:t>about the errors that had been made in their cases</w:t>
      </w:r>
      <w:r w:rsidR="008E58C9" w:rsidRPr="004A3983">
        <w:rPr>
          <w:rFonts w:ascii="Gotham Book" w:hAnsi="Gotham Book"/>
        </w:rPr>
        <w:t xml:space="preserve">, once </w:t>
      </w:r>
      <w:r w:rsidR="004469E2" w:rsidRPr="004A3983">
        <w:rPr>
          <w:rFonts w:ascii="Gotham Book" w:hAnsi="Gotham Book"/>
        </w:rPr>
        <w:t>it</w:t>
      </w:r>
      <w:r w:rsidR="00BC0BCD" w:rsidRPr="004A3983">
        <w:rPr>
          <w:rFonts w:ascii="Gotham Book" w:hAnsi="Gotham Book"/>
        </w:rPr>
        <w:t xml:space="preserve"> had identified those errors</w:t>
      </w:r>
      <w:r w:rsidR="00AA053A" w:rsidRPr="004A3983">
        <w:rPr>
          <w:rFonts w:ascii="Gotham Book" w:hAnsi="Gotham Book"/>
        </w:rPr>
        <w:t xml:space="preserve">. </w:t>
      </w:r>
    </w:p>
    <w:p w14:paraId="1A7F451C" w14:textId="5103B671" w:rsidR="00570649" w:rsidRPr="004A3983" w:rsidRDefault="004469E2" w:rsidP="00D270C0">
      <w:pPr>
        <w:spacing w:after="160"/>
        <w:ind w:right="-2"/>
        <w:rPr>
          <w:rFonts w:ascii="Gotham Book" w:hAnsi="Gotham Book"/>
        </w:rPr>
      </w:pPr>
      <w:r w:rsidRPr="004A3983">
        <w:rPr>
          <w:rFonts w:ascii="Gotham Book" w:hAnsi="Gotham Book"/>
        </w:rPr>
        <w:t>T</w:t>
      </w:r>
      <w:r w:rsidR="002426BC" w:rsidRPr="004A3983">
        <w:rPr>
          <w:rFonts w:ascii="Gotham Book" w:hAnsi="Gotham Book"/>
        </w:rPr>
        <w:t xml:space="preserve">he Commission has reviewed </w:t>
      </w:r>
      <w:r w:rsidRPr="004A3983">
        <w:rPr>
          <w:rFonts w:ascii="Gotham Book" w:hAnsi="Gotham Book"/>
        </w:rPr>
        <w:t xml:space="preserve">documents in the court files of Mr </w:t>
      </w:r>
      <w:r w:rsidR="002426BC" w:rsidRPr="004A3983">
        <w:rPr>
          <w:rFonts w:ascii="Gotham Book" w:hAnsi="Gotham Book"/>
        </w:rPr>
        <w:t xml:space="preserve">DD, Mr </w:t>
      </w:r>
      <w:r w:rsidR="00D1434E" w:rsidRPr="004A3983">
        <w:rPr>
          <w:rFonts w:ascii="Gotham Book" w:hAnsi="Gotham Book"/>
        </w:rPr>
        <w:t>NN and Mr </w:t>
      </w:r>
      <w:r w:rsidRPr="004A3983">
        <w:rPr>
          <w:rFonts w:ascii="Gotham Book" w:hAnsi="Gotham Book"/>
        </w:rPr>
        <w:t>KK. There was no evidence in those files that those persons were notified through the annulment process</w:t>
      </w:r>
      <w:r w:rsidR="001669E3" w:rsidRPr="004A3983">
        <w:rPr>
          <w:rFonts w:ascii="Gotham Book" w:hAnsi="Gotham Book"/>
        </w:rPr>
        <w:t>es</w:t>
      </w:r>
      <w:r w:rsidRPr="004A3983">
        <w:rPr>
          <w:rFonts w:ascii="Gotham Book" w:hAnsi="Gotham Book"/>
        </w:rPr>
        <w:t xml:space="preserve"> that the reason for the</w:t>
      </w:r>
      <w:r w:rsidR="001669E3" w:rsidRPr="004A3983">
        <w:rPr>
          <w:rFonts w:ascii="Gotham Book" w:hAnsi="Gotham Book"/>
        </w:rPr>
        <w:t>ir convictions being</w:t>
      </w:r>
      <w:r w:rsidRPr="004A3983">
        <w:rPr>
          <w:rFonts w:ascii="Gotham Book" w:hAnsi="Gotham Book"/>
        </w:rPr>
        <w:t xml:space="preserve"> </w:t>
      </w:r>
      <w:r w:rsidR="001669E3" w:rsidRPr="004A3983">
        <w:rPr>
          <w:rFonts w:ascii="Gotham Book" w:hAnsi="Gotham Book"/>
        </w:rPr>
        <w:t>annulled</w:t>
      </w:r>
      <w:r w:rsidRPr="004A3983">
        <w:rPr>
          <w:rFonts w:ascii="Gotham Book" w:hAnsi="Gotham Book"/>
        </w:rPr>
        <w:t xml:space="preserve"> was because the NSW Police Force had made an error in determining that they were a registrable person (in the case</w:t>
      </w:r>
      <w:r w:rsidR="002426BC" w:rsidRPr="004A3983">
        <w:rPr>
          <w:rFonts w:ascii="Gotham Book" w:hAnsi="Gotham Book"/>
        </w:rPr>
        <w:t>s</w:t>
      </w:r>
      <w:r w:rsidRPr="004A3983">
        <w:rPr>
          <w:rFonts w:ascii="Gotham Book" w:hAnsi="Gotham Book"/>
        </w:rPr>
        <w:t xml:space="preserve"> of </w:t>
      </w:r>
      <w:r w:rsidR="002426BC" w:rsidRPr="004A3983">
        <w:rPr>
          <w:rFonts w:ascii="Gotham Book" w:hAnsi="Gotham Book"/>
        </w:rPr>
        <w:t xml:space="preserve">Mr DD and </w:t>
      </w:r>
      <w:r w:rsidRPr="004A3983">
        <w:rPr>
          <w:rFonts w:ascii="Gotham Book" w:hAnsi="Gotham Book"/>
        </w:rPr>
        <w:t xml:space="preserve">Mr NN) or in </w:t>
      </w:r>
      <w:r w:rsidR="00397D6A" w:rsidRPr="004A3983">
        <w:rPr>
          <w:rFonts w:ascii="Gotham Book" w:hAnsi="Gotham Book"/>
        </w:rPr>
        <w:t xml:space="preserve">calculating </w:t>
      </w:r>
      <w:r w:rsidRPr="004A3983">
        <w:rPr>
          <w:rFonts w:ascii="Gotham Book" w:hAnsi="Gotham Book"/>
        </w:rPr>
        <w:t xml:space="preserve">the length of their reporting period (in the case of Mr KK). </w:t>
      </w:r>
      <w:r w:rsidR="00AA053A" w:rsidRPr="004A3983">
        <w:rPr>
          <w:rFonts w:ascii="Gotham Book" w:hAnsi="Gotham Book"/>
        </w:rPr>
        <w:t xml:space="preserve">The Commission </w:t>
      </w:r>
      <w:r w:rsidR="0049519B" w:rsidRPr="004A3983">
        <w:rPr>
          <w:rFonts w:ascii="Gotham Book" w:hAnsi="Gotham Book"/>
        </w:rPr>
        <w:t xml:space="preserve">also </w:t>
      </w:r>
      <w:r w:rsidR="00AA053A" w:rsidRPr="004A3983">
        <w:rPr>
          <w:rFonts w:ascii="Gotham Book" w:hAnsi="Gotham Book"/>
        </w:rPr>
        <w:t>notes that i</w:t>
      </w:r>
      <w:r w:rsidR="00E96DBE" w:rsidRPr="004A3983">
        <w:rPr>
          <w:rFonts w:ascii="Gotham Book" w:hAnsi="Gotham Book"/>
        </w:rPr>
        <w:t>n the case of Mr DD</w:t>
      </w:r>
      <w:r w:rsidR="00AA053A" w:rsidRPr="004A3983">
        <w:rPr>
          <w:rFonts w:ascii="Gotham Book" w:hAnsi="Gotham Book"/>
        </w:rPr>
        <w:t xml:space="preserve">, almost </w:t>
      </w:r>
      <w:r w:rsidR="00BC0BCD" w:rsidRPr="004A3983">
        <w:rPr>
          <w:rFonts w:ascii="Gotham Book" w:hAnsi="Gotham Book"/>
        </w:rPr>
        <w:t xml:space="preserve">a year passed between the NSW Police Force sending him a </w:t>
      </w:r>
      <w:r w:rsidR="0071163B" w:rsidRPr="004A3983">
        <w:rPr>
          <w:rFonts w:ascii="Gotham Book" w:hAnsi="Gotham Book"/>
        </w:rPr>
        <w:t>(</w:t>
      </w:r>
      <w:r w:rsidR="00BC0BCD" w:rsidRPr="004A3983">
        <w:rPr>
          <w:rFonts w:ascii="Gotham Book" w:hAnsi="Gotham Book"/>
        </w:rPr>
        <w:t>misleading</w:t>
      </w:r>
      <w:r w:rsidR="0071163B" w:rsidRPr="004A3983">
        <w:rPr>
          <w:rFonts w:ascii="Gotham Book" w:hAnsi="Gotham Book"/>
        </w:rPr>
        <w:t>)</w:t>
      </w:r>
      <w:r w:rsidR="00397D6A" w:rsidRPr="004A3983">
        <w:rPr>
          <w:rFonts w:ascii="Gotham Book" w:hAnsi="Gotham Book"/>
        </w:rPr>
        <w:t xml:space="preserve"> letter on 27 July 2016 and </w:t>
      </w:r>
      <w:r w:rsidR="00BC0BCD" w:rsidRPr="004A3983">
        <w:rPr>
          <w:rFonts w:ascii="Gotham Book" w:hAnsi="Gotham Book"/>
        </w:rPr>
        <w:t>seeking an annulment on his wrongful convictions</w:t>
      </w:r>
      <w:r w:rsidR="00B90943" w:rsidRPr="004A3983">
        <w:rPr>
          <w:rFonts w:ascii="Gotham Book" w:hAnsi="Gotham Book"/>
        </w:rPr>
        <w:t xml:space="preserve"> in June 2017</w:t>
      </w:r>
      <w:r w:rsidR="00BC0BCD" w:rsidRPr="004A3983">
        <w:rPr>
          <w:rFonts w:ascii="Gotham Book" w:hAnsi="Gotham Book"/>
        </w:rPr>
        <w:t>.</w:t>
      </w:r>
      <w:r w:rsidR="00BC0BCD" w:rsidRPr="004A3983">
        <w:rPr>
          <w:rStyle w:val="FootnoteReference"/>
          <w:rFonts w:ascii="Gotham Book" w:hAnsi="Gotham Book"/>
        </w:rPr>
        <w:footnoteReference w:id="241"/>
      </w:r>
      <w:r w:rsidR="00BC0BCD" w:rsidRPr="004A3983">
        <w:rPr>
          <w:rFonts w:ascii="Gotham Book" w:hAnsi="Gotham Book"/>
        </w:rPr>
        <w:t xml:space="preserve"> </w:t>
      </w:r>
    </w:p>
    <w:p w14:paraId="3BA11DBD" w14:textId="54109E4D" w:rsidR="00443D45" w:rsidRPr="004A3983" w:rsidRDefault="00443D45" w:rsidP="00E46758">
      <w:pPr>
        <w:pStyle w:val="Heading2"/>
        <w:spacing w:after="160"/>
        <w:ind w:right="-2"/>
      </w:pPr>
      <w:bookmarkStart w:id="259" w:name="_Toc22627777"/>
      <w:r w:rsidRPr="004A3983">
        <w:t>Findings</w:t>
      </w:r>
      <w:bookmarkEnd w:id="259"/>
    </w:p>
    <w:p w14:paraId="7FC3F3F6" w14:textId="5CC4E033" w:rsidR="003F29A5" w:rsidRPr="004A3983" w:rsidRDefault="003F29A5" w:rsidP="00D270C0">
      <w:pPr>
        <w:spacing w:after="160"/>
        <w:ind w:right="-2"/>
        <w:rPr>
          <w:rFonts w:ascii="Gotham Book" w:hAnsi="Gotham Book"/>
        </w:rPr>
      </w:pPr>
      <w:r w:rsidRPr="004A3983">
        <w:rPr>
          <w:rFonts w:ascii="Gotham Book" w:hAnsi="Gotham Book"/>
        </w:rPr>
        <w:t>As the NSW Police Force properly acknowledges, t</w:t>
      </w:r>
      <w:r w:rsidR="00793612" w:rsidRPr="004A3983">
        <w:rPr>
          <w:rFonts w:ascii="Gotham Book" w:hAnsi="Gotham Book"/>
        </w:rPr>
        <w:t xml:space="preserve">he </w:t>
      </w:r>
      <w:r w:rsidRPr="004A3983">
        <w:rPr>
          <w:rFonts w:ascii="Gotham Book" w:hAnsi="Gotham Book"/>
        </w:rPr>
        <w:t xml:space="preserve">letters </w:t>
      </w:r>
      <w:r w:rsidR="00454D1A" w:rsidRPr="004A3983">
        <w:rPr>
          <w:rFonts w:ascii="Gotham Book" w:hAnsi="Gotham Book"/>
        </w:rPr>
        <w:t>it wrote</w:t>
      </w:r>
      <w:r w:rsidRPr="004A3983">
        <w:rPr>
          <w:rFonts w:ascii="Gotham Book" w:hAnsi="Gotham Book"/>
        </w:rPr>
        <w:t xml:space="preserve"> to Mr DD (dated 27 July 2016) and Mr NN (dated 23 May 2017) </w:t>
      </w:r>
      <w:r w:rsidR="0070334F" w:rsidRPr="004A3983">
        <w:rPr>
          <w:rFonts w:ascii="Gotham Book" w:hAnsi="Gotham Book"/>
        </w:rPr>
        <w:t xml:space="preserve">are misleading. </w:t>
      </w:r>
      <w:r w:rsidR="00793612" w:rsidRPr="004A3983">
        <w:rPr>
          <w:rFonts w:ascii="Gotham Book" w:hAnsi="Gotham Book"/>
        </w:rPr>
        <w:t xml:space="preserve">The letters stated that those persons were ‘no longer required to comply with your reporting obligations’, when the NSW Police Force was aware that those persons had never had any reporting obligations under the CPOR Act. </w:t>
      </w:r>
    </w:p>
    <w:p w14:paraId="39A1A27C" w14:textId="2787EBBB" w:rsidR="00793612" w:rsidRPr="004A3983" w:rsidRDefault="00793612" w:rsidP="00D270C0">
      <w:pPr>
        <w:spacing w:after="160"/>
        <w:ind w:right="-2"/>
        <w:rPr>
          <w:rFonts w:ascii="Gotham Book" w:hAnsi="Gotham Book"/>
        </w:rPr>
      </w:pPr>
      <w:r w:rsidRPr="004A3983">
        <w:rPr>
          <w:rFonts w:ascii="Gotham Book" w:hAnsi="Gotham Book"/>
        </w:rPr>
        <w:t xml:space="preserve">The letter the NSW Police Force wrote to Mr KK </w:t>
      </w:r>
      <w:r w:rsidR="00666966" w:rsidRPr="004A3983">
        <w:rPr>
          <w:rFonts w:ascii="Gotham Book" w:hAnsi="Gotham Book"/>
        </w:rPr>
        <w:t xml:space="preserve">on 16 March 2017 </w:t>
      </w:r>
      <w:r w:rsidRPr="004A3983">
        <w:rPr>
          <w:rFonts w:ascii="Gotham Book" w:hAnsi="Gotham Book"/>
        </w:rPr>
        <w:t xml:space="preserve">is </w:t>
      </w:r>
      <w:r w:rsidR="003F29A5" w:rsidRPr="004A3983">
        <w:rPr>
          <w:rFonts w:ascii="Gotham Book" w:hAnsi="Gotham Book"/>
        </w:rPr>
        <w:t xml:space="preserve">also </w:t>
      </w:r>
      <w:r w:rsidRPr="004A3983">
        <w:rPr>
          <w:rFonts w:ascii="Gotham Book" w:hAnsi="Gotham Book"/>
        </w:rPr>
        <w:t>misleading, as the NSW Police Force was aware</w:t>
      </w:r>
      <w:r w:rsidR="003B52FE" w:rsidRPr="004A3983">
        <w:rPr>
          <w:rFonts w:ascii="Gotham Book" w:hAnsi="Gotham Book"/>
        </w:rPr>
        <w:t>,</w:t>
      </w:r>
      <w:r w:rsidRPr="004A3983">
        <w:rPr>
          <w:rFonts w:ascii="Gotham Book" w:hAnsi="Gotham Book"/>
        </w:rPr>
        <w:t xml:space="preserve"> when writing that he was ‘no longer’ required to </w:t>
      </w:r>
      <w:r w:rsidRPr="004A3983">
        <w:rPr>
          <w:rFonts w:ascii="Gotham Book" w:hAnsi="Gotham Book"/>
        </w:rPr>
        <w:lastRenderedPageBreak/>
        <w:t>report in March 2017, that his reporting obligations had ceased more than three years prior to that date.</w:t>
      </w:r>
    </w:p>
    <w:p w14:paraId="14D51FA4" w14:textId="524C2A4B" w:rsidR="00796EE4" w:rsidRPr="004A3983" w:rsidRDefault="003B52FE" w:rsidP="00D270C0">
      <w:pPr>
        <w:autoSpaceDE w:val="0"/>
        <w:autoSpaceDN w:val="0"/>
        <w:adjustRightInd w:val="0"/>
        <w:spacing w:after="160"/>
        <w:ind w:right="-2"/>
        <w:rPr>
          <w:rFonts w:ascii="Gotham Book" w:hAnsi="Gotham Book"/>
        </w:rPr>
      </w:pPr>
      <w:r w:rsidRPr="004A3983">
        <w:t>W</w:t>
      </w:r>
      <w:r w:rsidR="0085793D" w:rsidRPr="004A3983">
        <w:t>e draw no conclusion as to whether the intent</w:t>
      </w:r>
      <w:r w:rsidR="007F7BC9" w:rsidRPr="004A3983">
        <w:t>ion behind the use of this language was to mislead these pe</w:t>
      </w:r>
      <w:r w:rsidRPr="004A3983">
        <w:t>rsons. However,</w:t>
      </w:r>
      <w:r w:rsidR="007F7BC9" w:rsidRPr="004A3983">
        <w:t xml:space="preserve"> the facts are that </w:t>
      </w:r>
      <w:r w:rsidR="001E031E" w:rsidRPr="004A3983">
        <w:rPr>
          <w:rFonts w:ascii="Gotham Book" w:hAnsi="Gotham Book"/>
        </w:rPr>
        <w:t xml:space="preserve">when those </w:t>
      </w:r>
      <w:r w:rsidR="00EF4589" w:rsidRPr="004A3983">
        <w:rPr>
          <w:rFonts w:ascii="Gotham Book" w:hAnsi="Gotham Book"/>
        </w:rPr>
        <w:t xml:space="preserve">letters were written the NSW Police Force </w:t>
      </w:r>
      <w:r w:rsidR="00C20648" w:rsidRPr="004A3983">
        <w:rPr>
          <w:rFonts w:ascii="Gotham Book" w:hAnsi="Gotham Book"/>
        </w:rPr>
        <w:t>was aware</w:t>
      </w:r>
      <w:r w:rsidR="001E031E" w:rsidRPr="004A3983">
        <w:rPr>
          <w:rFonts w:ascii="Gotham Book" w:hAnsi="Gotham Book"/>
        </w:rPr>
        <w:t xml:space="preserve"> it </w:t>
      </w:r>
      <w:r w:rsidR="00EF4589" w:rsidRPr="004A3983">
        <w:rPr>
          <w:rFonts w:ascii="Gotham Book" w:hAnsi="Gotham Book"/>
        </w:rPr>
        <w:t xml:space="preserve">had subjected those persons to unlawful reporting </w:t>
      </w:r>
      <w:r w:rsidR="00AB6542" w:rsidRPr="004A3983">
        <w:rPr>
          <w:rFonts w:ascii="Gotham Book" w:hAnsi="Gotham Book"/>
        </w:rPr>
        <w:t>requirement</w:t>
      </w:r>
      <w:r w:rsidR="00EF4589" w:rsidRPr="004A3983">
        <w:rPr>
          <w:rFonts w:ascii="Gotham Book" w:hAnsi="Gotham Book"/>
        </w:rPr>
        <w:t>s, and that they had been wrongly charged and convicted as a result. The effect of these letters was that recipients were given the impression that the CPOR Act had been properly applied to them, when this was not the case.</w:t>
      </w:r>
    </w:p>
    <w:p w14:paraId="280C9573" w14:textId="75DC6569" w:rsidR="007E5688" w:rsidRPr="004A3983" w:rsidRDefault="007E5688" w:rsidP="00D270C0">
      <w:pPr>
        <w:spacing w:after="160"/>
        <w:ind w:right="-2"/>
        <w:rPr>
          <w:rFonts w:ascii="Gotham Book" w:hAnsi="Gotham Book"/>
        </w:rPr>
      </w:pPr>
      <w:r w:rsidRPr="004A3983">
        <w:rPr>
          <w:rFonts w:ascii="Gotham Book" w:hAnsi="Gotham Book"/>
        </w:rPr>
        <w:t xml:space="preserve">The Commission finds that the </w:t>
      </w:r>
      <w:r w:rsidR="00727F90" w:rsidRPr="004A3983">
        <w:rPr>
          <w:rFonts w:ascii="Gotham Book" w:hAnsi="Gotham Book"/>
        </w:rPr>
        <w:t xml:space="preserve">decisions made by the </w:t>
      </w:r>
      <w:r w:rsidRPr="004A3983">
        <w:rPr>
          <w:rFonts w:ascii="Gotham Book" w:hAnsi="Gotham Book"/>
        </w:rPr>
        <w:t>NSW</w:t>
      </w:r>
      <w:r w:rsidR="00727F90" w:rsidRPr="004A3983">
        <w:rPr>
          <w:rFonts w:ascii="Gotham Book" w:hAnsi="Gotham Book"/>
        </w:rPr>
        <w:t xml:space="preserve"> Police Force</w:t>
      </w:r>
      <w:r w:rsidR="002D17C8" w:rsidRPr="004A3983">
        <w:rPr>
          <w:rFonts w:ascii="Gotham Book" w:hAnsi="Gotham Book"/>
        </w:rPr>
        <w:t xml:space="preserve"> to write</w:t>
      </w:r>
      <w:r w:rsidRPr="004A3983">
        <w:rPr>
          <w:rFonts w:ascii="Gotham Book" w:hAnsi="Gotham Book"/>
        </w:rPr>
        <w:t xml:space="preserve"> </w:t>
      </w:r>
      <w:r w:rsidR="008970E2" w:rsidRPr="004A3983">
        <w:rPr>
          <w:rFonts w:ascii="Gotham Book" w:hAnsi="Gotham Book"/>
        </w:rPr>
        <w:t xml:space="preserve">letters to Mr DD, Mr NN </w:t>
      </w:r>
      <w:r w:rsidRPr="004A3983">
        <w:rPr>
          <w:rFonts w:ascii="Gotham Book" w:hAnsi="Gotham Book"/>
        </w:rPr>
        <w:t xml:space="preserve">and Mr KK </w:t>
      </w:r>
      <w:r w:rsidR="002F456E" w:rsidRPr="004A3983">
        <w:rPr>
          <w:rFonts w:ascii="Gotham Book" w:hAnsi="Gotham Book"/>
        </w:rPr>
        <w:t xml:space="preserve">which were in </w:t>
      </w:r>
      <w:r w:rsidR="0057512E" w:rsidRPr="004A3983">
        <w:rPr>
          <w:rFonts w:ascii="Gotham Book" w:hAnsi="Gotham Book"/>
        </w:rPr>
        <w:t>effect</w:t>
      </w:r>
      <w:r w:rsidR="002F456E" w:rsidRPr="004A3983">
        <w:rPr>
          <w:rFonts w:ascii="Gotham Book" w:hAnsi="Gotham Book"/>
        </w:rPr>
        <w:t xml:space="preserve"> misleading</w:t>
      </w:r>
      <w:r w:rsidR="008411E1" w:rsidRPr="004A3983">
        <w:rPr>
          <w:rFonts w:ascii="Gotham Book" w:hAnsi="Gotham Book"/>
        </w:rPr>
        <w:t>,</w:t>
      </w:r>
      <w:r w:rsidR="002F456E" w:rsidRPr="004A3983">
        <w:rPr>
          <w:rFonts w:ascii="Gotham Book" w:hAnsi="Gotham Book"/>
        </w:rPr>
        <w:t xml:space="preserve"> </w:t>
      </w:r>
      <w:r w:rsidR="008411E1" w:rsidRPr="004A3983">
        <w:rPr>
          <w:rFonts w:ascii="Gotham Book" w:hAnsi="Gotham Book"/>
        </w:rPr>
        <w:t>constitutes conduct</w:t>
      </w:r>
      <w:r w:rsidRPr="004A3983">
        <w:rPr>
          <w:rFonts w:ascii="Gotham Book" w:hAnsi="Gotham Book"/>
        </w:rPr>
        <w:t xml:space="preserve"> </w:t>
      </w:r>
      <w:r w:rsidR="00C6400E" w:rsidRPr="004A3983">
        <w:rPr>
          <w:rFonts w:ascii="Gotham Book" w:hAnsi="Gotham Book"/>
        </w:rPr>
        <w:t xml:space="preserve">on the part of the agency </w:t>
      </w:r>
      <w:r w:rsidRPr="004A3983">
        <w:rPr>
          <w:rFonts w:ascii="Gotham Book" w:hAnsi="Gotham Book"/>
        </w:rPr>
        <w:t>that</w:t>
      </w:r>
      <w:r w:rsidR="00971BBC" w:rsidRPr="004A3983">
        <w:rPr>
          <w:rFonts w:ascii="Gotham Book" w:hAnsi="Gotham Book"/>
        </w:rPr>
        <w:t>, although not unlawful,</w:t>
      </w:r>
      <w:r w:rsidR="006F6D02" w:rsidRPr="004A3983">
        <w:rPr>
          <w:rFonts w:ascii="Gotham Book" w:hAnsi="Gotham Book"/>
        </w:rPr>
        <w:t xml:space="preserve"> wa</w:t>
      </w:r>
      <w:r w:rsidRPr="004A3983">
        <w:rPr>
          <w:rFonts w:ascii="Gotham Book" w:hAnsi="Gotham Book"/>
        </w:rPr>
        <w:t>s unrea</w:t>
      </w:r>
      <w:r w:rsidR="00EA0187" w:rsidRPr="004A3983">
        <w:rPr>
          <w:rFonts w:ascii="Gotham Book" w:hAnsi="Gotham Book"/>
        </w:rPr>
        <w:t>sonable or unjust in its effect.</w:t>
      </w:r>
      <w:r w:rsidR="00C6400E" w:rsidRPr="004A3983">
        <w:rPr>
          <w:rStyle w:val="FootnoteReference"/>
          <w:rFonts w:ascii="Gotham Book" w:hAnsi="Gotham Book"/>
        </w:rPr>
        <w:footnoteReference w:id="242"/>
      </w:r>
      <w:r w:rsidR="00EA0187" w:rsidRPr="004A3983">
        <w:rPr>
          <w:rFonts w:ascii="Gotham Book" w:hAnsi="Gotham Book"/>
        </w:rPr>
        <w:t xml:space="preserve"> </w:t>
      </w:r>
    </w:p>
    <w:p w14:paraId="4769768A" w14:textId="2A091C63" w:rsidR="00F3105C" w:rsidRPr="004A3983" w:rsidRDefault="00296719" w:rsidP="00D270C0">
      <w:pPr>
        <w:spacing w:after="160"/>
        <w:ind w:right="-2"/>
        <w:rPr>
          <w:rFonts w:ascii="Gotham Book" w:hAnsi="Gotham Book"/>
        </w:rPr>
      </w:pPr>
      <w:r w:rsidRPr="004A3983">
        <w:rPr>
          <w:rFonts w:ascii="Gotham Book" w:hAnsi="Gotham Book"/>
        </w:rPr>
        <w:t>As explained in Chapter 3 section 3.8.2, the</w:t>
      </w:r>
      <w:r w:rsidR="009D4E7D" w:rsidRPr="004A3983">
        <w:rPr>
          <w:rFonts w:ascii="Gotham Book" w:hAnsi="Gotham Book"/>
        </w:rPr>
        <w:t xml:space="preserve"> total number</w:t>
      </w:r>
      <w:r w:rsidRPr="004A3983">
        <w:rPr>
          <w:rFonts w:ascii="Gotham Book" w:hAnsi="Gotham Book"/>
        </w:rPr>
        <w:t xml:space="preserve"> of people who have been subjected to unlawful reporting requirement</w:t>
      </w:r>
      <w:r w:rsidR="009B0DA1" w:rsidRPr="004A3983">
        <w:rPr>
          <w:rFonts w:ascii="Gotham Book" w:hAnsi="Gotham Book"/>
        </w:rPr>
        <w:t>s by t</w:t>
      </w:r>
      <w:r w:rsidR="009D4E7D" w:rsidRPr="004A3983">
        <w:rPr>
          <w:rFonts w:ascii="Gotham Book" w:hAnsi="Gotham Book"/>
        </w:rPr>
        <w:t>he NSW Police Force is</w:t>
      </w:r>
      <w:r w:rsidR="009B0DA1" w:rsidRPr="004A3983">
        <w:rPr>
          <w:rFonts w:ascii="Gotham Book" w:hAnsi="Gotham Book"/>
        </w:rPr>
        <w:t xml:space="preserve"> not </w:t>
      </w:r>
      <w:r w:rsidRPr="004A3983">
        <w:rPr>
          <w:rFonts w:ascii="Gotham Book" w:hAnsi="Gotham Book"/>
        </w:rPr>
        <w:t xml:space="preserve">known because the CPR case review did not make note of </w:t>
      </w:r>
      <w:r w:rsidR="0055654A" w:rsidRPr="004A3983">
        <w:rPr>
          <w:rFonts w:ascii="Gotham Book" w:hAnsi="Gotham Book"/>
        </w:rPr>
        <w:t>this information when reviewing Register case files that contained errors</w:t>
      </w:r>
      <w:r w:rsidRPr="004A3983">
        <w:rPr>
          <w:rFonts w:ascii="Gotham Book" w:hAnsi="Gotham Book"/>
        </w:rPr>
        <w:t xml:space="preserve">. We therefore </w:t>
      </w:r>
      <w:r w:rsidR="0055654A" w:rsidRPr="004A3983">
        <w:rPr>
          <w:rFonts w:ascii="Gotham Book" w:hAnsi="Gotham Book"/>
        </w:rPr>
        <w:t>do not know</w:t>
      </w:r>
      <w:r w:rsidRPr="004A3983">
        <w:rPr>
          <w:rFonts w:ascii="Gotham Book" w:hAnsi="Gotham Book"/>
        </w:rPr>
        <w:t xml:space="preserve"> </w:t>
      </w:r>
      <w:r w:rsidR="0055654A" w:rsidRPr="004A3983">
        <w:rPr>
          <w:rFonts w:ascii="Gotham Book" w:hAnsi="Gotham Book"/>
        </w:rPr>
        <w:t xml:space="preserve">how many </w:t>
      </w:r>
      <w:r w:rsidR="00505B70" w:rsidRPr="004A3983">
        <w:rPr>
          <w:rFonts w:ascii="Gotham Book" w:hAnsi="Gotham Book"/>
        </w:rPr>
        <w:t xml:space="preserve">of those </w:t>
      </w:r>
      <w:r w:rsidRPr="004A3983">
        <w:rPr>
          <w:rFonts w:ascii="Gotham Book" w:hAnsi="Gotham Book"/>
        </w:rPr>
        <w:t xml:space="preserve">persons were sent letters similar to those </w:t>
      </w:r>
      <w:r w:rsidR="0055654A" w:rsidRPr="004A3983">
        <w:rPr>
          <w:rFonts w:ascii="Gotham Book" w:hAnsi="Gotham Book"/>
        </w:rPr>
        <w:t>sent to Mr DD, Mr NN and Mr KK</w:t>
      </w:r>
      <w:r w:rsidRPr="004A3983">
        <w:rPr>
          <w:rFonts w:ascii="Gotham Book" w:hAnsi="Gotham Book"/>
        </w:rPr>
        <w:t>, or indeed were sent no letter.</w:t>
      </w:r>
      <w:r w:rsidR="002F02D8" w:rsidRPr="004A3983">
        <w:rPr>
          <w:rFonts w:ascii="Gotham Book" w:hAnsi="Gotham Book"/>
        </w:rPr>
        <w:t xml:space="preserve"> </w:t>
      </w:r>
      <w:r w:rsidR="00E42553" w:rsidRPr="004A3983">
        <w:rPr>
          <w:rFonts w:ascii="Gotham Book" w:hAnsi="Gotham Book"/>
        </w:rPr>
        <w:t xml:space="preserve">In section </w:t>
      </w:r>
      <w:r w:rsidR="009D4E7D" w:rsidRPr="004A3983">
        <w:rPr>
          <w:rFonts w:ascii="Gotham Book" w:hAnsi="Gotham Book"/>
        </w:rPr>
        <w:t>4.10</w:t>
      </w:r>
      <w:r w:rsidR="00E42553" w:rsidRPr="004A3983">
        <w:rPr>
          <w:rFonts w:ascii="Gotham Book" w:hAnsi="Gotham Book"/>
        </w:rPr>
        <w:t xml:space="preserve"> </w:t>
      </w:r>
      <w:r w:rsidR="00A2671E" w:rsidRPr="004A3983">
        <w:rPr>
          <w:rFonts w:ascii="Gotham Book" w:hAnsi="Gotham Book"/>
        </w:rPr>
        <w:t>of</w:t>
      </w:r>
      <w:r w:rsidR="00E42553" w:rsidRPr="004A3983">
        <w:rPr>
          <w:rFonts w:ascii="Gotham Book" w:hAnsi="Gotham Book"/>
        </w:rPr>
        <w:t xml:space="preserve"> this chapter </w:t>
      </w:r>
      <w:r w:rsidR="00F3105C" w:rsidRPr="004A3983">
        <w:rPr>
          <w:rFonts w:ascii="Gotham Book" w:hAnsi="Gotham Book"/>
        </w:rPr>
        <w:t xml:space="preserve">we recommend that </w:t>
      </w:r>
      <w:r w:rsidR="00820A14" w:rsidRPr="004A3983">
        <w:rPr>
          <w:rFonts w:ascii="Gotham Book" w:hAnsi="Gotham Book" w:cs="Arial"/>
        </w:rPr>
        <w:t>the NSW Police Force write to</w:t>
      </w:r>
      <w:r w:rsidR="00F3105C" w:rsidRPr="004A3983">
        <w:rPr>
          <w:rFonts w:ascii="Gotham Book" w:hAnsi="Gotham Book" w:cs="Arial"/>
        </w:rPr>
        <w:t xml:space="preserve"> all 277 persons who may have been subjected to unlawful or unjust actions as a result of the incorrect information in the Register</w:t>
      </w:r>
      <w:r w:rsidR="00F32E54" w:rsidRPr="004A3983">
        <w:rPr>
          <w:rFonts w:ascii="Gotham Book" w:hAnsi="Gotham Book" w:cs="Arial"/>
        </w:rPr>
        <w:t>, and notify them of</w:t>
      </w:r>
      <w:r w:rsidR="00F3105C" w:rsidRPr="004A3983">
        <w:rPr>
          <w:rFonts w:ascii="Gotham Book" w:hAnsi="Gotham Book" w:cs="Arial"/>
        </w:rPr>
        <w:t xml:space="preserve"> this fact. </w:t>
      </w:r>
      <w:r w:rsidR="00CB7023" w:rsidRPr="004A3983">
        <w:rPr>
          <w:rFonts w:ascii="Gotham Book" w:hAnsi="Gotham Book" w:cs="Arial"/>
        </w:rPr>
        <w:t>This would include writing to Mr DD, Mr NN and Mr KK.</w:t>
      </w:r>
    </w:p>
    <w:p w14:paraId="02AE880C" w14:textId="06C19B82" w:rsidR="007E5688" w:rsidRPr="004A3983" w:rsidRDefault="00EE47D8" w:rsidP="00D270C0">
      <w:pPr>
        <w:pStyle w:val="FindingsHeading"/>
        <w:spacing w:after="160" w:line="259" w:lineRule="auto"/>
        <w:ind w:right="-2"/>
        <w:rPr>
          <w:b w:val="0"/>
        </w:rPr>
      </w:pPr>
      <w:bookmarkStart w:id="260" w:name="_Toc22277101"/>
      <w:r w:rsidRPr="004A3983">
        <w:t>T</w:t>
      </w:r>
      <w:r w:rsidR="006F3E76" w:rsidRPr="004A3983">
        <w:t xml:space="preserve">he </w:t>
      </w:r>
      <w:r w:rsidR="00A827BC" w:rsidRPr="004A3983">
        <w:t>NSW Police Force</w:t>
      </w:r>
      <w:r w:rsidR="00E7585F" w:rsidRPr="004A3983">
        <w:t xml:space="preserve"> </w:t>
      </w:r>
      <w:r w:rsidR="00B901F3" w:rsidRPr="004A3983">
        <w:t xml:space="preserve">made decisions to </w:t>
      </w:r>
      <w:r w:rsidR="00A77E3C" w:rsidRPr="004A3983">
        <w:t>wr</w:t>
      </w:r>
      <w:r w:rsidR="00B901F3" w:rsidRPr="004A3983">
        <w:t>i</w:t>
      </w:r>
      <w:r w:rsidR="007C7F7A" w:rsidRPr="004A3983">
        <w:t>te</w:t>
      </w:r>
      <w:r w:rsidR="007E5688" w:rsidRPr="004A3983">
        <w:t xml:space="preserve"> letters to Mr DD</w:t>
      </w:r>
      <w:r w:rsidR="00825B94" w:rsidRPr="004A3983">
        <w:t>, Mr </w:t>
      </w:r>
      <w:r w:rsidR="00A827BC" w:rsidRPr="004A3983">
        <w:t xml:space="preserve">NN and Mr KK </w:t>
      </w:r>
      <w:r w:rsidR="007E5688" w:rsidRPr="004A3983">
        <w:t>about their obligations</w:t>
      </w:r>
      <w:r w:rsidR="00A827BC" w:rsidRPr="004A3983">
        <w:t xml:space="preserve"> under the CPOR Act</w:t>
      </w:r>
      <w:r w:rsidR="003E7B20" w:rsidRPr="004A3983">
        <w:t xml:space="preserve">, which were </w:t>
      </w:r>
      <w:r w:rsidRPr="004A3983">
        <w:t xml:space="preserve">in effect </w:t>
      </w:r>
      <w:r w:rsidR="003E7B20" w:rsidRPr="004A3983">
        <w:t>misleading</w:t>
      </w:r>
      <w:r w:rsidR="00A77E3C" w:rsidRPr="004A3983">
        <w:t>. The</w:t>
      </w:r>
      <w:r w:rsidR="00B901F3" w:rsidRPr="004A3983">
        <w:t xml:space="preserve">se </w:t>
      </w:r>
      <w:r w:rsidR="001B199C" w:rsidRPr="004A3983">
        <w:t>decisions</w:t>
      </w:r>
      <w:r w:rsidR="00BE1B17" w:rsidRPr="004A3983">
        <w:t>, although not unlawful,</w:t>
      </w:r>
      <w:r w:rsidR="001B199C" w:rsidRPr="004A3983">
        <w:t xml:space="preserve"> </w:t>
      </w:r>
      <w:r w:rsidR="00B901F3" w:rsidRPr="004A3983">
        <w:t xml:space="preserve">were </w:t>
      </w:r>
      <w:r w:rsidR="00787588" w:rsidRPr="004A3983">
        <w:t>unre</w:t>
      </w:r>
      <w:r w:rsidR="00B901F3" w:rsidRPr="004A3983">
        <w:t>asonable or</w:t>
      </w:r>
      <w:r w:rsidR="00F960B6">
        <w:t> </w:t>
      </w:r>
      <w:r w:rsidR="00B901F3" w:rsidRPr="004A3983">
        <w:t>unjust in</w:t>
      </w:r>
      <w:r w:rsidR="00CD14F2" w:rsidRPr="004A3983">
        <w:t xml:space="preserve"> their</w:t>
      </w:r>
      <w:r w:rsidR="00780BB0" w:rsidRPr="004A3983">
        <w:t xml:space="preserve"> effect</w:t>
      </w:r>
      <w:r w:rsidR="00CD14F2" w:rsidRPr="004A3983">
        <w:t>s</w:t>
      </w:r>
      <w:r w:rsidR="00787588" w:rsidRPr="004A3983">
        <w:t>.</w:t>
      </w:r>
      <w:bookmarkEnd w:id="260"/>
    </w:p>
    <w:p w14:paraId="12F8258D" w14:textId="3E3F3816" w:rsidR="00C960F0" w:rsidRPr="004A3983" w:rsidRDefault="00655A04" w:rsidP="00D270C0">
      <w:pPr>
        <w:pStyle w:val="Heading2"/>
        <w:spacing w:after="160"/>
        <w:ind w:right="-2"/>
        <w:rPr>
          <w:rFonts w:ascii="Gotham Book" w:hAnsi="Gotham Book"/>
        </w:rPr>
      </w:pPr>
      <w:bookmarkStart w:id="261" w:name="_Ref9423158"/>
      <w:bookmarkStart w:id="262" w:name="_Toc22627778"/>
      <w:r w:rsidRPr="004A3983">
        <w:t>R</w:t>
      </w:r>
      <w:r w:rsidR="00A97CE1" w:rsidRPr="004A3983">
        <w:t>emedial action</w:t>
      </w:r>
      <w:bookmarkEnd w:id="261"/>
      <w:r w:rsidR="00A97CE1" w:rsidRPr="004A3983">
        <w:rPr>
          <w:rFonts w:ascii="Gotham Book" w:hAnsi="Gotham Book"/>
        </w:rPr>
        <w:t xml:space="preserve"> </w:t>
      </w:r>
      <w:r w:rsidRPr="004A3983">
        <w:rPr>
          <w:rFonts w:ascii="Gotham Book" w:hAnsi="Gotham Book"/>
        </w:rPr>
        <w:t>for those subjected to unlawful or unjust actions</w:t>
      </w:r>
      <w:bookmarkEnd w:id="262"/>
    </w:p>
    <w:p w14:paraId="5D227575" w14:textId="1C4E0FD3" w:rsidR="00A97CE1" w:rsidRPr="004A3983" w:rsidRDefault="005B3467" w:rsidP="00D270C0">
      <w:pPr>
        <w:spacing w:after="160"/>
        <w:ind w:right="-2"/>
        <w:rPr>
          <w:rFonts w:ascii="Gotham Book" w:hAnsi="Gotham Book"/>
        </w:rPr>
      </w:pPr>
      <w:r w:rsidRPr="004A3983">
        <w:rPr>
          <w:rFonts w:ascii="Gotham Book" w:hAnsi="Gotham Book"/>
        </w:rPr>
        <w:t>In the Commission’s</w:t>
      </w:r>
      <w:r w:rsidR="00443D45" w:rsidRPr="004A3983">
        <w:rPr>
          <w:rFonts w:ascii="Gotham Book" w:hAnsi="Gotham Book"/>
        </w:rPr>
        <w:t xml:space="preserve"> </w:t>
      </w:r>
      <w:r w:rsidR="00B927B6" w:rsidRPr="004A3983">
        <w:rPr>
          <w:rFonts w:ascii="Gotham Book" w:hAnsi="Gotham Book"/>
        </w:rPr>
        <w:t xml:space="preserve">confidential </w:t>
      </w:r>
      <w:r w:rsidR="00736999" w:rsidRPr="004A3983">
        <w:rPr>
          <w:rFonts w:ascii="Gotham Book" w:hAnsi="Gotham Book"/>
        </w:rPr>
        <w:t>interim report on Operation Tusket</w:t>
      </w:r>
      <w:r w:rsidR="00443D45" w:rsidRPr="004A3983">
        <w:rPr>
          <w:rFonts w:ascii="Gotham Book" w:hAnsi="Gotham Book"/>
        </w:rPr>
        <w:t>,</w:t>
      </w:r>
      <w:r w:rsidR="00443D45" w:rsidRPr="004A3983">
        <w:rPr>
          <w:rFonts w:ascii="Gotham Book" w:hAnsi="Gotham Book"/>
          <w:i/>
        </w:rPr>
        <w:t xml:space="preserve"> </w:t>
      </w:r>
      <w:r w:rsidR="00443D45" w:rsidRPr="004A3983">
        <w:rPr>
          <w:rFonts w:ascii="Gotham Book" w:hAnsi="Gotham Book"/>
        </w:rPr>
        <w:t>which was</w:t>
      </w:r>
      <w:r w:rsidR="00443D45" w:rsidRPr="004A3983">
        <w:rPr>
          <w:rFonts w:ascii="Gotham Book" w:hAnsi="Gotham Book"/>
          <w:i/>
        </w:rPr>
        <w:t xml:space="preserve"> </w:t>
      </w:r>
      <w:r w:rsidR="00443D45" w:rsidRPr="004A3983">
        <w:rPr>
          <w:rFonts w:ascii="Gotham Book" w:hAnsi="Gotham Book"/>
        </w:rPr>
        <w:t>provided to the NSW Commissioner of Police</w:t>
      </w:r>
      <w:r w:rsidR="00443D45" w:rsidRPr="004A3983">
        <w:rPr>
          <w:rFonts w:ascii="Gotham Book" w:hAnsi="Gotham Book"/>
          <w:i/>
        </w:rPr>
        <w:t xml:space="preserve"> </w:t>
      </w:r>
      <w:r w:rsidR="00443D45" w:rsidRPr="004A3983">
        <w:rPr>
          <w:rFonts w:ascii="Gotham Book" w:hAnsi="Gotham Book"/>
        </w:rPr>
        <w:t xml:space="preserve">in August 2018, </w:t>
      </w:r>
      <w:r w:rsidRPr="004A3983">
        <w:rPr>
          <w:rFonts w:ascii="Gotham Book" w:hAnsi="Gotham Book"/>
        </w:rPr>
        <w:t>we</w:t>
      </w:r>
      <w:r w:rsidR="00A97CE1" w:rsidRPr="004A3983">
        <w:rPr>
          <w:rFonts w:ascii="Gotham Book" w:hAnsi="Gotham Book"/>
        </w:rPr>
        <w:t xml:space="preserve"> requested that the NSW Police Force </w:t>
      </w:r>
      <w:r w:rsidR="00432B2D" w:rsidRPr="004A3983">
        <w:rPr>
          <w:rFonts w:ascii="Gotham Book" w:hAnsi="Gotham Book"/>
        </w:rPr>
        <w:t xml:space="preserve">advise </w:t>
      </w:r>
      <w:r w:rsidR="004773C7" w:rsidRPr="004A3983">
        <w:rPr>
          <w:rFonts w:ascii="Gotham Book" w:hAnsi="Gotham Book"/>
        </w:rPr>
        <w:t>whether it had notified</w:t>
      </w:r>
      <w:r w:rsidR="00A97CE1" w:rsidRPr="004A3983">
        <w:rPr>
          <w:rFonts w:ascii="Gotham Book" w:hAnsi="Gotham Book"/>
        </w:rPr>
        <w:t xml:space="preserve"> </w:t>
      </w:r>
      <w:r w:rsidR="004773C7" w:rsidRPr="004A3983">
        <w:rPr>
          <w:rFonts w:ascii="Gotham Book" w:hAnsi="Gotham Book"/>
        </w:rPr>
        <w:t xml:space="preserve">those </w:t>
      </w:r>
      <w:r w:rsidR="00A97CE1" w:rsidRPr="004A3983">
        <w:rPr>
          <w:rFonts w:ascii="Gotham Book" w:hAnsi="Gotham Book"/>
        </w:rPr>
        <w:t xml:space="preserve">persons who had been subjected to any form of unlawful </w:t>
      </w:r>
      <w:r w:rsidR="00A32A3B" w:rsidRPr="004A3983">
        <w:rPr>
          <w:rFonts w:ascii="Gotham Book" w:hAnsi="Gotham Book"/>
        </w:rPr>
        <w:t xml:space="preserve">or unjust </w:t>
      </w:r>
      <w:r w:rsidR="00A97CE1" w:rsidRPr="004A3983">
        <w:rPr>
          <w:rFonts w:ascii="Gotham Book" w:hAnsi="Gotham Book"/>
        </w:rPr>
        <w:t>action due to errors in the Register</w:t>
      </w:r>
      <w:r w:rsidR="004773C7" w:rsidRPr="004A3983">
        <w:rPr>
          <w:rFonts w:ascii="Gotham Book" w:hAnsi="Gotham Book"/>
        </w:rPr>
        <w:t>, or proposed to do so</w:t>
      </w:r>
      <w:r w:rsidR="004A06A5" w:rsidRPr="004A3983">
        <w:rPr>
          <w:rFonts w:ascii="Gotham Book" w:hAnsi="Gotham Book"/>
        </w:rPr>
        <w:t xml:space="preserve">. </w:t>
      </w:r>
      <w:r w:rsidR="00432B2D" w:rsidRPr="004A3983">
        <w:rPr>
          <w:rFonts w:ascii="Gotham Book" w:hAnsi="Gotham Book"/>
        </w:rPr>
        <w:t xml:space="preserve">We also </w:t>
      </w:r>
      <w:r w:rsidR="00F2684B" w:rsidRPr="004A3983">
        <w:rPr>
          <w:rFonts w:ascii="Gotham Book" w:hAnsi="Gotham Book"/>
        </w:rPr>
        <w:t>recommended</w:t>
      </w:r>
      <w:r w:rsidR="003C5FE8" w:rsidRPr="004A3983">
        <w:rPr>
          <w:rFonts w:ascii="Gotham Book" w:hAnsi="Gotham Book"/>
        </w:rPr>
        <w:t xml:space="preserve"> </w:t>
      </w:r>
      <w:r w:rsidR="00432B2D" w:rsidRPr="004A3983">
        <w:rPr>
          <w:rFonts w:ascii="Gotham Book" w:hAnsi="Gotham Book"/>
        </w:rPr>
        <w:t xml:space="preserve">that the NSW Police Force inform </w:t>
      </w:r>
      <w:r w:rsidR="00A97CE1" w:rsidRPr="004A3983">
        <w:rPr>
          <w:rFonts w:ascii="Gotham Book" w:hAnsi="Gotham Book"/>
        </w:rPr>
        <w:t xml:space="preserve">us of </w:t>
      </w:r>
      <w:r w:rsidR="00F44673" w:rsidRPr="004A3983">
        <w:rPr>
          <w:rFonts w:ascii="Gotham Book" w:hAnsi="Gotham Book"/>
        </w:rPr>
        <w:t>any remedial action</w:t>
      </w:r>
      <w:r w:rsidR="00A97CE1" w:rsidRPr="004A3983">
        <w:rPr>
          <w:rFonts w:ascii="Gotham Book" w:hAnsi="Gotham Book"/>
        </w:rPr>
        <w:t xml:space="preserve"> that </w:t>
      </w:r>
      <w:r w:rsidR="00C3490A" w:rsidRPr="004A3983">
        <w:rPr>
          <w:rFonts w:ascii="Gotham Book" w:hAnsi="Gotham Book"/>
        </w:rPr>
        <w:t>it</w:t>
      </w:r>
      <w:r w:rsidR="00A97CE1" w:rsidRPr="004A3983">
        <w:rPr>
          <w:rFonts w:ascii="Gotham Book" w:hAnsi="Gotham Book"/>
        </w:rPr>
        <w:t xml:space="preserve"> had taken</w:t>
      </w:r>
      <w:r w:rsidR="00F44673" w:rsidRPr="004A3983">
        <w:rPr>
          <w:rFonts w:ascii="Gotham Book" w:hAnsi="Gotham Book"/>
        </w:rPr>
        <w:t>,</w:t>
      </w:r>
      <w:r w:rsidR="00A97CE1" w:rsidRPr="004A3983">
        <w:rPr>
          <w:rFonts w:ascii="Gotham Book" w:hAnsi="Gotham Book"/>
        </w:rPr>
        <w:t xml:space="preserve"> or </w:t>
      </w:r>
      <w:r w:rsidR="00432B2D" w:rsidRPr="004A3983">
        <w:rPr>
          <w:rFonts w:ascii="Gotham Book" w:hAnsi="Gotham Book"/>
        </w:rPr>
        <w:t xml:space="preserve">proposed </w:t>
      </w:r>
      <w:r w:rsidR="00A97CE1" w:rsidRPr="004A3983">
        <w:rPr>
          <w:rFonts w:ascii="Gotham Book" w:hAnsi="Gotham Book"/>
        </w:rPr>
        <w:t xml:space="preserve">to take, in relation to those persons </w:t>
      </w:r>
      <w:r w:rsidR="00F44673" w:rsidRPr="004A3983">
        <w:rPr>
          <w:rFonts w:ascii="Gotham Book" w:hAnsi="Gotham Book"/>
        </w:rPr>
        <w:t>(beyond applying for annulments)</w:t>
      </w:r>
      <w:r w:rsidR="00A97CE1" w:rsidRPr="004A3983">
        <w:rPr>
          <w:rFonts w:ascii="Gotham Book" w:hAnsi="Gotham Book"/>
        </w:rPr>
        <w:t>.</w:t>
      </w:r>
    </w:p>
    <w:p w14:paraId="52DC5B9D" w14:textId="7B938FBF" w:rsidR="00A97CE1" w:rsidRPr="004A3983" w:rsidRDefault="00A97CE1" w:rsidP="00D270C0">
      <w:pPr>
        <w:spacing w:after="160"/>
        <w:ind w:right="-2"/>
        <w:rPr>
          <w:rFonts w:ascii="Gotham Book" w:hAnsi="Gotham Book"/>
        </w:rPr>
      </w:pPr>
      <w:r w:rsidRPr="004A3983">
        <w:rPr>
          <w:rFonts w:ascii="Gotham Book" w:hAnsi="Gotham Book"/>
        </w:rPr>
        <w:t xml:space="preserve">In October 2018 the </w:t>
      </w:r>
      <w:r w:rsidR="003D0131" w:rsidRPr="004A3983">
        <w:rPr>
          <w:rFonts w:ascii="Gotham Book" w:hAnsi="Gotham Book"/>
        </w:rPr>
        <w:t xml:space="preserve">NSW </w:t>
      </w:r>
      <w:r w:rsidRPr="004A3983">
        <w:rPr>
          <w:rFonts w:ascii="Gotham Book" w:hAnsi="Gotham Book"/>
        </w:rPr>
        <w:t>Commissioner of Police stated that the OGC ‘is currently considering the best approach to taking remedial action’.</w:t>
      </w:r>
      <w:r w:rsidRPr="004A3983">
        <w:rPr>
          <w:rStyle w:val="FootnoteReference"/>
          <w:rFonts w:ascii="Gotham Book" w:hAnsi="Gotham Book"/>
        </w:rPr>
        <w:footnoteReference w:id="243"/>
      </w:r>
    </w:p>
    <w:p w14:paraId="57C30AA0" w14:textId="74969B0D" w:rsidR="00A97CE1" w:rsidRPr="004A3983" w:rsidRDefault="00A97CE1" w:rsidP="00D270C0">
      <w:pPr>
        <w:spacing w:after="160"/>
        <w:ind w:right="-2"/>
        <w:rPr>
          <w:rFonts w:ascii="Gotham Book" w:hAnsi="Gotham Book" w:cs="Arial"/>
        </w:rPr>
      </w:pPr>
      <w:r w:rsidRPr="004A3983">
        <w:rPr>
          <w:rFonts w:ascii="Gotham Book" w:hAnsi="Gotham Book"/>
        </w:rPr>
        <w:t>On 13 December 2018, the Commission indicated to the NSW Police Force that we considered this was an inadequ</w:t>
      </w:r>
      <w:r w:rsidR="00E2327A" w:rsidRPr="004A3983">
        <w:rPr>
          <w:rFonts w:ascii="Gotham Book" w:hAnsi="Gotham Book"/>
        </w:rPr>
        <w:t>ate response, particularly as</w:t>
      </w:r>
      <w:r w:rsidRPr="004A3983">
        <w:rPr>
          <w:rFonts w:ascii="Gotham Book" w:hAnsi="Gotham Book"/>
        </w:rPr>
        <w:t xml:space="preserve"> the NSW Police Force had been aware of these issues since 2016. The evidence before the Commission establishe</w:t>
      </w:r>
      <w:r w:rsidR="00443CF5" w:rsidRPr="004A3983">
        <w:rPr>
          <w:rFonts w:ascii="Gotham Book" w:hAnsi="Gotham Book"/>
        </w:rPr>
        <w:t>s</w:t>
      </w:r>
      <w:r w:rsidR="00072E80" w:rsidRPr="004A3983">
        <w:rPr>
          <w:rFonts w:ascii="Gotham Book" w:hAnsi="Gotham Book"/>
        </w:rPr>
        <w:t xml:space="preserve"> that by 18 October 2016 </w:t>
      </w:r>
      <w:r w:rsidRPr="004A3983">
        <w:rPr>
          <w:rFonts w:ascii="Gotham Book" w:hAnsi="Gotham Book"/>
        </w:rPr>
        <w:t xml:space="preserve">General Counsel to the NSW Police Force was </w:t>
      </w:r>
      <w:r w:rsidRPr="004A3983">
        <w:rPr>
          <w:rFonts w:ascii="Gotham Book" w:hAnsi="Gotham Book"/>
        </w:rPr>
        <w:lastRenderedPageBreak/>
        <w:t>awar</w:t>
      </w:r>
      <w:r w:rsidR="00E2327A" w:rsidRPr="004A3983">
        <w:rPr>
          <w:rFonts w:ascii="Gotham Book" w:hAnsi="Gotham Book"/>
        </w:rPr>
        <w:t>e that persons had been wrong</w:t>
      </w:r>
      <w:r w:rsidRPr="004A3983">
        <w:rPr>
          <w:rFonts w:ascii="Gotham Book" w:hAnsi="Gotham Book"/>
        </w:rPr>
        <w:t>ly convicted and even imprisoned as a result of errors the NSW Police Force had made in applying the CPOR Act</w:t>
      </w:r>
      <w:r w:rsidRPr="004A3983">
        <w:rPr>
          <w:rFonts w:ascii="Gotham Book" w:hAnsi="Gotham Book" w:cs="Arial"/>
        </w:rPr>
        <w:t>.</w:t>
      </w:r>
      <w:r w:rsidRPr="004A3983">
        <w:rPr>
          <w:rStyle w:val="FootnoteReference"/>
          <w:rFonts w:ascii="Gotham Book" w:hAnsi="Gotham Book" w:cs="Arial"/>
        </w:rPr>
        <w:footnoteReference w:id="244"/>
      </w:r>
    </w:p>
    <w:p w14:paraId="580F040D" w14:textId="684EF7D6" w:rsidR="0076018F" w:rsidRPr="004A3983" w:rsidRDefault="0076018F" w:rsidP="00D270C0">
      <w:pPr>
        <w:spacing w:after="160"/>
        <w:ind w:right="-2"/>
        <w:rPr>
          <w:rFonts w:ascii="Gotham Book" w:hAnsi="Gotham Book"/>
        </w:rPr>
      </w:pPr>
      <w:r w:rsidRPr="004A3983">
        <w:rPr>
          <w:rFonts w:ascii="Gotham Book" w:hAnsi="Gotham Book"/>
        </w:rPr>
        <w:t xml:space="preserve">In a meeting with the </w:t>
      </w:r>
      <w:r w:rsidR="008A3926" w:rsidRPr="004A3983">
        <w:rPr>
          <w:rFonts w:ascii="Gotham Book" w:hAnsi="Gotham Book"/>
        </w:rPr>
        <w:t xml:space="preserve">NSW Police Force </w:t>
      </w:r>
      <w:r w:rsidRPr="004A3983">
        <w:rPr>
          <w:rFonts w:ascii="Gotham Book" w:hAnsi="Gotham Book"/>
        </w:rPr>
        <w:t>Deputy Commissioner (Investigations and Counter Terrorism), General Counsel, and others held on 20 December 2018, the Deputy Commissioner acknowledged that the NSW Police Force needed to develop an appropriate framework for decision-making in relation to remediation, including admissions and litigation issues, connected to the errors in the Register.</w:t>
      </w:r>
    </w:p>
    <w:p w14:paraId="78DED8F3" w14:textId="3B0A6E3F" w:rsidR="00876539" w:rsidRPr="004A3983" w:rsidRDefault="00A97CE1" w:rsidP="00D270C0">
      <w:pPr>
        <w:spacing w:after="160"/>
        <w:ind w:right="-2"/>
        <w:rPr>
          <w:rFonts w:ascii="Gotham Book" w:hAnsi="Gotham Book"/>
        </w:rPr>
      </w:pPr>
      <w:r w:rsidRPr="004A3983">
        <w:rPr>
          <w:rFonts w:ascii="Gotham Book" w:hAnsi="Gotham Book"/>
        </w:rPr>
        <w:t>The Commission is aware that one person, Mr CC</w:t>
      </w:r>
      <w:r w:rsidR="00EA61B7" w:rsidRPr="004A3983">
        <w:rPr>
          <w:rFonts w:ascii="Gotham Book" w:hAnsi="Gotham Book"/>
        </w:rPr>
        <w:t>,</w:t>
      </w:r>
      <w:r w:rsidRPr="004A3983">
        <w:rPr>
          <w:rFonts w:ascii="Gotham Book" w:hAnsi="Gotham Book"/>
        </w:rPr>
        <w:t xml:space="preserve"> initiated civil p</w:t>
      </w:r>
      <w:r w:rsidR="006F7A17" w:rsidRPr="004A3983">
        <w:rPr>
          <w:rFonts w:ascii="Gotham Book" w:hAnsi="Gotham Book"/>
        </w:rPr>
        <w:t>roceedings after being wrongl</w:t>
      </w:r>
      <w:r w:rsidRPr="004A3983">
        <w:rPr>
          <w:rFonts w:ascii="Gotham Book" w:hAnsi="Gotham Book"/>
        </w:rPr>
        <w:t xml:space="preserve">y convicted and imprisoned for more than 540 days for </w:t>
      </w:r>
      <w:r w:rsidR="008F5B07" w:rsidRPr="004A3983">
        <w:rPr>
          <w:rFonts w:ascii="Gotham Book" w:hAnsi="Gotham Book"/>
        </w:rPr>
        <w:t xml:space="preserve">CPOR Act </w:t>
      </w:r>
      <w:r w:rsidRPr="004A3983">
        <w:rPr>
          <w:rFonts w:ascii="Gotham Book" w:hAnsi="Gotham Book"/>
        </w:rPr>
        <w:t xml:space="preserve">offences as a result of the NSW Police Force incorrectly calculating </w:t>
      </w:r>
      <w:r w:rsidR="008F5B07" w:rsidRPr="004A3983">
        <w:rPr>
          <w:rFonts w:ascii="Gotham Book" w:hAnsi="Gotham Book"/>
        </w:rPr>
        <w:t>his reporting period. The error that was made, and the consequences that followed</w:t>
      </w:r>
      <w:r w:rsidRPr="004A3983">
        <w:rPr>
          <w:rFonts w:ascii="Gotham Book" w:hAnsi="Gotham Book"/>
        </w:rPr>
        <w:t xml:space="preserve"> in Mr CC’s </w:t>
      </w:r>
      <w:r w:rsidR="008F5B07" w:rsidRPr="004A3983">
        <w:rPr>
          <w:rFonts w:ascii="Gotham Book" w:hAnsi="Gotham Book"/>
        </w:rPr>
        <w:t>case are</w:t>
      </w:r>
      <w:r w:rsidRPr="004A3983">
        <w:rPr>
          <w:rFonts w:ascii="Gotham Book" w:hAnsi="Gotham Book"/>
        </w:rPr>
        <w:t xml:space="preserve"> detailed in </w:t>
      </w:r>
      <w:r w:rsidR="007F27C6" w:rsidRPr="004A3983">
        <w:rPr>
          <w:rFonts w:ascii="Gotham Book" w:hAnsi="Gotham Book"/>
        </w:rPr>
        <w:t>Case Study</w:t>
      </w:r>
      <w:r w:rsidR="00A2242B" w:rsidRPr="004A3983">
        <w:rPr>
          <w:rFonts w:ascii="Gotham Book" w:hAnsi="Gotham Book"/>
        </w:rPr>
        <w:t xml:space="preserve"> </w:t>
      </w:r>
      <w:r w:rsidR="00EE7B6A" w:rsidRPr="004A3983">
        <w:rPr>
          <w:rFonts w:ascii="Gotham Book" w:hAnsi="Gotham Book"/>
        </w:rPr>
        <w:t>6</w:t>
      </w:r>
      <w:r w:rsidR="00A2242B" w:rsidRPr="004A3983">
        <w:rPr>
          <w:rFonts w:ascii="Gotham Book" w:hAnsi="Gotham Book"/>
        </w:rPr>
        <w:t xml:space="preserve"> in </w:t>
      </w:r>
      <w:r w:rsidR="008F5B07" w:rsidRPr="004A3983">
        <w:rPr>
          <w:rFonts w:ascii="Gotham Book" w:hAnsi="Gotham Book"/>
        </w:rPr>
        <w:t xml:space="preserve">Chapter 3 (in </w:t>
      </w:r>
      <w:r w:rsidR="00A2242B" w:rsidRPr="004A3983">
        <w:rPr>
          <w:rFonts w:ascii="Gotham Book" w:hAnsi="Gotham Book"/>
        </w:rPr>
        <w:t xml:space="preserve">section </w:t>
      </w:r>
      <w:r w:rsidR="00A2242B" w:rsidRPr="004A3983">
        <w:rPr>
          <w:rFonts w:ascii="Gotham Book" w:hAnsi="Gotham Book"/>
        </w:rPr>
        <w:fldChar w:fldCharType="begin"/>
      </w:r>
      <w:r w:rsidR="00A2242B" w:rsidRPr="004A3983">
        <w:rPr>
          <w:rFonts w:ascii="Gotham Book" w:hAnsi="Gotham Book"/>
        </w:rPr>
        <w:instrText xml:space="preserve"> REF _Ref10556043 \r \h  \* MERGEFORMAT </w:instrText>
      </w:r>
      <w:r w:rsidR="00A2242B" w:rsidRPr="004A3983">
        <w:rPr>
          <w:rFonts w:ascii="Gotham Book" w:hAnsi="Gotham Book"/>
        </w:rPr>
      </w:r>
      <w:r w:rsidR="00A2242B" w:rsidRPr="004A3983">
        <w:rPr>
          <w:rFonts w:ascii="Gotham Book" w:hAnsi="Gotham Book"/>
        </w:rPr>
        <w:fldChar w:fldCharType="separate"/>
      </w:r>
      <w:r w:rsidR="00022664">
        <w:rPr>
          <w:rFonts w:ascii="Gotham Book" w:hAnsi="Gotham Book" w:hint="cs"/>
          <w:cs/>
        </w:rPr>
        <w:t>‎</w:t>
      </w:r>
      <w:r w:rsidR="00022664">
        <w:rPr>
          <w:rFonts w:ascii="Gotham Book" w:hAnsi="Gotham Book"/>
        </w:rPr>
        <w:t>3.5.4</w:t>
      </w:r>
      <w:r w:rsidR="00A2242B" w:rsidRPr="004A3983">
        <w:rPr>
          <w:rFonts w:ascii="Gotham Book" w:hAnsi="Gotham Book"/>
        </w:rPr>
        <w:fldChar w:fldCharType="end"/>
      </w:r>
      <w:r w:rsidR="008F5B07" w:rsidRPr="004A3983">
        <w:rPr>
          <w:rFonts w:ascii="Gotham Book" w:hAnsi="Gotham Book"/>
        </w:rPr>
        <w:t>)</w:t>
      </w:r>
      <w:r w:rsidRPr="004A3983">
        <w:rPr>
          <w:rFonts w:ascii="Gotham Book" w:hAnsi="Gotham Book"/>
        </w:rPr>
        <w:t xml:space="preserve">. In </w:t>
      </w:r>
      <w:r w:rsidR="008F5B07" w:rsidRPr="004A3983">
        <w:rPr>
          <w:rFonts w:ascii="Gotham Book" w:hAnsi="Gotham Book"/>
        </w:rPr>
        <w:t xml:space="preserve">Case Study 8 in </w:t>
      </w:r>
      <w:r w:rsidRPr="004A3983">
        <w:rPr>
          <w:rFonts w:ascii="Gotham Book" w:hAnsi="Gotham Book"/>
        </w:rPr>
        <w:t>this chapter we examine the way the NSW Police Force responded after learning of these errors.</w:t>
      </w:r>
    </w:p>
    <w:p w14:paraId="6A764178" w14:textId="0A39F8E4" w:rsidR="00A97CE1" w:rsidRPr="004A3983" w:rsidRDefault="00BF5931" w:rsidP="00D270C0">
      <w:pPr>
        <w:pStyle w:val="CaseStudyHeading"/>
        <w:spacing w:after="160" w:line="259" w:lineRule="auto"/>
        <w:ind w:right="-2"/>
        <w:rPr>
          <w:b w:val="0"/>
        </w:rPr>
      </w:pPr>
      <w:bookmarkStart w:id="263" w:name="_Toc22280906"/>
      <w:r w:rsidRPr="004A3983">
        <w:t xml:space="preserve">Registrable person sued </w:t>
      </w:r>
      <w:r w:rsidR="00816B3E" w:rsidRPr="004A3983">
        <w:t>State of N</w:t>
      </w:r>
      <w:r w:rsidR="000C24FA" w:rsidRPr="004A3983">
        <w:t xml:space="preserve">ew </w:t>
      </w:r>
      <w:r w:rsidR="00816B3E" w:rsidRPr="004A3983">
        <w:t>S</w:t>
      </w:r>
      <w:r w:rsidR="000C24FA" w:rsidRPr="004A3983">
        <w:t xml:space="preserve">outh </w:t>
      </w:r>
      <w:r w:rsidR="00816B3E" w:rsidRPr="004A3983">
        <w:t>W</w:t>
      </w:r>
      <w:r w:rsidR="000C24FA" w:rsidRPr="004A3983">
        <w:t>ales</w:t>
      </w:r>
      <w:r w:rsidR="00816B3E" w:rsidRPr="004A3983">
        <w:t xml:space="preserve"> </w:t>
      </w:r>
      <w:r w:rsidRPr="004A3983">
        <w:t>for wrongful imprisonment</w:t>
      </w:r>
      <w:bookmarkEnd w:id="263"/>
      <w:r w:rsidRPr="004A3983">
        <w:t xml:space="preserve"> </w:t>
      </w:r>
    </w:p>
    <w:p w14:paraId="45F632E5" w14:textId="50264416" w:rsidR="00C960F0" w:rsidRPr="004A3983" w:rsidRDefault="00C960F0" w:rsidP="00D270C0">
      <w:pPr>
        <w:pStyle w:val="CaseStudyText"/>
        <w:spacing w:after="160"/>
        <w:ind w:right="-2"/>
      </w:pPr>
      <w:r w:rsidRPr="004A3983">
        <w:t xml:space="preserve">On 17 June 2016 </w:t>
      </w:r>
      <w:r w:rsidR="00E47FD5" w:rsidRPr="004A3983">
        <w:t>legal representatives for Mr CC</w:t>
      </w:r>
      <w:r w:rsidR="00E47FD5" w:rsidRPr="004A3983">
        <w:rPr>
          <w:rStyle w:val="FootnoteReference"/>
        </w:rPr>
        <w:footnoteReference w:id="245"/>
      </w:r>
      <w:r w:rsidR="00E47FD5" w:rsidRPr="004A3983">
        <w:t xml:space="preserve"> </w:t>
      </w:r>
      <w:r w:rsidRPr="004A3983">
        <w:t xml:space="preserve">wrote to the NSW Police Force requesting it confirm the date </w:t>
      </w:r>
      <w:r w:rsidR="0011231C" w:rsidRPr="004A3983">
        <w:t>his</w:t>
      </w:r>
      <w:r w:rsidRPr="004A3983">
        <w:t xml:space="preserve"> reporting obligations under the CPOR Act had ceased, and provide the reason his reporting obligations had been recorded by the NSW Police Force as extending beyond that date (if indeed they had been). The legal</w:t>
      </w:r>
      <w:r w:rsidR="00B71B32" w:rsidRPr="004A3983">
        <w:t xml:space="preserve"> representatives mentioned </w:t>
      </w:r>
      <w:r w:rsidRPr="004A3983">
        <w:t xml:space="preserve">their </w:t>
      </w:r>
      <w:r w:rsidR="00E2327A" w:rsidRPr="004A3983">
        <w:t>concern that Mr CC</w:t>
      </w:r>
      <w:r w:rsidRPr="004A3983">
        <w:t xml:space="preserve"> had been charged </w:t>
      </w:r>
      <w:r w:rsidR="0011231C" w:rsidRPr="004A3983">
        <w:t>with failing</w:t>
      </w:r>
      <w:r w:rsidRPr="004A3983">
        <w:t xml:space="preserve"> to comply with reporting obligatio</w:t>
      </w:r>
      <w:r w:rsidR="000A2089" w:rsidRPr="004A3983">
        <w:t xml:space="preserve">ns when in fact he was no longer required to make reports </w:t>
      </w:r>
      <w:r w:rsidRPr="004A3983">
        <w:t>under the CPOR Act.</w:t>
      </w:r>
    </w:p>
    <w:p w14:paraId="7CEC0D01" w14:textId="255CA700" w:rsidR="00C960F0" w:rsidRPr="004A3983" w:rsidRDefault="00C960F0" w:rsidP="00D270C0">
      <w:pPr>
        <w:pStyle w:val="CaseStudyText"/>
        <w:spacing w:after="160"/>
        <w:ind w:right="-2"/>
      </w:pPr>
      <w:r w:rsidRPr="004A3983">
        <w:t>On 27 July 2016 the NSW Police Force responded to this letter, stating:</w:t>
      </w:r>
    </w:p>
    <w:p w14:paraId="6E0FAB5B" w14:textId="729FF108" w:rsidR="00C960F0" w:rsidRPr="004A3983" w:rsidRDefault="00C960F0" w:rsidP="00344C05">
      <w:pPr>
        <w:pStyle w:val="CaseStudyQuotesmall15cm"/>
      </w:pPr>
      <w:r w:rsidRPr="004A3983">
        <w:t>Your client’s reporting period should have ceased after 7 years and 6 months; on 15</w:t>
      </w:r>
      <w:r w:rsidR="00344C05">
        <w:t> </w:t>
      </w:r>
      <w:r w:rsidRPr="004A3983">
        <w:t>August 2008…</w:t>
      </w:r>
    </w:p>
    <w:p w14:paraId="74E79FAC" w14:textId="2580D9DB" w:rsidR="00C960F0" w:rsidRPr="004A3983" w:rsidRDefault="00C960F0" w:rsidP="00344C05">
      <w:pPr>
        <w:pStyle w:val="CaseStudyQuotesmall15cm"/>
      </w:pPr>
      <w:r w:rsidRPr="004A3983">
        <w:t>Your client was, in error, sentenced to a good behaviour bond pursuant to section 9</w:t>
      </w:r>
      <w:r w:rsidR="00344C05">
        <w:t> </w:t>
      </w:r>
      <w:r w:rsidRPr="004A3983">
        <w:t xml:space="preserve">of the </w:t>
      </w:r>
      <w:r w:rsidRPr="004A3983">
        <w:rPr>
          <w:i/>
        </w:rPr>
        <w:t>Crimes (Sentencing Procedure) Act 1999</w:t>
      </w:r>
      <w:r w:rsidRPr="004A3983">
        <w:t>; which meant he was regarded as</w:t>
      </w:r>
      <w:r w:rsidR="00344C05">
        <w:t> </w:t>
      </w:r>
      <w:r w:rsidRPr="004A3983">
        <w:t>an adult for the purposes of determining the length of his reporting period as a registrable person pursuant to the Act.</w:t>
      </w:r>
    </w:p>
    <w:p w14:paraId="74E58351" w14:textId="77777777" w:rsidR="00C960F0" w:rsidRPr="004A3983" w:rsidRDefault="00C960F0" w:rsidP="00D270C0">
      <w:pPr>
        <w:pStyle w:val="CaseStudyText"/>
        <w:spacing w:after="160"/>
        <w:ind w:right="-2"/>
      </w:pPr>
      <w:r w:rsidRPr="004A3983">
        <w:t>The NSW Police Force did not make any reference to the fact that Mr CC’s multiple charges (and therefore convictions and sentences, including imprisonment) for CPOR Act offences after 2008 had been wrongful. The NSW Police Force was aware of his wrongful convictions and imprisonment at that time the letter was written.</w:t>
      </w:r>
      <w:r w:rsidRPr="004A3983">
        <w:rPr>
          <w:rStyle w:val="FootnoteReference"/>
          <w:rFonts w:ascii="Gotham Book" w:hAnsi="Gotham Book" w:cs="Arial"/>
          <w:sz w:val="20"/>
          <w:szCs w:val="20"/>
        </w:rPr>
        <w:footnoteReference w:id="246"/>
      </w:r>
      <w:r w:rsidRPr="004A3983">
        <w:t xml:space="preserve"> </w:t>
      </w:r>
    </w:p>
    <w:p w14:paraId="23EBA1C1" w14:textId="21464AC2" w:rsidR="00C960F0" w:rsidRPr="004A3983" w:rsidRDefault="00C960F0" w:rsidP="00D270C0">
      <w:pPr>
        <w:pStyle w:val="CaseStudyText"/>
        <w:spacing w:after="160"/>
        <w:ind w:right="-2"/>
      </w:pPr>
      <w:r w:rsidRPr="004A3983">
        <w:lastRenderedPageBreak/>
        <w:t xml:space="preserve">In around March 2017 an application was listed with the Local Court for annulments of Mr CC’s convictions for </w:t>
      </w:r>
      <w:r w:rsidR="00FC32DF" w:rsidRPr="004A3983">
        <w:t xml:space="preserve">CPOR Act </w:t>
      </w:r>
      <w:r w:rsidRPr="004A3983">
        <w:t xml:space="preserve">offences after August 2008. The NSW Police Force appeared in that application. </w:t>
      </w:r>
      <w:r w:rsidR="00013F92" w:rsidRPr="004A3983">
        <w:t xml:space="preserve">These annulments were granted in </w:t>
      </w:r>
      <w:r w:rsidRPr="004A3983">
        <w:t>April 2017.</w:t>
      </w:r>
      <w:r w:rsidR="00013F92" w:rsidRPr="004A3983">
        <w:t xml:space="preserve"> </w:t>
      </w:r>
    </w:p>
    <w:p w14:paraId="21A92F2C" w14:textId="35750A44" w:rsidR="00C960F0" w:rsidRPr="004A3983" w:rsidRDefault="00C960F0" w:rsidP="00D270C0">
      <w:pPr>
        <w:pStyle w:val="CaseStudyText"/>
        <w:spacing w:after="160"/>
        <w:ind w:right="-2"/>
      </w:pPr>
      <w:r w:rsidRPr="004A3983">
        <w:t xml:space="preserve">In 2018 representatives for Mr CC filed a Statement of Claim in the Supreme Court. They alleged that the Commissioner of Police was negligent in not ensuring that </w:t>
      </w:r>
      <w:r w:rsidR="00305AA4" w:rsidRPr="004A3983">
        <w:t xml:space="preserve">the </w:t>
      </w:r>
      <w:r w:rsidRPr="004A3983">
        <w:t>NSW Police Force limited Mr CC</w:t>
      </w:r>
      <w:r w:rsidR="00AB4492" w:rsidRPr="004A3983">
        <w:t xml:space="preserve">’s reporting </w:t>
      </w:r>
      <w:r w:rsidRPr="004A3983">
        <w:t xml:space="preserve">period </w:t>
      </w:r>
      <w:r w:rsidR="00AB4492" w:rsidRPr="004A3983">
        <w:t xml:space="preserve">to that </w:t>
      </w:r>
      <w:r w:rsidRPr="004A3983">
        <w:t>provided under the CPOR Act. It was alleged that as a result of this negligence, Mr CC was wrongfully convicted of seven offences under the CPOR Act, and imprisoned for a total of 545 days.</w:t>
      </w:r>
      <w:r w:rsidR="00654232" w:rsidRPr="004A3983">
        <w:t xml:space="preserve"> </w:t>
      </w:r>
    </w:p>
    <w:p w14:paraId="72837E74" w14:textId="0E3306EB" w:rsidR="00C960F0" w:rsidRPr="004A3983" w:rsidRDefault="00E30AE0" w:rsidP="00D270C0">
      <w:pPr>
        <w:pStyle w:val="CaseStudyText"/>
        <w:spacing w:after="160"/>
        <w:ind w:right="-2"/>
      </w:pPr>
      <w:r w:rsidRPr="004A3983">
        <w:t>In its Defence</w:t>
      </w:r>
      <w:r w:rsidR="00C960F0" w:rsidRPr="004A3983">
        <w:t xml:space="preserve"> </w:t>
      </w:r>
      <w:r w:rsidR="00E56667" w:rsidRPr="004A3983">
        <w:t>the State of New South Wales</w:t>
      </w:r>
      <w:r w:rsidR="00C960F0" w:rsidRPr="004A3983">
        <w:t xml:space="preserve"> admitted that an error had been made in calculating Mr CC’s reporting period, but denied any l</w:t>
      </w:r>
      <w:r w:rsidR="00736F09" w:rsidRPr="004A3983">
        <w:t>iability. Also, the State of New South Wales</w:t>
      </w:r>
      <w:r w:rsidR="00C960F0" w:rsidRPr="004A3983">
        <w:t xml:space="preserve"> did not admit that Mr CC’s imprisonment for each of the seven offences was unlawful. This was inconsistent with the fact that the State (through the NSW Police Force) had applied for annulments of these sentences, which had been granted in 2017. The annulments of the sentences of imprisonment could only have been sought by the State if it believed that they were without lawful basis.</w:t>
      </w:r>
    </w:p>
    <w:p w14:paraId="39970F51" w14:textId="25181CCD" w:rsidR="00C960F0" w:rsidRPr="004A3983" w:rsidRDefault="001907C9" w:rsidP="00D270C0">
      <w:pPr>
        <w:pStyle w:val="CaseStudyText"/>
        <w:spacing w:after="160"/>
        <w:ind w:right="-2"/>
      </w:pPr>
      <w:r w:rsidRPr="004A3983">
        <w:t xml:space="preserve">In </w:t>
      </w:r>
      <w:r w:rsidR="00EC0C5F" w:rsidRPr="004A3983">
        <w:t>its</w:t>
      </w:r>
      <w:r w:rsidR="00E30AE0" w:rsidRPr="004A3983">
        <w:t xml:space="preserve"> D</w:t>
      </w:r>
      <w:r w:rsidR="007135B1" w:rsidRPr="004A3983">
        <w:t xml:space="preserve">efence </w:t>
      </w:r>
      <w:r w:rsidR="00736F09" w:rsidRPr="004A3983">
        <w:t>the State of New South Wales</w:t>
      </w:r>
      <w:r w:rsidRPr="004A3983">
        <w:t xml:space="preserve"> </w:t>
      </w:r>
      <w:r w:rsidR="007135B1" w:rsidRPr="004A3983">
        <w:t>also</w:t>
      </w:r>
      <w:r w:rsidR="00C960F0" w:rsidRPr="004A3983">
        <w:t xml:space="preserve"> asserted that Mr CC (or his legal representatives) should have realised in 2008 that his reporting obligations under the CPOR Act ended in that year. This was asserted despite the fact the NSW Police Force itself did not realise until 2016 that his reporting obligations had ended in 2008, and only after Mr CC’s legal representatives raised a query.</w:t>
      </w:r>
    </w:p>
    <w:p w14:paraId="733374E8" w14:textId="1C42F991" w:rsidR="00C960F0" w:rsidRPr="004A3983" w:rsidRDefault="00C960F0" w:rsidP="00D270C0">
      <w:pPr>
        <w:pStyle w:val="CaseStudyText"/>
        <w:spacing w:after="360"/>
        <w:ind w:right="-2"/>
        <w:rPr>
          <w:rFonts w:cs="Arial"/>
        </w:rPr>
      </w:pPr>
      <w:r w:rsidRPr="004A3983">
        <w:t>It appears that in December 2018 the matter was settled.</w:t>
      </w:r>
      <w:r w:rsidRPr="004A3983">
        <w:rPr>
          <w:rStyle w:val="FootnoteReference"/>
          <w:rFonts w:ascii="Gotham Book" w:hAnsi="Gotham Book"/>
          <w:sz w:val="20"/>
          <w:szCs w:val="20"/>
        </w:rPr>
        <w:footnoteReference w:id="247"/>
      </w:r>
      <w:r w:rsidR="00CA2F09" w:rsidRPr="004A3983">
        <w:t xml:space="preserve"> The Commission does not know the terms of the settlement.</w:t>
      </w:r>
    </w:p>
    <w:p w14:paraId="227B0AC8" w14:textId="344979F3" w:rsidR="00DA2001" w:rsidRPr="004A3983" w:rsidRDefault="004A1E57" w:rsidP="00D270C0">
      <w:pPr>
        <w:pStyle w:val="Heading2"/>
        <w:spacing w:after="160"/>
        <w:ind w:right="-2"/>
      </w:pPr>
      <w:bookmarkStart w:id="264" w:name="_Toc22627779"/>
      <w:r w:rsidRPr="004A3983">
        <w:t>NSW Police Force</w:t>
      </w:r>
      <w:r w:rsidR="00DA2001" w:rsidRPr="004A3983">
        <w:t xml:space="preserve"> response</w:t>
      </w:r>
      <w:r w:rsidR="0070334F" w:rsidRPr="004A3983">
        <w:t xml:space="preserve"> </w:t>
      </w:r>
      <w:r w:rsidR="005F0C32" w:rsidRPr="004A3983">
        <w:t>to the draft final report</w:t>
      </w:r>
      <w:bookmarkEnd w:id="264"/>
    </w:p>
    <w:p w14:paraId="784C939F" w14:textId="798D433C" w:rsidR="00BE571C" w:rsidRPr="004A3983" w:rsidRDefault="00BE571C" w:rsidP="00683FC4">
      <w:pPr>
        <w:spacing w:after="0"/>
      </w:pPr>
      <w:r w:rsidRPr="004A3983">
        <w:rPr>
          <w:rFonts w:ascii="Gotham Book" w:eastAsia="Times New Roman" w:hAnsi="Gotham Book" w:cs="Times New Roman"/>
          <w:color w:val="000000"/>
          <w:lang w:eastAsia="en-AU"/>
        </w:rPr>
        <w:t xml:space="preserve">In the draft of this report provided to the NSW Police Force, the Commission proposed a recommendation that the NSW Police Force undertake a process to identify all those persons who had been subjected to </w:t>
      </w:r>
      <w:r w:rsidRPr="004A3983">
        <w:t>unlawful or unjust actions as a result of errors in the Registe</w:t>
      </w:r>
      <w:r w:rsidR="006424DA" w:rsidRPr="004A3983">
        <w:t xml:space="preserve">r. </w:t>
      </w:r>
      <w:r w:rsidR="00E37513" w:rsidRPr="004A3983">
        <w:t>We</w:t>
      </w:r>
      <w:r w:rsidR="006424DA" w:rsidRPr="004A3983">
        <w:t xml:space="preserve"> also included</w:t>
      </w:r>
      <w:r w:rsidRPr="004A3983">
        <w:t xml:space="preserve"> a draft recommendation that </w:t>
      </w:r>
      <w:r w:rsidRPr="004A3983">
        <w:rPr>
          <w:rFonts w:ascii="Gotham Book" w:hAnsi="Gotham Book" w:cs="Arial"/>
        </w:rPr>
        <w:t xml:space="preserve">the NSW Police Force should notify all those persons of the error that was made in their case, acknowledge the unlawful or unjust actions that were taken against the person as a result of this error, and advise what, if any, actions the NSW Police Force had taken or would take to address these wrongs. </w:t>
      </w:r>
    </w:p>
    <w:p w14:paraId="3812C612" w14:textId="77777777" w:rsidR="00BE571C" w:rsidRPr="004A3983" w:rsidRDefault="00BE571C" w:rsidP="004668B3">
      <w:pPr>
        <w:spacing w:after="0" w:line="240" w:lineRule="auto"/>
        <w:rPr>
          <w:rFonts w:ascii="Gotham Book" w:eastAsia="Times New Roman" w:hAnsi="Gotham Book" w:cs="Times New Roman"/>
          <w:color w:val="000000"/>
          <w:lang w:eastAsia="en-AU"/>
        </w:rPr>
      </w:pPr>
    </w:p>
    <w:p w14:paraId="1BA6EF4C" w14:textId="10D86949" w:rsidR="00BE571C" w:rsidRPr="004A3983" w:rsidRDefault="00BE571C" w:rsidP="004668B3">
      <w:pPr>
        <w:spacing w:after="0" w:line="240" w:lineRule="auto"/>
        <w:rPr>
          <w:rFonts w:ascii="Gotham Book" w:eastAsia="Times New Roman" w:hAnsi="Gotham Book" w:cs="Times New Roman"/>
          <w:color w:val="000000"/>
          <w:lang w:eastAsia="en-AU"/>
        </w:rPr>
      </w:pPr>
      <w:r w:rsidRPr="004A3983">
        <w:rPr>
          <w:rFonts w:ascii="Gotham Book" w:eastAsia="Times New Roman" w:hAnsi="Gotham Book" w:cs="Times New Roman"/>
          <w:color w:val="000000"/>
          <w:lang w:eastAsia="en-AU"/>
        </w:rPr>
        <w:t>The NSW Police Force</w:t>
      </w:r>
      <w:r w:rsidR="00B62AAE" w:rsidRPr="004A3983">
        <w:rPr>
          <w:rFonts w:ascii="Gotham Book" w:eastAsia="Times New Roman" w:hAnsi="Gotham Book" w:cs="Times New Roman"/>
          <w:color w:val="000000"/>
          <w:lang w:eastAsia="en-AU"/>
        </w:rPr>
        <w:t xml:space="preserve"> responded</w:t>
      </w:r>
      <w:r w:rsidR="008F5D62" w:rsidRPr="004A3983">
        <w:rPr>
          <w:rFonts w:ascii="Gotham Book" w:eastAsia="Times New Roman" w:hAnsi="Gotham Book" w:cs="Times New Roman"/>
          <w:color w:val="000000"/>
          <w:lang w:eastAsia="en-AU"/>
        </w:rPr>
        <w:t>:</w:t>
      </w:r>
    </w:p>
    <w:p w14:paraId="2C39DBA0" w14:textId="77777777" w:rsidR="00BE571C" w:rsidRPr="004A3983" w:rsidRDefault="00BE571C" w:rsidP="004668B3">
      <w:pPr>
        <w:spacing w:after="0" w:line="240" w:lineRule="auto"/>
        <w:rPr>
          <w:rFonts w:ascii="Gotham Book" w:eastAsia="Times New Roman" w:hAnsi="Gotham Book" w:cs="Times New Roman"/>
          <w:color w:val="000000"/>
          <w:lang w:eastAsia="en-AU"/>
        </w:rPr>
      </w:pPr>
    </w:p>
    <w:p w14:paraId="03E4B774" w14:textId="56C2CB53" w:rsidR="004668B3" w:rsidRPr="004A3983" w:rsidRDefault="004668B3" w:rsidP="00344C05">
      <w:pPr>
        <w:pStyle w:val="Quotesmall1cm"/>
        <w:rPr>
          <w:lang w:eastAsia="en-AU"/>
        </w:rPr>
      </w:pPr>
      <w:r w:rsidRPr="004A3983">
        <w:rPr>
          <w:lang w:eastAsia="en-AU"/>
        </w:rPr>
        <w:t xml:space="preserve">The NSWPF will write to approximately 185 people who were incorrectly determined to be a registrable person or whose reporting period was calculated as being too long. The letter will notify those people that an error has been made in their case, identify types of actions that may have been taken, apologise for the error and suggest that they may wish to obtain independent legal advice. In this way, affected persons can make informed decisions about how to respond to the consequences of having been on the </w:t>
      </w:r>
      <w:r w:rsidRPr="004A3983">
        <w:rPr>
          <w:lang w:eastAsia="en-AU"/>
        </w:rPr>
        <w:lastRenderedPageBreak/>
        <w:t>register for too long or when they shouldn’t have been on at all. This is the right and fair thing for the NSWPF to do.</w:t>
      </w:r>
      <w:r w:rsidR="008F5D62" w:rsidRPr="004A3983">
        <w:rPr>
          <w:rStyle w:val="FootnoteReference"/>
          <w:rFonts w:eastAsia="Times New Roman" w:cs="Times New Roman"/>
          <w:color w:val="000000"/>
          <w:lang w:eastAsia="en-AU"/>
        </w:rPr>
        <w:footnoteReference w:id="248"/>
      </w:r>
    </w:p>
    <w:p w14:paraId="6B7FB4C9" w14:textId="4AA0521F" w:rsidR="00CF3CBC" w:rsidRPr="004A3983" w:rsidRDefault="009C42A7" w:rsidP="008A7EDA">
      <w:pPr>
        <w:pStyle w:val="Heading2"/>
        <w:spacing w:after="160"/>
        <w:ind w:right="-2"/>
      </w:pPr>
      <w:bookmarkStart w:id="265" w:name="_Toc22627780"/>
      <w:r w:rsidRPr="004A3983">
        <w:t>Commission’s a</w:t>
      </w:r>
      <w:r w:rsidR="00CF3CBC" w:rsidRPr="004A3983">
        <w:t>nalysis and recommendation</w:t>
      </w:r>
      <w:bookmarkEnd w:id="265"/>
    </w:p>
    <w:p w14:paraId="6EEC0DD5" w14:textId="4BC25612" w:rsidR="00D25021" w:rsidRPr="004A3983" w:rsidRDefault="00C74446" w:rsidP="00C74446">
      <w:pPr>
        <w:spacing w:after="0"/>
        <w:rPr>
          <w:rFonts w:ascii="Gotham Book" w:hAnsi="Gotham Book"/>
        </w:rPr>
      </w:pPr>
      <w:r w:rsidRPr="004A3983">
        <w:rPr>
          <w:rFonts w:ascii="Gotham Book" w:eastAsia="Times New Roman" w:hAnsi="Gotham Book" w:cs="Times New Roman"/>
          <w:lang w:eastAsia="en-AU"/>
        </w:rPr>
        <w:t>The Commission welcomes the above</w:t>
      </w:r>
      <w:r w:rsidR="002A04A5" w:rsidRPr="004A3983">
        <w:rPr>
          <w:rFonts w:ascii="Gotham Book" w:eastAsia="Times New Roman" w:hAnsi="Gotham Book" w:cs="Times New Roman"/>
          <w:lang w:eastAsia="en-AU"/>
        </w:rPr>
        <w:t xml:space="preserve"> commitment from the NSW P</w:t>
      </w:r>
      <w:r w:rsidR="00342D1D" w:rsidRPr="004A3983">
        <w:rPr>
          <w:rFonts w:ascii="Gotham Book" w:eastAsia="Times New Roman" w:hAnsi="Gotham Book" w:cs="Times New Roman"/>
          <w:lang w:eastAsia="en-AU"/>
        </w:rPr>
        <w:t xml:space="preserve">olice Force. </w:t>
      </w:r>
      <w:r w:rsidR="00D25021" w:rsidRPr="004A3983">
        <w:rPr>
          <w:rFonts w:ascii="Gotham Book" w:hAnsi="Gotham Book"/>
        </w:rPr>
        <w:t>The Commission ag</w:t>
      </w:r>
      <w:r w:rsidR="004A1E57" w:rsidRPr="004A3983">
        <w:rPr>
          <w:rFonts w:ascii="Gotham Book" w:hAnsi="Gotham Book"/>
        </w:rPr>
        <w:t xml:space="preserve">rees with the </w:t>
      </w:r>
      <w:r w:rsidR="00B21184" w:rsidRPr="004A3983">
        <w:rPr>
          <w:rFonts w:ascii="Gotham Book" w:hAnsi="Gotham Book"/>
        </w:rPr>
        <w:t>approach suggested by the NSW Police Force,</w:t>
      </w:r>
      <w:r w:rsidR="00D25021" w:rsidRPr="004A3983">
        <w:rPr>
          <w:rFonts w:ascii="Gotham Book" w:hAnsi="Gotham Book"/>
        </w:rPr>
        <w:t xml:space="preserve"> of notifying all persons who </w:t>
      </w:r>
      <w:r w:rsidR="00D25021" w:rsidRPr="004A3983">
        <w:rPr>
          <w:rFonts w:ascii="Gotham Book" w:hAnsi="Gotham Book"/>
          <w:b/>
        </w:rPr>
        <w:t>may</w:t>
      </w:r>
      <w:r w:rsidR="00D25021" w:rsidRPr="004A3983">
        <w:rPr>
          <w:rFonts w:ascii="Gotham Book" w:hAnsi="Gotham Book"/>
        </w:rPr>
        <w:t xml:space="preserve"> have been subjected to unlawful or unjust actions, and providing them </w:t>
      </w:r>
      <w:r w:rsidRPr="004A3983">
        <w:rPr>
          <w:rFonts w:ascii="Gotham Book" w:hAnsi="Gotham Book"/>
        </w:rPr>
        <w:t xml:space="preserve">with </w:t>
      </w:r>
      <w:r w:rsidR="00D25021" w:rsidRPr="004A3983">
        <w:rPr>
          <w:rFonts w:ascii="Gotham Book" w:hAnsi="Gotham Book"/>
        </w:rPr>
        <w:t xml:space="preserve">sufficient information to self-identify whether they have </w:t>
      </w:r>
      <w:r w:rsidR="00D357B4" w:rsidRPr="004A3983">
        <w:rPr>
          <w:rFonts w:ascii="Gotham Book" w:hAnsi="Gotham Book"/>
        </w:rPr>
        <w:t xml:space="preserve">in fact </w:t>
      </w:r>
      <w:r w:rsidR="00D25021" w:rsidRPr="004A3983">
        <w:rPr>
          <w:rFonts w:ascii="Gotham Book" w:hAnsi="Gotham Book"/>
        </w:rPr>
        <w:t xml:space="preserve">been subjected to any unlawful or unjust action, and to seek legal advice accordingly. This is an efficient way of using NSW Police Force resources while ensuring that </w:t>
      </w:r>
      <w:r w:rsidR="00B62AAE" w:rsidRPr="004A3983">
        <w:rPr>
          <w:rFonts w:ascii="Gotham Book" w:hAnsi="Gotham Book"/>
        </w:rPr>
        <w:t>affected persons</w:t>
      </w:r>
      <w:r w:rsidR="00D25021" w:rsidRPr="004A3983">
        <w:rPr>
          <w:rFonts w:ascii="Gotham Book" w:hAnsi="Gotham Book"/>
        </w:rPr>
        <w:t xml:space="preserve"> are sufficiently informed about the </w:t>
      </w:r>
      <w:r w:rsidR="00B21184" w:rsidRPr="004A3983">
        <w:rPr>
          <w:rFonts w:ascii="Gotham Book" w:hAnsi="Gotham Book"/>
        </w:rPr>
        <w:t>actions taken by the NSW Police Force</w:t>
      </w:r>
      <w:r w:rsidR="00D25021" w:rsidRPr="004A3983">
        <w:rPr>
          <w:rFonts w:ascii="Gotham Book" w:hAnsi="Gotham Book"/>
        </w:rPr>
        <w:t xml:space="preserve">. </w:t>
      </w:r>
    </w:p>
    <w:p w14:paraId="18256DA5" w14:textId="77777777" w:rsidR="00D25021" w:rsidRPr="004A3983" w:rsidRDefault="00D25021" w:rsidP="00C74446">
      <w:pPr>
        <w:spacing w:after="0"/>
        <w:rPr>
          <w:rFonts w:ascii="Gotham Book" w:eastAsia="Times New Roman" w:hAnsi="Gotham Book" w:cs="Times New Roman"/>
          <w:lang w:eastAsia="en-AU"/>
        </w:rPr>
      </w:pPr>
    </w:p>
    <w:p w14:paraId="55FC514D" w14:textId="007C8632" w:rsidR="00674ECF" w:rsidRPr="004A3983" w:rsidRDefault="003F2D1D" w:rsidP="006D0F77">
      <w:pPr>
        <w:spacing w:after="160"/>
        <w:rPr>
          <w:rFonts w:ascii="Gotham Book" w:hAnsi="Gotham Book"/>
        </w:rPr>
      </w:pPr>
      <w:r w:rsidRPr="004A3983">
        <w:rPr>
          <w:rFonts w:ascii="Gotham Book" w:eastAsia="Times New Roman" w:hAnsi="Gotham Book" w:cs="Times New Roman"/>
          <w:lang w:eastAsia="en-AU"/>
        </w:rPr>
        <w:t>However</w:t>
      </w:r>
      <w:r w:rsidR="00B545E5" w:rsidRPr="004A3983">
        <w:rPr>
          <w:rFonts w:ascii="Gotham Book" w:eastAsia="Times New Roman" w:hAnsi="Gotham Book" w:cs="Times New Roman"/>
          <w:lang w:eastAsia="en-AU"/>
        </w:rPr>
        <w:t>,</w:t>
      </w:r>
      <w:r w:rsidRPr="004A3983">
        <w:rPr>
          <w:rFonts w:ascii="Gotham Book" w:hAnsi="Gotham Book"/>
        </w:rPr>
        <w:t xml:space="preserve"> based on the results of the CPR case review</w:t>
      </w:r>
      <w:r w:rsidR="00B561C0" w:rsidRPr="004A3983">
        <w:rPr>
          <w:rFonts w:ascii="Gotham Book" w:hAnsi="Gotham Book"/>
        </w:rPr>
        <w:t>,</w:t>
      </w:r>
      <w:r w:rsidR="00AB552B" w:rsidRPr="004A3983">
        <w:rPr>
          <w:rFonts w:ascii="Gotham Book" w:hAnsi="Gotham Book"/>
        </w:rPr>
        <w:t xml:space="preserve"> </w:t>
      </w:r>
      <w:r w:rsidRPr="004A3983">
        <w:rPr>
          <w:rFonts w:ascii="Gotham Book" w:hAnsi="Gotham Book"/>
        </w:rPr>
        <w:t>there are 277 people</w:t>
      </w:r>
      <w:r w:rsidR="007C67AE" w:rsidRPr="004A3983">
        <w:rPr>
          <w:rFonts w:ascii="Gotham Book" w:hAnsi="Gotham Book"/>
        </w:rPr>
        <w:t>, rather than 185,</w:t>
      </w:r>
      <w:r w:rsidRPr="004A3983">
        <w:rPr>
          <w:rFonts w:ascii="Gotham Book" w:hAnsi="Gotham Book"/>
        </w:rPr>
        <w:t xml:space="preserve"> who may have been subjected to unlawful or unjust action by the NSW Police Force because of incorrect information about reporting obligations in the Register. This number </w:t>
      </w:r>
      <w:r w:rsidR="00AB552B" w:rsidRPr="004A3983">
        <w:rPr>
          <w:rFonts w:ascii="Gotham Book" w:hAnsi="Gotham Book"/>
        </w:rPr>
        <w:t>includes</w:t>
      </w:r>
      <w:r w:rsidR="00674ECF" w:rsidRPr="004A3983">
        <w:rPr>
          <w:rFonts w:ascii="Gotham Book" w:hAnsi="Gotham Book"/>
        </w:rPr>
        <w:t>:</w:t>
      </w:r>
    </w:p>
    <w:p w14:paraId="722D2EE0" w14:textId="77777777" w:rsidR="00674ECF" w:rsidRPr="004A3983" w:rsidRDefault="00AB552B" w:rsidP="00344C05">
      <w:pPr>
        <w:pStyle w:val="ListBullet"/>
      </w:pPr>
      <w:r w:rsidRPr="004A3983">
        <w:t xml:space="preserve">the 45 people who the CPR case review identified should not have been placed on the </w:t>
      </w:r>
      <w:r w:rsidRPr="004A3983">
        <w:rPr>
          <w:rFonts w:cs="Arial"/>
        </w:rPr>
        <w:t>Register</w:t>
      </w:r>
      <w:r w:rsidRPr="004A3983">
        <w:t>, minus the one person in this category who the Commission concluded in fact had been correctly placed on the Register</w:t>
      </w:r>
      <w:r w:rsidR="00674ECF" w:rsidRPr="004A3983">
        <w:t xml:space="preserve"> (see Chapter 3 section 3.5.3);</w:t>
      </w:r>
    </w:p>
    <w:p w14:paraId="5D2D0B63" w14:textId="106626A8" w:rsidR="00674ECF" w:rsidRPr="004A3983" w:rsidRDefault="00AB552B" w:rsidP="00344C05">
      <w:pPr>
        <w:pStyle w:val="ListBullet"/>
      </w:pPr>
      <w:r w:rsidRPr="004A3983">
        <w:t xml:space="preserve">the 144 people who the CPR case review identified had been </w:t>
      </w:r>
      <w:r w:rsidR="0008026F" w:rsidRPr="004A3983">
        <w:t>recorded by the NSW Police Force as having reporting obligations</w:t>
      </w:r>
      <w:r w:rsidRPr="004A3983">
        <w:t xml:space="preserve"> </w:t>
      </w:r>
      <w:r w:rsidR="0008026F" w:rsidRPr="004A3983">
        <w:t xml:space="preserve">for </w:t>
      </w:r>
      <w:r w:rsidRPr="004A3983">
        <w:t xml:space="preserve">longer than </w:t>
      </w:r>
      <w:r w:rsidR="0008026F" w:rsidRPr="004A3983">
        <w:t xml:space="preserve">was </w:t>
      </w:r>
      <w:r w:rsidRPr="004A3983">
        <w:t>permitted under the CPOR Act</w:t>
      </w:r>
      <w:r w:rsidR="00674ECF" w:rsidRPr="004A3983">
        <w:t>,</w:t>
      </w:r>
      <w:r w:rsidRPr="004A3983">
        <w:t xml:space="preserve"> and</w:t>
      </w:r>
    </w:p>
    <w:p w14:paraId="30407488" w14:textId="66FC6EBF" w:rsidR="00674ECF" w:rsidRPr="004A3983" w:rsidRDefault="003F2D1D" w:rsidP="00344C05">
      <w:pPr>
        <w:pStyle w:val="ListBullet"/>
      </w:pPr>
      <w:r w:rsidRPr="004A3983">
        <w:t xml:space="preserve">89 </w:t>
      </w:r>
      <w:r w:rsidR="00486FCD" w:rsidRPr="004A3983">
        <w:t xml:space="preserve">‘corresponding registrable persons’ </w:t>
      </w:r>
      <w:r w:rsidR="00D809A3" w:rsidRPr="004A3983">
        <w:t xml:space="preserve">who </w:t>
      </w:r>
      <w:r w:rsidR="00D05060" w:rsidRPr="004A3983">
        <w:t xml:space="preserve">had </w:t>
      </w:r>
      <w:r w:rsidR="00486FCD" w:rsidRPr="004A3983">
        <w:t>originally been registered in Queensland</w:t>
      </w:r>
      <w:r w:rsidR="00D273BB" w:rsidRPr="004A3983">
        <w:t xml:space="preserve">, </w:t>
      </w:r>
      <w:r w:rsidR="00353F63" w:rsidRPr="004A3983">
        <w:t>but who had moved to N</w:t>
      </w:r>
      <w:r w:rsidR="00D31B92">
        <w:t xml:space="preserve">ew </w:t>
      </w:r>
      <w:r w:rsidR="00353F63" w:rsidRPr="004A3983">
        <w:t>S</w:t>
      </w:r>
      <w:r w:rsidR="00D31B92">
        <w:t xml:space="preserve">outh </w:t>
      </w:r>
      <w:r w:rsidR="00353F63" w:rsidRPr="004A3983">
        <w:t>W</w:t>
      </w:r>
      <w:r w:rsidR="00D31B92">
        <w:t>ales</w:t>
      </w:r>
      <w:r w:rsidR="00353F63" w:rsidRPr="004A3983">
        <w:t xml:space="preserve"> </w:t>
      </w:r>
      <w:r w:rsidR="00D273BB" w:rsidRPr="004A3983">
        <w:t>and whose reporting periods had been reduced in 2014</w:t>
      </w:r>
      <w:r w:rsidR="00486FCD" w:rsidRPr="004A3983">
        <w:t>.</w:t>
      </w:r>
      <w:r w:rsidR="00AE6394" w:rsidRPr="004A3983">
        <w:rPr>
          <w:rStyle w:val="FootnoteReference"/>
        </w:rPr>
        <w:footnoteReference w:id="249"/>
      </w:r>
      <w:r w:rsidR="00486FCD" w:rsidRPr="004A3983">
        <w:t xml:space="preserve"> </w:t>
      </w:r>
    </w:p>
    <w:p w14:paraId="5BE17870" w14:textId="1BCA493A" w:rsidR="003F2D1D" w:rsidRPr="004A3983" w:rsidRDefault="00E521D1" w:rsidP="00C74446">
      <w:pPr>
        <w:spacing w:after="160"/>
        <w:ind w:right="-2"/>
        <w:rPr>
          <w:rFonts w:ascii="Gotham Book" w:hAnsi="Gotham Book"/>
        </w:rPr>
      </w:pPr>
      <w:r w:rsidRPr="004A3983">
        <w:rPr>
          <w:rFonts w:ascii="Gotham Book" w:hAnsi="Gotham Book"/>
        </w:rPr>
        <w:t>T</w:t>
      </w:r>
      <w:r w:rsidR="00D273BB" w:rsidRPr="004A3983">
        <w:rPr>
          <w:rFonts w:ascii="Gotham Book" w:hAnsi="Gotham Book"/>
        </w:rPr>
        <w:t>he reporting periods of the</w:t>
      </w:r>
      <w:r w:rsidRPr="004A3983">
        <w:rPr>
          <w:rFonts w:ascii="Gotham Book" w:hAnsi="Gotham Book"/>
        </w:rPr>
        <w:t xml:space="preserve"> people i</w:t>
      </w:r>
      <w:r w:rsidR="00156E3D" w:rsidRPr="004A3983">
        <w:rPr>
          <w:rFonts w:ascii="Gotham Book" w:hAnsi="Gotham Book"/>
        </w:rPr>
        <w:t>n</w:t>
      </w:r>
      <w:r w:rsidR="00674ECF" w:rsidRPr="004A3983">
        <w:rPr>
          <w:rFonts w:ascii="Gotham Book" w:hAnsi="Gotham Book"/>
        </w:rPr>
        <w:t xml:space="preserve"> the latter category</w:t>
      </w:r>
      <w:r w:rsidR="005B3F9C" w:rsidRPr="004A3983">
        <w:rPr>
          <w:rFonts w:ascii="Gotham Book" w:hAnsi="Gotham Book"/>
        </w:rPr>
        <w:t xml:space="preserve"> </w:t>
      </w:r>
      <w:r w:rsidR="00313E9E" w:rsidRPr="004A3983">
        <w:rPr>
          <w:rFonts w:ascii="Gotham Book" w:hAnsi="Gotham Book"/>
        </w:rPr>
        <w:t>had been</w:t>
      </w:r>
      <w:r w:rsidR="00FF46E4" w:rsidRPr="004A3983">
        <w:rPr>
          <w:rFonts w:ascii="Gotham Book" w:hAnsi="Gotham Book"/>
        </w:rPr>
        <w:t xml:space="preserve"> reduced</w:t>
      </w:r>
      <w:r w:rsidR="007E2424" w:rsidRPr="004A3983">
        <w:rPr>
          <w:rFonts w:ascii="Gotham Book" w:hAnsi="Gotham Book"/>
        </w:rPr>
        <w:t xml:space="preserve"> </w:t>
      </w:r>
      <w:r w:rsidR="007E4814" w:rsidRPr="004A3983">
        <w:rPr>
          <w:rFonts w:ascii="Gotham Book" w:hAnsi="Gotham Book"/>
        </w:rPr>
        <w:t>as a result of</w:t>
      </w:r>
      <w:r w:rsidR="007E2424" w:rsidRPr="004A3983">
        <w:rPr>
          <w:rFonts w:ascii="Gotham Book" w:hAnsi="Gotham Book"/>
        </w:rPr>
        <w:t xml:space="preserve"> an amendment to Queensland’s </w:t>
      </w:r>
      <w:r w:rsidR="007E2424" w:rsidRPr="004A3983">
        <w:rPr>
          <w:rFonts w:ascii="Gotham Book" w:hAnsi="Gotham Book"/>
          <w:i/>
        </w:rPr>
        <w:t>Child Protection (Offender Reporting) Act 2004</w:t>
      </w:r>
      <w:r w:rsidRPr="004A3983">
        <w:rPr>
          <w:rFonts w:ascii="Gotham Book" w:hAnsi="Gotham Book"/>
        </w:rPr>
        <w:t xml:space="preserve">, </w:t>
      </w:r>
      <w:r w:rsidR="007E2424" w:rsidRPr="004A3983">
        <w:rPr>
          <w:rFonts w:ascii="Gotham Book" w:hAnsi="Gotham Book"/>
        </w:rPr>
        <w:t xml:space="preserve">but </w:t>
      </w:r>
      <w:r w:rsidRPr="004A3983">
        <w:rPr>
          <w:rFonts w:ascii="Gotham Book" w:hAnsi="Gotham Book"/>
        </w:rPr>
        <w:t xml:space="preserve">due to a mistake </w:t>
      </w:r>
      <w:r w:rsidR="007E2424" w:rsidRPr="004A3983">
        <w:rPr>
          <w:rFonts w:ascii="Gotham Book" w:hAnsi="Gotham Book"/>
        </w:rPr>
        <w:t xml:space="preserve">the NSW Police Force was not notified </w:t>
      </w:r>
      <w:r w:rsidR="00A52502" w:rsidRPr="004A3983">
        <w:rPr>
          <w:rFonts w:ascii="Gotham Book" w:hAnsi="Gotham Book"/>
        </w:rPr>
        <w:t>by the Queensland Police Service</w:t>
      </w:r>
      <w:r w:rsidR="007E2424" w:rsidRPr="004A3983">
        <w:rPr>
          <w:rFonts w:ascii="Gotham Book" w:hAnsi="Gotham Book"/>
        </w:rPr>
        <w:t xml:space="preserve"> </w:t>
      </w:r>
      <w:r w:rsidRPr="004A3983">
        <w:rPr>
          <w:rFonts w:ascii="Gotham Book" w:hAnsi="Gotham Book"/>
        </w:rPr>
        <w:t>that those persons’ reporting periods were affected</w:t>
      </w:r>
      <w:r w:rsidR="003F2D1D" w:rsidRPr="004A3983">
        <w:rPr>
          <w:rFonts w:ascii="Gotham Book" w:hAnsi="Gotham Book"/>
        </w:rPr>
        <w:t>.</w:t>
      </w:r>
      <w:r w:rsidR="003F2D1D" w:rsidRPr="004A3983">
        <w:rPr>
          <w:rStyle w:val="FootnoteReference"/>
          <w:rFonts w:ascii="Gotham Book" w:hAnsi="Gotham Book"/>
        </w:rPr>
        <w:footnoteReference w:id="250"/>
      </w:r>
      <w:r w:rsidR="00D809A3" w:rsidRPr="004A3983">
        <w:rPr>
          <w:rFonts w:ascii="Gotham Book" w:hAnsi="Gotham Book"/>
        </w:rPr>
        <w:t xml:space="preserve"> </w:t>
      </w:r>
    </w:p>
    <w:p w14:paraId="4534997B" w14:textId="13FA5778" w:rsidR="00AE6394" w:rsidRPr="004A3983" w:rsidRDefault="00FC72DA" w:rsidP="00C74446">
      <w:pPr>
        <w:spacing w:after="0"/>
        <w:rPr>
          <w:rFonts w:ascii="Gotham Book" w:hAnsi="Gotham Book"/>
        </w:rPr>
      </w:pPr>
      <w:r w:rsidRPr="004A3983">
        <w:rPr>
          <w:rFonts w:ascii="Gotham Book" w:hAnsi="Gotham Book"/>
        </w:rPr>
        <w:t>The Commission acknowledges that the NSW Police Force was relying on the Queensland Police Service to inform it of any corresponding registrable p</w:t>
      </w:r>
      <w:r w:rsidR="00DE48AA" w:rsidRPr="004A3983">
        <w:rPr>
          <w:rFonts w:ascii="Gotham Book" w:hAnsi="Gotham Book"/>
        </w:rPr>
        <w:t xml:space="preserve">ersons from Queensland whose </w:t>
      </w:r>
      <w:r w:rsidRPr="004A3983">
        <w:rPr>
          <w:rFonts w:ascii="Gotham Book" w:hAnsi="Gotham Book"/>
        </w:rPr>
        <w:t>reporting periods needed to be updated</w:t>
      </w:r>
      <w:r w:rsidR="00313E9E" w:rsidRPr="004A3983">
        <w:rPr>
          <w:rFonts w:ascii="Gotham Book" w:hAnsi="Gotham Book"/>
        </w:rPr>
        <w:t xml:space="preserve"> following the amendment in 2014</w:t>
      </w:r>
      <w:r w:rsidRPr="004A3983">
        <w:rPr>
          <w:rFonts w:ascii="Gotham Book" w:hAnsi="Gotham Book"/>
        </w:rPr>
        <w:t xml:space="preserve">. This reliance was reasonable, given the difficulty </w:t>
      </w:r>
      <w:r w:rsidR="00B545E5" w:rsidRPr="004A3983">
        <w:rPr>
          <w:rFonts w:ascii="Gotham Book" w:hAnsi="Gotham Book"/>
        </w:rPr>
        <w:t>involved in</w:t>
      </w:r>
      <w:r w:rsidRPr="004A3983">
        <w:rPr>
          <w:rFonts w:ascii="Gotham Book" w:hAnsi="Gotham Book"/>
        </w:rPr>
        <w:t xml:space="preserve"> keeping up to date with all the amendments to offender registration laws i</w:t>
      </w:r>
      <w:r w:rsidR="00B545E5" w:rsidRPr="004A3983">
        <w:rPr>
          <w:rFonts w:ascii="Gotham Book" w:hAnsi="Gotham Book"/>
        </w:rPr>
        <w:t xml:space="preserve">n other jurisdictions. Unfortunately, due to the legislative amendment in Queensland, and the mistake of the Queensland Police Service in not notifying the NSW Police Force </w:t>
      </w:r>
      <w:r w:rsidR="00AE6394" w:rsidRPr="004A3983">
        <w:rPr>
          <w:rFonts w:ascii="Gotham Book" w:hAnsi="Gotham Book"/>
        </w:rPr>
        <w:t>that it</w:t>
      </w:r>
      <w:r w:rsidR="00313E9E" w:rsidRPr="004A3983">
        <w:rPr>
          <w:rFonts w:ascii="Gotham Book" w:hAnsi="Gotham Book"/>
        </w:rPr>
        <w:t xml:space="preserve"> affected these</w:t>
      </w:r>
      <w:r w:rsidR="00B545E5" w:rsidRPr="004A3983">
        <w:rPr>
          <w:rFonts w:ascii="Gotham Book" w:hAnsi="Gotham Book"/>
        </w:rPr>
        <w:t xml:space="preserve"> 89 persons</w:t>
      </w:r>
      <w:r w:rsidR="00AE6394" w:rsidRPr="004A3983">
        <w:rPr>
          <w:rFonts w:ascii="Gotham Book" w:hAnsi="Gotham Book"/>
        </w:rPr>
        <w:t xml:space="preserve"> in N</w:t>
      </w:r>
      <w:r w:rsidR="00DE48AA" w:rsidRPr="004A3983">
        <w:rPr>
          <w:rFonts w:ascii="Gotham Book" w:hAnsi="Gotham Book"/>
        </w:rPr>
        <w:t xml:space="preserve">ew </w:t>
      </w:r>
      <w:r w:rsidR="00AE6394" w:rsidRPr="004A3983">
        <w:rPr>
          <w:rFonts w:ascii="Gotham Book" w:hAnsi="Gotham Book"/>
        </w:rPr>
        <w:t>S</w:t>
      </w:r>
      <w:r w:rsidR="00DE48AA" w:rsidRPr="004A3983">
        <w:rPr>
          <w:rFonts w:ascii="Gotham Book" w:hAnsi="Gotham Book"/>
        </w:rPr>
        <w:t xml:space="preserve">outh </w:t>
      </w:r>
      <w:r w:rsidR="00AE6394" w:rsidRPr="004A3983">
        <w:rPr>
          <w:rFonts w:ascii="Gotham Book" w:hAnsi="Gotham Book"/>
        </w:rPr>
        <w:t>W</w:t>
      </w:r>
      <w:r w:rsidR="00DE48AA" w:rsidRPr="004A3983">
        <w:rPr>
          <w:rFonts w:ascii="Gotham Book" w:hAnsi="Gotham Book"/>
        </w:rPr>
        <w:t>ales</w:t>
      </w:r>
      <w:r w:rsidR="004A1E57" w:rsidRPr="004A3983">
        <w:rPr>
          <w:rFonts w:ascii="Gotham Book" w:hAnsi="Gotham Book"/>
        </w:rPr>
        <w:t xml:space="preserve">, the NSW Police Force </w:t>
      </w:r>
      <w:r w:rsidR="00B545E5" w:rsidRPr="004A3983">
        <w:rPr>
          <w:rFonts w:ascii="Gotham Book" w:hAnsi="Gotham Book"/>
        </w:rPr>
        <w:t xml:space="preserve">records regarding their reporting periods became incorrect. </w:t>
      </w:r>
    </w:p>
    <w:p w14:paraId="6C07B401" w14:textId="77777777" w:rsidR="00AE6394" w:rsidRPr="004A3983" w:rsidRDefault="00AE6394" w:rsidP="003F2D1D">
      <w:pPr>
        <w:spacing w:after="0" w:line="240" w:lineRule="auto"/>
        <w:rPr>
          <w:rFonts w:ascii="Gotham Book" w:hAnsi="Gotham Book"/>
        </w:rPr>
      </w:pPr>
    </w:p>
    <w:p w14:paraId="7CC4BE05" w14:textId="04950320" w:rsidR="00FC2DE4" w:rsidRPr="004A3983" w:rsidRDefault="002516D0" w:rsidP="00422F1D">
      <w:pPr>
        <w:spacing w:after="160"/>
        <w:rPr>
          <w:rFonts w:ascii="Gotham Book" w:hAnsi="Gotham Book"/>
          <w:color w:val="000000"/>
        </w:rPr>
      </w:pPr>
      <w:r w:rsidRPr="004A3983">
        <w:rPr>
          <w:rFonts w:ascii="Gotham Book" w:hAnsi="Gotham Book"/>
        </w:rPr>
        <w:lastRenderedPageBreak/>
        <w:t xml:space="preserve">The NSW Police Force itself identified that </w:t>
      </w:r>
      <w:r w:rsidR="00B545E5" w:rsidRPr="004A3983">
        <w:rPr>
          <w:rFonts w:ascii="Gotham Book" w:hAnsi="Gotham Book"/>
        </w:rPr>
        <w:t xml:space="preserve">at least two people in this group of 89 </w:t>
      </w:r>
      <w:r w:rsidRPr="004A3983">
        <w:rPr>
          <w:rFonts w:ascii="Gotham Book" w:hAnsi="Gotham Book"/>
        </w:rPr>
        <w:t>were, as a result</w:t>
      </w:r>
      <w:r w:rsidR="00AB04F6" w:rsidRPr="004A3983">
        <w:rPr>
          <w:rFonts w:ascii="Gotham Book" w:hAnsi="Gotham Book"/>
        </w:rPr>
        <w:t xml:space="preserve"> of this chain of events</w:t>
      </w:r>
      <w:r w:rsidRPr="004A3983">
        <w:rPr>
          <w:rFonts w:ascii="Gotham Book" w:hAnsi="Gotham Book"/>
        </w:rPr>
        <w:t>,</w:t>
      </w:r>
      <w:r w:rsidR="00B545E5" w:rsidRPr="004A3983">
        <w:rPr>
          <w:rFonts w:ascii="Gotham Book" w:hAnsi="Gotham Book"/>
        </w:rPr>
        <w:t xml:space="preserve"> subjected to unlawful reporting requirements by the NSW Police Force, and were wrongly </w:t>
      </w:r>
      <w:r w:rsidR="00B545E5" w:rsidRPr="004A3983">
        <w:rPr>
          <w:rFonts w:ascii="Gotham Book" w:hAnsi="Gotham Book"/>
          <w:color w:val="000000"/>
        </w:rPr>
        <w:t xml:space="preserve">convicted and sentenced for </w:t>
      </w:r>
      <w:r w:rsidRPr="004A3983">
        <w:rPr>
          <w:rFonts w:ascii="Gotham Book" w:hAnsi="Gotham Book"/>
          <w:color w:val="000000"/>
        </w:rPr>
        <w:t>offences under</w:t>
      </w:r>
      <w:r w:rsidR="00B545E5" w:rsidRPr="004A3983">
        <w:rPr>
          <w:rFonts w:ascii="Gotham Book" w:hAnsi="Gotham Book"/>
          <w:color w:val="000000"/>
        </w:rPr>
        <w:t xml:space="preserve"> </w:t>
      </w:r>
      <w:r w:rsidR="008D2CCE" w:rsidRPr="004A3983">
        <w:rPr>
          <w:rFonts w:ascii="Gotham Book" w:hAnsi="Gotham Book"/>
          <w:color w:val="000000"/>
        </w:rPr>
        <w:t xml:space="preserve">the </w:t>
      </w:r>
      <w:r w:rsidR="00B545E5" w:rsidRPr="004A3983">
        <w:rPr>
          <w:rFonts w:ascii="Gotham Book" w:hAnsi="Gotham Book"/>
          <w:color w:val="000000"/>
        </w:rPr>
        <w:t>CPOR Act.</w:t>
      </w:r>
      <w:r w:rsidR="00B545E5" w:rsidRPr="004A3983">
        <w:rPr>
          <w:rStyle w:val="FootnoteReference"/>
          <w:rFonts w:ascii="Gotham Book" w:hAnsi="Gotham Book"/>
          <w:color w:val="000000"/>
        </w:rPr>
        <w:footnoteReference w:id="251"/>
      </w:r>
      <w:r w:rsidRPr="004A3983">
        <w:rPr>
          <w:rFonts w:ascii="Gotham Book" w:hAnsi="Gotham Book"/>
          <w:color w:val="000000"/>
        </w:rPr>
        <w:t xml:space="preserve"> </w:t>
      </w:r>
    </w:p>
    <w:p w14:paraId="7C31E990" w14:textId="5EA1BD12" w:rsidR="00AB04F6" w:rsidRPr="004A3983" w:rsidRDefault="00AE6394" w:rsidP="00422F1D">
      <w:pPr>
        <w:spacing w:after="160"/>
        <w:rPr>
          <w:rFonts w:cs="Arial"/>
        </w:rPr>
      </w:pPr>
      <w:r w:rsidRPr="004A3983">
        <w:rPr>
          <w:rFonts w:ascii="Gotham Book" w:hAnsi="Gotham Book"/>
          <w:color w:val="000000"/>
        </w:rPr>
        <w:t xml:space="preserve">One of these persons, </w:t>
      </w:r>
      <w:bookmarkStart w:id="266" w:name="_Toc13230024"/>
      <w:r w:rsidR="002516D0" w:rsidRPr="004A3983">
        <w:t xml:space="preserve">Mr HH, </w:t>
      </w:r>
      <w:r w:rsidRPr="004A3983">
        <w:t xml:space="preserve">was sent a letter by </w:t>
      </w:r>
      <w:r w:rsidR="002516D0" w:rsidRPr="004A3983">
        <w:t>the NSW Police Force which was misleading</w:t>
      </w:r>
      <w:r w:rsidR="00D9613D" w:rsidRPr="004A3983">
        <w:t>, in a similar way to those mentioned in Finding 4. Mr HH’s letter</w:t>
      </w:r>
      <w:r w:rsidR="002516D0" w:rsidRPr="004A3983">
        <w:t xml:space="preserve"> was dated 12 December 2016 and stated </w:t>
      </w:r>
      <w:r w:rsidR="002516D0" w:rsidRPr="004A3983">
        <w:rPr>
          <w:rFonts w:cs="Arial"/>
        </w:rPr>
        <w:t>‘from the above date you are no longer required to report’, and that his reporting obligations ‘have now ceased’, when in fact his reporting obligations had ceased in September 2014.</w:t>
      </w:r>
      <w:r w:rsidR="002516D0" w:rsidRPr="004A3983">
        <w:rPr>
          <w:vertAlign w:val="superscript"/>
        </w:rPr>
        <w:footnoteReference w:id="252"/>
      </w:r>
      <w:r w:rsidR="002516D0" w:rsidRPr="004A3983">
        <w:rPr>
          <w:rFonts w:cs="Arial"/>
        </w:rPr>
        <w:t xml:space="preserve"> However, it was submitted, and the Commission accepts, that </w:t>
      </w:r>
      <w:r w:rsidR="00580EDD" w:rsidRPr="004A3983">
        <w:rPr>
          <w:rFonts w:cs="Arial"/>
        </w:rPr>
        <w:t>the content</w:t>
      </w:r>
      <w:r w:rsidR="000C0968" w:rsidRPr="004A3983">
        <w:rPr>
          <w:rFonts w:cs="Arial"/>
        </w:rPr>
        <w:t xml:space="preserve"> of that letter w</w:t>
      </w:r>
      <w:r w:rsidR="00580EDD" w:rsidRPr="004A3983">
        <w:rPr>
          <w:rFonts w:cs="Arial"/>
        </w:rPr>
        <w:t>as</w:t>
      </w:r>
      <w:r w:rsidR="002516D0" w:rsidRPr="004A3983">
        <w:rPr>
          <w:rFonts w:cs="Arial"/>
        </w:rPr>
        <w:t xml:space="preserve"> </w:t>
      </w:r>
      <w:r w:rsidR="000C0968" w:rsidRPr="004A3983">
        <w:rPr>
          <w:rFonts w:cs="Arial"/>
        </w:rPr>
        <w:t>copied from</w:t>
      </w:r>
      <w:r w:rsidR="008D509F" w:rsidRPr="004A3983">
        <w:rPr>
          <w:rFonts w:cs="Arial"/>
        </w:rPr>
        <w:t xml:space="preserve"> a template </w:t>
      </w:r>
      <w:r w:rsidR="002516D0" w:rsidRPr="004A3983">
        <w:rPr>
          <w:rFonts w:cs="Arial"/>
        </w:rPr>
        <w:t>drafted by the Queensland Police Service</w:t>
      </w:r>
      <w:r w:rsidR="00D9613D" w:rsidRPr="004A3983">
        <w:rPr>
          <w:rFonts w:cs="Arial"/>
        </w:rPr>
        <w:t>.</w:t>
      </w:r>
      <w:r w:rsidR="002516D0" w:rsidRPr="004A3983">
        <w:rPr>
          <w:rStyle w:val="FootnoteReference"/>
          <w:rFonts w:cs="Arial"/>
        </w:rPr>
        <w:footnoteReference w:id="253"/>
      </w:r>
      <w:r w:rsidR="00580EDD" w:rsidRPr="004A3983">
        <w:rPr>
          <w:rFonts w:cs="Arial"/>
        </w:rPr>
        <w:t xml:space="preserve"> It appears from the</w:t>
      </w:r>
      <w:r w:rsidR="008D509F" w:rsidRPr="004A3983">
        <w:rPr>
          <w:rFonts w:cs="Arial"/>
        </w:rPr>
        <w:t xml:space="preserve"> template</w:t>
      </w:r>
      <w:r w:rsidR="000C0968" w:rsidRPr="004A3983">
        <w:rPr>
          <w:rFonts w:cs="Arial"/>
        </w:rPr>
        <w:t xml:space="preserve"> letter</w:t>
      </w:r>
      <w:r w:rsidR="002516D0" w:rsidRPr="004A3983">
        <w:rPr>
          <w:rFonts w:cs="Arial"/>
        </w:rPr>
        <w:t xml:space="preserve"> that the Queensland Police Service adopted a similar view to </w:t>
      </w:r>
      <w:r w:rsidR="00AB04F6" w:rsidRPr="004A3983">
        <w:rPr>
          <w:rFonts w:cs="Arial"/>
        </w:rPr>
        <w:t>that adopted by</w:t>
      </w:r>
      <w:r w:rsidR="002516D0" w:rsidRPr="004A3983">
        <w:rPr>
          <w:rFonts w:cs="Arial"/>
        </w:rPr>
        <w:t xml:space="preserve"> the NSW Police Force</w:t>
      </w:r>
      <w:r w:rsidR="00AB04F6" w:rsidRPr="004A3983">
        <w:rPr>
          <w:rFonts w:cs="Arial"/>
        </w:rPr>
        <w:t xml:space="preserve"> in 2016</w:t>
      </w:r>
      <w:r w:rsidR="002516D0" w:rsidRPr="004A3983">
        <w:rPr>
          <w:rFonts w:cs="Arial"/>
        </w:rPr>
        <w:t xml:space="preserve">, namely that </w:t>
      </w:r>
      <w:r w:rsidR="0074306C" w:rsidRPr="004A3983">
        <w:rPr>
          <w:rFonts w:cs="Arial"/>
        </w:rPr>
        <w:t xml:space="preserve">there was no obligation </w:t>
      </w:r>
      <w:r w:rsidR="002516D0" w:rsidRPr="004A3983">
        <w:rPr>
          <w:rFonts w:cs="Arial"/>
        </w:rPr>
        <w:t xml:space="preserve">to inform persons that they had been subjected to unlawful reporting requirements </w:t>
      </w:r>
      <w:r w:rsidR="00FD50D2" w:rsidRPr="004A3983">
        <w:rPr>
          <w:rFonts w:cs="Arial"/>
        </w:rPr>
        <w:t>due to inaccurate</w:t>
      </w:r>
      <w:r w:rsidR="002516D0" w:rsidRPr="004A3983">
        <w:rPr>
          <w:rFonts w:cs="Arial"/>
        </w:rPr>
        <w:t xml:space="preserve"> police records as to their reporting periods under offender registration laws.</w:t>
      </w:r>
      <w:bookmarkEnd w:id="266"/>
    </w:p>
    <w:p w14:paraId="4CFC8429" w14:textId="4EC917AD" w:rsidR="00616B34" w:rsidRPr="004A3983" w:rsidRDefault="00D47629" w:rsidP="00422F1D">
      <w:pPr>
        <w:spacing w:after="160"/>
        <w:rPr>
          <w:rFonts w:ascii="Gotham Book" w:hAnsi="Gotham Book"/>
        </w:rPr>
      </w:pPr>
      <w:r w:rsidRPr="004A3983">
        <w:rPr>
          <w:rFonts w:ascii="Gotham Book" w:hAnsi="Gotham Book"/>
        </w:rPr>
        <w:t>As</w:t>
      </w:r>
      <w:r w:rsidR="007139F5" w:rsidRPr="004A3983">
        <w:rPr>
          <w:rFonts w:ascii="Gotham Book" w:hAnsi="Gotham Book"/>
        </w:rPr>
        <w:t xml:space="preserve"> </w:t>
      </w:r>
      <w:r w:rsidRPr="004A3983">
        <w:rPr>
          <w:rFonts w:ascii="Gotham Book" w:hAnsi="Gotham Book"/>
        </w:rPr>
        <w:t xml:space="preserve">it </w:t>
      </w:r>
      <w:r w:rsidR="007139F5" w:rsidRPr="004A3983">
        <w:rPr>
          <w:rFonts w:ascii="Gotham Book" w:hAnsi="Gotham Book"/>
        </w:rPr>
        <w:t>h</w:t>
      </w:r>
      <w:r w:rsidRPr="004A3983">
        <w:rPr>
          <w:rFonts w:ascii="Gotham Book" w:hAnsi="Gotham Book"/>
        </w:rPr>
        <w:t>a</w:t>
      </w:r>
      <w:r w:rsidR="007139F5" w:rsidRPr="004A3983">
        <w:rPr>
          <w:rFonts w:ascii="Gotham Book" w:hAnsi="Gotham Book"/>
        </w:rPr>
        <w:t xml:space="preserve">s been established that </w:t>
      </w:r>
      <w:r w:rsidR="001B6FF7" w:rsidRPr="004A3983">
        <w:rPr>
          <w:rFonts w:ascii="Gotham Book" w:hAnsi="Gotham Book"/>
        </w:rPr>
        <w:t xml:space="preserve">at least </w:t>
      </w:r>
      <w:r w:rsidR="007139F5" w:rsidRPr="004A3983">
        <w:rPr>
          <w:rFonts w:ascii="Gotham Book" w:hAnsi="Gotham Book"/>
        </w:rPr>
        <w:t xml:space="preserve">two of the people in the group of 89 </w:t>
      </w:r>
      <w:r w:rsidR="001B6FF7" w:rsidRPr="004A3983">
        <w:rPr>
          <w:rFonts w:ascii="Gotham Book" w:hAnsi="Gotham Book"/>
        </w:rPr>
        <w:t>had in fact been subjected to unlawful reporting requirements, and indeed been wrongly convicted as a result, the Commission considers that the NSW Police Force should also write to all the 89 people in this group, as they may have been subjected to u</w:t>
      </w:r>
      <w:r w:rsidR="00A53FA7" w:rsidRPr="004A3983">
        <w:rPr>
          <w:rFonts w:ascii="Gotham Book" w:hAnsi="Gotham Book"/>
        </w:rPr>
        <w:t>nlawful or unjust actions in New South Wales</w:t>
      </w:r>
      <w:r w:rsidR="001B6FF7" w:rsidRPr="004A3983">
        <w:rPr>
          <w:rFonts w:ascii="Gotham Book" w:hAnsi="Gotham Book"/>
        </w:rPr>
        <w:t>.</w:t>
      </w:r>
    </w:p>
    <w:p w14:paraId="56DA7D14" w14:textId="5AC667A3" w:rsidR="00D33D60" w:rsidRPr="004A3983" w:rsidRDefault="00D33D60" w:rsidP="00422F1D">
      <w:pPr>
        <w:spacing w:after="160"/>
        <w:ind w:right="-2"/>
        <w:rPr>
          <w:rFonts w:ascii="Gotham Book" w:hAnsi="Gotham Book" w:cs="Arial"/>
        </w:rPr>
      </w:pPr>
      <w:r w:rsidRPr="004A3983">
        <w:rPr>
          <w:rFonts w:ascii="Gotham Book" w:hAnsi="Gotham Book" w:cs="Arial"/>
        </w:rPr>
        <w:t xml:space="preserve">Accordingly, the NSW Police Force should </w:t>
      </w:r>
      <w:r w:rsidRPr="004A3983">
        <w:t>write to each of the 277 people identified by the CPR case review who may have been subjected to unlawful or unjust actions by the NSW Police Force as a result of errors in the Register.</w:t>
      </w:r>
      <w:r w:rsidRPr="004A3983">
        <w:rPr>
          <w:rFonts w:ascii="Gotham Book" w:hAnsi="Gotham Book" w:cs="Arial"/>
        </w:rPr>
        <w:t xml:space="preserve"> </w:t>
      </w:r>
      <w:r w:rsidR="00616B34" w:rsidRPr="004A3983">
        <w:rPr>
          <w:rFonts w:ascii="Gotham Book" w:hAnsi="Gotham Book" w:cs="Arial"/>
        </w:rPr>
        <w:t xml:space="preserve">The Commission emphasises </w:t>
      </w:r>
      <w:r w:rsidR="005C5EAD" w:rsidRPr="004A3983">
        <w:rPr>
          <w:rFonts w:ascii="Gotham Book" w:hAnsi="Gotham Book" w:cs="Arial"/>
        </w:rPr>
        <w:t>the importance</w:t>
      </w:r>
      <w:r w:rsidR="00616B34" w:rsidRPr="004A3983">
        <w:rPr>
          <w:rFonts w:ascii="Gotham Book" w:hAnsi="Gotham Book" w:cs="Arial"/>
        </w:rPr>
        <w:t xml:space="preserve"> </w:t>
      </w:r>
      <w:r w:rsidR="005C5EAD" w:rsidRPr="004A3983">
        <w:rPr>
          <w:rFonts w:ascii="Gotham Book" w:hAnsi="Gotham Book" w:cs="Arial"/>
        </w:rPr>
        <w:t>of the NSW Police Force providing</w:t>
      </w:r>
      <w:r w:rsidR="00616B34" w:rsidRPr="004A3983">
        <w:rPr>
          <w:rFonts w:ascii="Gotham Book" w:hAnsi="Gotham Book" w:cs="Arial"/>
        </w:rPr>
        <w:t xml:space="preserve"> sufficient detail </w:t>
      </w:r>
      <w:r w:rsidR="005C5EAD" w:rsidRPr="004A3983">
        <w:rPr>
          <w:rFonts w:ascii="Gotham Book" w:hAnsi="Gotham Book" w:cs="Arial"/>
        </w:rPr>
        <w:t xml:space="preserve">in the letters to </w:t>
      </w:r>
      <w:r w:rsidR="00616B34" w:rsidRPr="004A3983">
        <w:rPr>
          <w:rFonts w:ascii="Gotham Book" w:hAnsi="Gotham Book" w:cs="Arial"/>
        </w:rPr>
        <w:t>enable each recipient to identify if in fact they were subject</w:t>
      </w:r>
      <w:r w:rsidR="00BF678B" w:rsidRPr="004A3983">
        <w:rPr>
          <w:rFonts w:ascii="Gotham Book" w:hAnsi="Gotham Book" w:cs="Arial"/>
        </w:rPr>
        <w:t>ed</w:t>
      </w:r>
      <w:r w:rsidR="00616B34" w:rsidRPr="004A3983">
        <w:rPr>
          <w:rFonts w:ascii="Gotham Book" w:hAnsi="Gotham Book" w:cs="Arial"/>
        </w:rPr>
        <w:t xml:space="preserve"> to an unlawful or unjust action by police.</w:t>
      </w:r>
      <w:r w:rsidR="000428BB" w:rsidRPr="004A3983">
        <w:rPr>
          <w:rFonts w:ascii="Gotham Book" w:hAnsi="Gotham Book" w:cs="Arial"/>
        </w:rPr>
        <w:t xml:space="preserve"> </w:t>
      </w:r>
      <w:r w:rsidRPr="004A3983">
        <w:t>Each letter should therefore:</w:t>
      </w:r>
    </w:p>
    <w:p w14:paraId="53FF56A0" w14:textId="0882C9E3" w:rsidR="0002535C" w:rsidRPr="00344C05" w:rsidRDefault="00151E9A" w:rsidP="00344C05">
      <w:pPr>
        <w:pStyle w:val="ListBullet"/>
      </w:pPr>
      <w:r w:rsidRPr="004A3983">
        <w:t>e</w:t>
      </w:r>
      <w:r w:rsidR="00A84108" w:rsidRPr="004A3983">
        <w:t xml:space="preserve">xplain </w:t>
      </w:r>
      <w:r w:rsidR="00D33D60" w:rsidRPr="004A3983">
        <w:t xml:space="preserve">the specific error that was made in their case (ie they were incorrectly determined to </w:t>
      </w:r>
      <w:r w:rsidR="00D33D60" w:rsidRPr="00344C05">
        <w:t>be a registrable person under the CPOR Act; the NSW Police Force incorrectly calculated their reporting period under the CPOR Act, or their reporting period was changed by the amendments to the Child Protection (Offender Reporting) Act 2004 (Qld)), and</w:t>
      </w:r>
    </w:p>
    <w:p w14:paraId="08258CDA" w14:textId="196BDFCA" w:rsidR="0002535C" w:rsidRPr="004A3983" w:rsidRDefault="00D33D60" w:rsidP="00677139">
      <w:pPr>
        <w:pStyle w:val="ListBullet"/>
        <w:numPr>
          <w:ilvl w:val="1"/>
          <w:numId w:val="15"/>
        </w:numPr>
      </w:pPr>
      <w:r w:rsidRPr="00344C05">
        <w:t>in the case</w:t>
      </w:r>
      <w:r w:rsidRPr="004A3983">
        <w:t xml:space="preserve"> of </w:t>
      </w:r>
      <w:r w:rsidR="00C87D05" w:rsidRPr="004A3983">
        <w:t xml:space="preserve">each of </w:t>
      </w:r>
      <w:r w:rsidRPr="004A3983">
        <w:t>the 144 persons whose reporting period</w:t>
      </w:r>
      <w:r w:rsidR="00C87D05" w:rsidRPr="004A3983">
        <w:t>s were</w:t>
      </w:r>
      <w:r w:rsidRPr="004A3983">
        <w:t xml:space="preserve"> inaccurate because the NSW Police</w:t>
      </w:r>
      <w:r w:rsidR="00C87D05" w:rsidRPr="004A3983">
        <w:t xml:space="preserve"> Force incorrectly calculated them</w:t>
      </w:r>
      <w:r w:rsidRPr="004A3983">
        <w:t>,</w:t>
      </w:r>
      <w:r w:rsidR="00816046" w:rsidRPr="004A3983">
        <w:t xml:space="preserve"> </w:t>
      </w:r>
      <w:r w:rsidR="00816046" w:rsidRPr="004A3983">
        <w:lastRenderedPageBreak/>
        <w:t>and the 89 people w</w:t>
      </w:r>
      <w:r w:rsidR="00F419D9" w:rsidRPr="004A3983">
        <w:t>hose reporting periods were</w:t>
      </w:r>
      <w:r w:rsidR="00816046" w:rsidRPr="004A3983">
        <w:t xml:space="preserve"> changed in 2014 due to the amendments to the </w:t>
      </w:r>
      <w:r w:rsidR="00816046" w:rsidRPr="004A3983">
        <w:rPr>
          <w:i/>
        </w:rPr>
        <w:t>Child Protection (Offender Reporting) Act 2004</w:t>
      </w:r>
      <w:r w:rsidR="00816046" w:rsidRPr="004A3983">
        <w:t xml:space="preserve"> (Qld)</w:t>
      </w:r>
      <w:r w:rsidRPr="004A3983">
        <w:t xml:space="preserve"> specify on what date the person’s reporting obligations under the</w:t>
      </w:r>
      <w:r w:rsidR="00747AA3" w:rsidRPr="004A3983">
        <w:t xml:space="preserve"> CPOR Act had in fact ended;</w:t>
      </w:r>
    </w:p>
    <w:p w14:paraId="63FE0CAE" w14:textId="77777777" w:rsidR="0002535C" w:rsidRPr="00344C05" w:rsidRDefault="00D33D60" w:rsidP="00344C05">
      <w:pPr>
        <w:pStyle w:val="ListBullet"/>
      </w:pPr>
      <w:r w:rsidRPr="004A3983">
        <w:t xml:space="preserve">advise the person that, as a result of the error in their case, any of the </w:t>
      </w:r>
      <w:r w:rsidRPr="00344C05">
        <w:t>following actions may have been taken against them during a period when they did not have reporting obligations under the CPOR Act:</w:t>
      </w:r>
    </w:p>
    <w:p w14:paraId="5E848FB6" w14:textId="77777777" w:rsidR="0002535C" w:rsidRPr="00344C05" w:rsidRDefault="00D33D60" w:rsidP="00677139">
      <w:pPr>
        <w:pStyle w:val="ListBullet"/>
        <w:numPr>
          <w:ilvl w:val="1"/>
          <w:numId w:val="15"/>
        </w:numPr>
      </w:pPr>
      <w:r w:rsidRPr="00344C05">
        <w:t>they may have been required by the NSW Police Force to report their information to police when there was no legal basis for this requirement in the CPOR Act;</w:t>
      </w:r>
    </w:p>
    <w:p w14:paraId="1A93E697" w14:textId="77777777" w:rsidR="0002535C" w:rsidRPr="00344C05" w:rsidRDefault="00D33D60" w:rsidP="00677139">
      <w:pPr>
        <w:pStyle w:val="ListBullet"/>
        <w:numPr>
          <w:ilvl w:val="1"/>
          <w:numId w:val="15"/>
        </w:numPr>
      </w:pPr>
      <w:r w:rsidRPr="00344C05">
        <w:t>they may have been subjected to unannounced home inspections by the NSW Police Force in purported reliance on s 16C of the CPOR Act, when that section did not in fact authorise the inspection;</w:t>
      </w:r>
    </w:p>
    <w:p w14:paraId="3A79F64D" w14:textId="77777777" w:rsidR="0002535C" w:rsidRPr="00344C05" w:rsidRDefault="00D33D60" w:rsidP="00677139">
      <w:pPr>
        <w:pStyle w:val="ListBullet"/>
        <w:numPr>
          <w:ilvl w:val="1"/>
          <w:numId w:val="15"/>
        </w:numPr>
      </w:pPr>
      <w:r w:rsidRPr="00344C05">
        <w:t>they may have been arrested for, or otherwise charged with offences relating to reporting obligations under the CPOR Act, when those obligations did not apply to them at the relevant time, and if so,</w:t>
      </w:r>
    </w:p>
    <w:p w14:paraId="12AFA73C" w14:textId="6B21D96A" w:rsidR="0002535C" w:rsidRPr="004A3983" w:rsidRDefault="00D33D60" w:rsidP="00677139">
      <w:pPr>
        <w:pStyle w:val="ListBullet"/>
        <w:numPr>
          <w:ilvl w:val="1"/>
          <w:numId w:val="15"/>
        </w:numPr>
      </w:pPr>
      <w:r w:rsidRPr="00344C05">
        <w:t>they may</w:t>
      </w:r>
      <w:r w:rsidRPr="004A3983">
        <w:t xml:space="preserve"> have been convicted and sentenced for offences under the CPOR Act that they were not guilty of, as they had no reporting obligations under the CPOR Act at the relevant</w:t>
      </w:r>
      <w:r w:rsidR="00492D1A">
        <w:t xml:space="preserve"> time, and</w:t>
      </w:r>
    </w:p>
    <w:p w14:paraId="6B98D8B1" w14:textId="77AF5A3F" w:rsidR="00D33D60" w:rsidRPr="004A3983" w:rsidRDefault="00D33D60" w:rsidP="00344C05">
      <w:pPr>
        <w:pStyle w:val="ListBullet"/>
      </w:pPr>
      <w:r w:rsidRPr="004A3983">
        <w:t>apologise for these errors, and suggest the person may wish to obtain independent legal advice.</w:t>
      </w:r>
    </w:p>
    <w:p w14:paraId="3942C748" w14:textId="62772C09" w:rsidR="008505D8" w:rsidRPr="004A3983" w:rsidRDefault="00D33D60" w:rsidP="00E80239">
      <w:pPr>
        <w:pStyle w:val="RecommendationHeadings"/>
        <w:spacing w:after="160"/>
      </w:pPr>
      <w:r w:rsidRPr="004A3983">
        <w:rPr>
          <w:b/>
        </w:rPr>
        <w:t xml:space="preserve"> </w:t>
      </w:r>
      <w:bookmarkStart w:id="267" w:name="_Toc22277335"/>
      <w:r w:rsidR="000C5454" w:rsidRPr="004A3983">
        <w:rPr>
          <w:b/>
        </w:rPr>
        <w:t xml:space="preserve">Notify persons </w:t>
      </w:r>
      <w:r w:rsidR="00576D40" w:rsidRPr="004A3983">
        <w:rPr>
          <w:b/>
        </w:rPr>
        <w:t>who may have been subjected to</w:t>
      </w:r>
      <w:r w:rsidR="00116119" w:rsidRPr="004A3983">
        <w:rPr>
          <w:b/>
        </w:rPr>
        <w:t xml:space="preserve"> unlawful </w:t>
      </w:r>
      <w:r w:rsidR="004E4A9C" w:rsidRPr="004A3983">
        <w:rPr>
          <w:b/>
        </w:rPr>
        <w:t xml:space="preserve">or unjust </w:t>
      </w:r>
      <w:r w:rsidR="00116119" w:rsidRPr="004A3983">
        <w:rPr>
          <w:b/>
        </w:rPr>
        <w:t>actions by the NSW Police Force.</w:t>
      </w:r>
      <w:r w:rsidR="00116119" w:rsidRPr="004A3983">
        <w:t xml:space="preserve"> </w:t>
      </w:r>
      <w:r w:rsidR="00336675" w:rsidRPr="004A3983">
        <w:t xml:space="preserve">The NSW Police Force </w:t>
      </w:r>
      <w:r w:rsidR="000C5454" w:rsidRPr="004A3983">
        <w:t xml:space="preserve">write to each of the 277 people </w:t>
      </w:r>
      <w:r w:rsidR="00CF3CBC" w:rsidRPr="004A3983">
        <w:t xml:space="preserve">identified by the CPR case review </w:t>
      </w:r>
      <w:r w:rsidR="000C5454" w:rsidRPr="004A3983">
        <w:t>who may have been subjected to unlawful or unjust action</w:t>
      </w:r>
      <w:r w:rsidR="00CF3CBC" w:rsidRPr="004A3983">
        <w:t>s by the NSW Police Force</w:t>
      </w:r>
      <w:r w:rsidR="000C5454" w:rsidRPr="004A3983">
        <w:t xml:space="preserve"> as a result of errors in the Child Protection Register. Each letter should:</w:t>
      </w:r>
      <w:bookmarkEnd w:id="267"/>
    </w:p>
    <w:p w14:paraId="5587C566" w14:textId="24D2033F" w:rsidR="000C1433" w:rsidRPr="004A3983" w:rsidRDefault="00C87D05" w:rsidP="00344C05">
      <w:pPr>
        <w:pStyle w:val="ListBullet"/>
      </w:pPr>
      <w:bookmarkStart w:id="268" w:name="_Toc22277336"/>
      <w:r w:rsidRPr="004A3983">
        <w:t>explain</w:t>
      </w:r>
      <w:r w:rsidR="006F7E85" w:rsidRPr="004A3983">
        <w:t xml:space="preserve"> the </w:t>
      </w:r>
      <w:r w:rsidR="005018F7" w:rsidRPr="004A3983">
        <w:t xml:space="preserve">specific </w:t>
      </w:r>
      <w:r w:rsidR="006F7E85" w:rsidRPr="004A3983">
        <w:t>error that was made in their case</w:t>
      </w:r>
      <w:r w:rsidRPr="004A3983">
        <w:t>;</w:t>
      </w:r>
      <w:bookmarkEnd w:id="268"/>
      <w:r w:rsidR="005018F7" w:rsidRPr="004A3983">
        <w:t xml:space="preserve"> </w:t>
      </w:r>
    </w:p>
    <w:p w14:paraId="178B5834" w14:textId="27D33B84" w:rsidR="00616B34" w:rsidRPr="004A3983" w:rsidRDefault="00C87D05" w:rsidP="00344C05">
      <w:pPr>
        <w:pStyle w:val="ListBullet"/>
      </w:pPr>
      <w:bookmarkStart w:id="269" w:name="_Toc22277337"/>
      <w:r w:rsidRPr="004A3983">
        <w:t>identify each of the types of actions that the NSW Police Force may have mistakenly subjected the person to as a result of that error, and</w:t>
      </w:r>
      <w:bookmarkEnd w:id="269"/>
      <w:r w:rsidRPr="004A3983">
        <w:t xml:space="preserve"> </w:t>
      </w:r>
    </w:p>
    <w:p w14:paraId="2A639488" w14:textId="4A7D36DF" w:rsidR="004E3037" w:rsidRPr="004A3983" w:rsidRDefault="004E3037" w:rsidP="00344C05">
      <w:pPr>
        <w:pStyle w:val="ListBullet"/>
      </w:pPr>
      <w:bookmarkStart w:id="270" w:name="_Toc22277338"/>
      <w:r w:rsidRPr="004A3983">
        <w:t>apologise for these errors, and suggest the person may wish to obtain independent legal advice.</w:t>
      </w:r>
      <w:bookmarkEnd w:id="270"/>
    </w:p>
    <w:p w14:paraId="4EA43C5E" w14:textId="77777777" w:rsidR="0069675C" w:rsidRDefault="000E272B" w:rsidP="0069675C">
      <w:pPr>
        <w:spacing w:after="160"/>
        <w:ind w:right="-2"/>
        <w:rPr>
          <w:rFonts w:ascii="Gotham Book" w:hAnsi="Gotham Book" w:cs="Arial"/>
        </w:rPr>
      </w:pPr>
      <w:r w:rsidRPr="004A3983">
        <w:rPr>
          <w:rFonts w:ascii="Gotham Book" w:hAnsi="Gotham Book" w:cs="Arial"/>
        </w:rPr>
        <w:t>T</w:t>
      </w:r>
      <w:r w:rsidR="00044DDE" w:rsidRPr="004A3983">
        <w:rPr>
          <w:rFonts w:ascii="Gotham Book" w:hAnsi="Gotham Book" w:cs="Arial"/>
        </w:rPr>
        <w:t xml:space="preserve">he Commission intends to review the letters the NSW Police Force sends to persons who may have been subjected to unlawful of unjust actions as a result </w:t>
      </w:r>
      <w:r w:rsidR="0080724D" w:rsidRPr="004A3983">
        <w:rPr>
          <w:rFonts w:ascii="Gotham Book" w:hAnsi="Gotham Book" w:cs="Arial"/>
        </w:rPr>
        <w:t>of the</w:t>
      </w:r>
      <w:r w:rsidR="00044DDE" w:rsidRPr="004A3983">
        <w:rPr>
          <w:rFonts w:ascii="Gotham Book" w:hAnsi="Gotham Book" w:cs="Arial"/>
        </w:rPr>
        <w:t xml:space="preserve"> errors in the Register</w:t>
      </w:r>
      <w:r w:rsidRPr="004A3983">
        <w:rPr>
          <w:rFonts w:ascii="Gotham Book" w:hAnsi="Gotham Book" w:cs="Arial"/>
        </w:rPr>
        <w:t xml:space="preserve">. This will be done as part of </w:t>
      </w:r>
      <w:r w:rsidR="00EC58D3" w:rsidRPr="004A3983">
        <w:rPr>
          <w:rFonts w:ascii="Gotham Book" w:hAnsi="Gotham Book" w:cs="Arial"/>
        </w:rPr>
        <w:t xml:space="preserve">the Commission’s review of the </w:t>
      </w:r>
      <w:r w:rsidRPr="004A3983">
        <w:rPr>
          <w:rFonts w:ascii="Gotham Book" w:hAnsi="Gotham Book" w:cs="Arial"/>
        </w:rPr>
        <w:t xml:space="preserve">implementation of its recommendations six months after the publication of this report. </w:t>
      </w:r>
    </w:p>
    <w:p w14:paraId="7A0C09D8" w14:textId="77777777" w:rsidR="00344C05" w:rsidRDefault="00344C05" w:rsidP="0069675C">
      <w:pPr>
        <w:spacing w:after="160"/>
        <w:ind w:right="-2"/>
        <w:rPr>
          <w:rFonts w:ascii="Gotham Book" w:hAnsi="Gotham Book" w:cs="Arial"/>
        </w:rPr>
      </w:pPr>
    </w:p>
    <w:p w14:paraId="534565A6" w14:textId="3492AD38" w:rsidR="00344C05" w:rsidRPr="004A3983" w:rsidRDefault="00344C05" w:rsidP="0069675C">
      <w:pPr>
        <w:spacing w:after="160"/>
        <w:ind w:right="-2"/>
        <w:rPr>
          <w:rFonts w:ascii="Gotham Book" w:hAnsi="Gotham Book" w:cs="Arial"/>
        </w:rPr>
        <w:sectPr w:rsidR="00344C05" w:rsidRPr="004A3983" w:rsidSect="003856B4">
          <w:footerReference w:type="default" r:id="rId46"/>
          <w:headerReference w:type="first" r:id="rId47"/>
          <w:footerReference w:type="first" r:id="rId48"/>
          <w:pgSz w:w="11906" w:h="16838" w:code="9"/>
          <w:pgMar w:top="720" w:right="1276" w:bottom="1418" w:left="1276" w:header="709" w:footer="567" w:gutter="0"/>
          <w:cols w:space="708"/>
          <w:titlePg/>
          <w:docGrid w:linePitch="360"/>
        </w:sectPr>
      </w:pPr>
    </w:p>
    <w:p w14:paraId="08C44624" w14:textId="3311F734" w:rsidR="00591AB8" w:rsidRPr="004A3983" w:rsidRDefault="00591AB8" w:rsidP="0069675C">
      <w:pPr>
        <w:spacing w:after="160"/>
        <w:ind w:right="-2"/>
        <w:rPr>
          <w:rFonts w:ascii="Gotham Book" w:hAnsi="Gotham Book" w:cs="Arial"/>
        </w:rPr>
      </w:pPr>
    </w:p>
    <w:p w14:paraId="7D52A39A" w14:textId="66F23264" w:rsidR="003335AF" w:rsidRPr="004A3983" w:rsidRDefault="003335AF" w:rsidP="001C3982">
      <w:pPr>
        <w:pStyle w:val="Heading1"/>
        <w:framePr w:wrap="around"/>
      </w:pPr>
      <w:r w:rsidRPr="004A3983">
        <w:br w:type="page"/>
      </w:r>
      <w:r w:rsidR="00916D1F" w:rsidRPr="004A3983">
        <w:br/>
      </w:r>
      <w:bookmarkStart w:id="271" w:name="_Toc22627781"/>
      <w:bookmarkStart w:id="272" w:name="_Ref9615738"/>
      <w:r w:rsidR="007E37F1" w:rsidRPr="004A3983">
        <w:t>Wo</w:t>
      </w:r>
      <w:r w:rsidR="00DB1EEB" w:rsidRPr="004A3983">
        <w:t>rkload of the NSW PolIcE Force</w:t>
      </w:r>
      <w:r w:rsidR="007E37F1" w:rsidRPr="004A3983">
        <w:t xml:space="preserve"> Child Protection Registry</w:t>
      </w:r>
      <w:bookmarkEnd w:id="271"/>
      <w:r w:rsidR="00D75D79" w:rsidRPr="004A3983">
        <w:t xml:space="preserve"> </w:t>
      </w:r>
      <w:bookmarkEnd w:id="272"/>
    </w:p>
    <w:p w14:paraId="136F9152" w14:textId="388729CB" w:rsidR="00016594" w:rsidRPr="004A3983" w:rsidRDefault="00016594" w:rsidP="00F03C93">
      <w:pPr>
        <w:spacing w:after="160"/>
        <w:ind w:right="260"/>
        <w:rPr>
          <w:rFonts w:ascii="Gotham Book" w:hAnsi="Gotham Book"/>
          <w:sz w:val="20"/>
          <w:szCs w:val="20"/>
        </w:rPr>
      </w:pPr>
      <w:r w:rsidRPr="004A3983">
        <w:rPr>
          <w:rFonts w:ascii="Gotham Book" w:hAnsi="Gotham Book"/>
          <w:sz w:val="20"/>
          <w:szCs w:val="20"/>
        </w:rPr>
        <w:br w:type="page"/>
      </w:r>
    </w:p>
    <w:p w14:paraId="221FF8B3" w14:textId="1F912EE4" w:rsidR="00016594" w:rsidRPr="004A3983" w:rsidRDefault="00016594" w:rsidP="00825A6D">
      <w:pPr>
        <w:pStyle w:val="Quotelarge"/>
      </w:pPr>
      <w:r w:rsidRPr="004A3983">
        <w:lastRenderedPageBreak/>
        <w:t>‘Since its inception in 2001…[the Registry] has experienced continual and substantial increase in both volume and scope of workload…the increasing imbalance between workload and workforce…is having a direct impact on the Registry’s ability to sustain a satisfactory level of service in maintaining and managing the Child Protection Register and undertaking related functions. This is already manifesting as increasing risks to public safety, staff and NSWPF, including the risk of child sex offenders remaining unmonitored in the</w:t>
      </w:r>
      <w:r w:rsidR="00F960B6">
        <w:t> </w:t>
      </w:r>
      <w:r w:rsidRPr="004A3983">
        <w:t>community due to errors in the Child Protection Register.’</w:t>
      </w:r>
    </w:p>
    <w:p w14:paraId="345B13CF" w14:textId="663F69A4" w:rsidR="001F5A2E" w:rsidRPr="004A3983" w:rsidRDefault="00825A6D" w:rsidP="00825A6D">
      <w:pPr>
        <w:pStyle w:val="QuotelargeAuthor"/>
      </w:pPr>
      <w:r>
        <w:t xml:space="preserve">– </w:t>
      </w:r>
      <w:r w:rsidR="00016594" w:rsidRPr="004A3983">
        <w:t>Workforce Intelligence Unit, Human Resources Command, NSW Police Force, July 2017</w:t>
      </w:r>
      <w:r w:rsidR="00016594" w:rsidRPr="004A3983">
        <w:rPr>
          <w:rStyle w:val="FootnoteReference"/>
          <w:rFonts w:cs="Arial"/>
        </w:rPr>
        <w:footnoteReference w:id="254"/>
      </w:r>
    </w:p>
    <w:p w14:paraId="5FCE6495" w14:textId="0C2FEA24" w:rsidR="007E5688" w:rsidRPr="004A3983" w:rsidRDefault="00504682" w:rsidP="00AD44AE">
      <w:pPr>
        <w:pStyle w:val="Heading2"/>
        <w:spacing w:after="160"/>
        <w:ind w:right="-2"/>
      </w:pPr>
      <w:bookmarkStart w:id="273" w:name="_Toc22627782"/>
      <w:r w:rsidRPr="004A3983">
        <w:t>Introduction</w:t>
      </w:r>
      <w:bookmarkEnd w:id="273"/>
    </w:p>
    <w:p w14:paraId="00C11895" w14:textId="32D37EF3" w:rsidR="00504682" w:rsidRPr="004A3983" w:rsidRDefault="00504682" w:rsidP="00AD44AE">
      <w:pPr>
        <w:spacing w:after="160"/>
        <w:ind w:right="-2"/>
        <w:rPr>
          <w:rFonts w:ascii="Gotham Book" w:hAnsi="Gotham Book" w:cs="Arial"/>
        </w:rPr>
      </w:pPr>
      <w:r w:rsidRPr="004A3983">
        <w:rPr>
          <w:rFonts w:ascii="Gotham Book" w:hAnsi="Gotham Book" w:cs="Arial"/>
        </w:rPr>
        <w:t xml:space="preserve">In </w:t>
      </w:r>
      <w:r w:rsidR="00D3261F" w:rsidRPr="004A3983">
        <w:rPr>
          <w:rFonts w:ascii="Gotham Book" w:hAnsi="Gotham Book" w:cs="Arial"/>
        </w:rPr>
        <w:t xml:space="preserve">Chapter </w:t>
      </w:r>
      <w:r w:rsidR="00D3261F" w:rsidRPr="004A3983">
        <w:rPr>
          <w:rFonts w:ascii="Gotham Book" w:hAnsi="Gotham Book" w:cs="Arial"/>
        </w:rPr>
        <w:fldChar w:fldCharType="begin"/>
      </w:r>
      <w:r w:rsidR="00D3261F" w:rsidRPr="004A3983">
        <w:rPr>
          <w:rFonts w:ascii="Gotham Book" w:hAnsi="Gotham Book" w:cs="Arial"/>
        </w:rPr>
        <w:instrText xml:space="preserve"> REF _Ref9430195 \r \h </w:instrText>
      </w:r>
      <w:r w:rsidR="007D6323" w:rsidRPr="004A3983">
        <w:rPr>
          <w:rFonts w:ascii="Gotham Book" w:hAnsi="Gotham Book" w:cs="Arial"/>
        </w:rPr>
        <w:instrText xml:space="preserve"> \* MERGEFORMAT </w:instrText>
      </w:r>
      <w:r w:rsidR="00D3261F" w:rsidRPr="004A3983">
        <w:rPr>
          <w:rFonts w:ascii="Gotham Book" w:hAnsi="Gotham Book" w:cs="Arial"/>
        </w:rPr>
      </w:r>
      <w:r w:rsidR="00D3261F" w:rsidRPr="004A3983">
        <w:rPr>
          <w:rFonts w:ascii="Gotham Book" w:hAnsi="Gotham Book" w:cs="Arial"/>
        </w:rPr>
        <w:fldChar w:fldCharType="separate"/>
      </w:r>
      <w:r w:rsidR="00022664">
        <w:rPr>
          <w:rFonts w:ascii="Gotham Book" w:hAnsi="Gotham Book" w:cs="Arial" w:hint="cs"/>
          <w:cs/>
        </w:rPr>
        <w:t>‎</w:t>
      </w:r>
      <w:r w:rsidR="00022664">
        <w:rPr>
          <w:rFonts w:ascii="Gotham Book" w:hAnsi="Gotham Book" w:cs="Arial"/>
        </w:rPr>
        <w:t>3</w:t>
      </w:r>
      <w:r w:rsidR="00D3261F" w:rsidRPr="004A3983">
        <w:rPr>
          <w:rFonts w:ascii="Gotham Book" w:hAnsi="Gotham Book" w:cs="Arial"/>
        </w:rPr>
        <w:fldChar w:fldCharType="end"/>
      </w:r>
      <w:r w:rsidRPr="004A3983">
        <w:rPr>
          <w:rFonts w:ascii="Gotham Book" w:hAnsi="Gotham Book" w:cs="Arial"/>
        </w:rPr>
        <w:t xml:space="preserve"> we set out the </w:t>
      </w:r>
      <w:r w:rsidR="007D6323" w:rsidRPr="004A3983">
        <w:rPr>
          <w:rFonts w:ascii="Gotham Book" w:hAnsi="Gotham Book" w:cs="Arial"/>
        </w:rPr>
        <w:t xml:space="preserve">nature, </w:t>
      </w:r>
      <w:r w:rsidRPr="004A3983">
        <w:rPr>
          <w:rFonts w:ascii="Gotham Book" w:hAnsi="Gotham Book" w:cs="Arial"/>
        </w:rPr>
        <w:t xml:space="preserve">extent, and impact of the errors that have occurred in the administration of the Child Protection Register (the Register). </w:t>
      </w:r>
    </w:p>
    <w:p w14:paraId="3A7A551E" w14:textId="4E186088" w:rsidR="00504682" w:rsidRPr="004A3983" w:rsidRDefault="00504682" w:rsidP="00AD44AE">
      <w:pPr>
        <w:spacing w:after="160"/>
        <w:ind w:right="-2"/>
        <w:rPr>
          <w:rFonts w:ascii="Gotham Book" w:hAnsi="Gotham Book" w:cs="Arial"/>
        </w:rPr>
      </w:pPr>
      <w:r w:rsidRPr="004A3983">
        <w:rPr>
          <w:rFonts w:ascii="Gotham Book" w:hAnsi="Gotham Book" w:cs="Arial"/>
        </w:rPr>
        <w:t xml:space="preserve">In this chapter and the following three chapters we look at the systemic problems which </w:t>
      </w:r>
      <w:r w:rsidR="007D6323" w:rsidRPr="004A3983">
        <w:rPr>
          <w:rFonts w:ascii="Gotham Book" w:hAnsi="Gotham Book" w:cs="Arial"/>
        </w:rPr>
        <w:t>explain</w:t>
      </w:r>
      <w:r w:rsidRPr="004A3983">
        <w:rPr>
          <w:rFonts w:ascii="Gotham Book" w:hAnsi="Gotham Book" w:cs="Arial"/>
        </w:rPr>
        <w:t xml:space="preserve"> how and why so many errors </w:t>
      </w:r>
      <w:r w:rsidR="007D6323" w:rsidRPr="004A3983">
        <w:rPr>
          <w:rFonts w:ascii="Gotham Book" w:hAnsi="Gotham Book" w:cs="Arial"/>
        </w:rPr>
        <w:t xml:space="preserve">have </w:t>
      </w:r>
      <w:r w:rsidRPr="004A3983">
        <w:rPr>
          <w:rFonts w:ascii="Gotham Book" w:hAnsi="Gotham Book" w:cs="Arial"/>
        </w:rPr>
        <w:t xml:space="preserve">occurred. </w:t>
      </w:r>
    </w:p>
    <w:p w14:paraId="2832F65E" w14:textId="34564767" w:rsidR="00504682" w:rsidRPr="004A3983" w:rsidRDefault="00504682" w:rsidP="00AD44AE">
      <w:pPr>
        <w:spacing w:after="160"/>
        <w:ind w:right="-2"/>
        <w:rPr>
          <w:rFonts w:ascii="Gotham Book" w:hAnsi="Gotham Book" w:cs="Arial"/>
        </w:rPr>
      </w:pPr>
      <w:r w:rsidRPr="004A3983">
        <w:rPr>
          <w:rFonts w:ascii="Gotham Book" w:hAnsi="Gotham Book" w:cs="Arial"/>
        </w:rPr>
        <w:t>There has been a steady increase in the demand, complexity and scope of the work of the NSW Police Force Child Protection Registry (</w:t>
      </w:r>
      <w:r w:rsidR="004119C1" w:rsidRPr="004A3983">
        <w:rPr>
          <w:rFonts w:ascii="Gotham Book" w:hAnsi="Gotham Book" w:cs="Arial"/>
        </w:rPr>
        <w:t xml:space="preserve">the </w:t>
      </w:r>
      <w:r w:rsidRPr="004A3983">
        <w:rPr>
          <w:rFonts w:ascii="Gotham Book" w:hAnsi="Gotham Book" w:cs="Arial"/>
        </w:rPr>
        <w:t>Registry) since it commenced operation in 2001. The number of persons on the Register has increased significantly over time, as has the complexity of the Registry’s work in applying the statutory framewo</w:t>
      </w:r>
      <w:r w:rsidR="00437848" w:rsidRPr="004A3983">
        <w:rPr>
          <w:rFonts w:ascii="Gotham Book" w:hAnsi="Gotham Book" w:cs="Arial"/>
        </w:rPr>
        <w:t>rk in</w:t>
      </w:r>
      <w:r w:rsidRPr="004A3983">
        <w:rPr>
          <w:rFonts w:ascii="Gotham Book" w:hAnsi="Gotham Book" w:cs="Arial"/>
        </w:rPr>
        <w:t xml:space="preserve"> the CPOR Act. </w:t>
      </w:r>
    </w:p>
    <w:p w14:paraId="2C5ED3DD" w14:textId="674544E4" w:rsidR="00504682" w:rsidRPr="004A3983" w:rsidRDefault="00504682" w:rsidP="00AD44AE">
      <w:pPr>
        <w:spacing w:after="160"/>
        <w:ind w:right="-2"/>
        <w:rPr>
          <w:rFonts w:ascii="Gotham Book" w:hAnsi="Gotham Book" w:cs="Arial"/>
        </w:rPr>
      </w:pPr>
      <w:r w:rsidRPr="004A3983">
        <w:rPr>
          <w:rFonts w:ascii="Gotham Book" w:hAnsi="Gotham Book" w:cs="Arial"/>
        </w:rPr>
        <w:t>H</w:t>
      </w:r>
      <w:r w:rsidR="004B2CD7" w:rsidRPr="004A3983">
        <w:rPr>
          <w:rFonts w:ascii="Gotham Book" w:hAnsi="Gotham Book" w:cs="Arial"/>
        </w:rPr>
        <w:t>owever, the NSW Police Force did not increase</w:t>
      </w:r>
      <w:r w:rsidRPr="004A3983">
        <w:rPr>
          <w:rFonts w:ascii="Gotham Book" w:hAnsi="Gotham Book" w:cs="Arial"/>
        </w:rPr>
        <w:t xml:space="preserve"> the Registry’s resources proportionate to it</w:t>
      </w:r>
      <w:r w:rsidR="004B2CD7" w:rsidRPr="004A3983">
        <w:rPr>
          <w:rFonts w:ascii="Gotham Book" w:hAnsi="Gotham Book" w:cs="Arial"/>
        </w:rPr>
        <w:t xml:space="preserve">s increasing workload. This </w:t>
      </w:r>
      <w:r w:rsidRPr="004A3983">
        <w:rPr>
          <w:rFonts w:ascii="Gotham Book" w:hAnsi="Gotham Book" w:cs="Arial"/>
        </w:rPr>
        <w:t>led to the Registry being understaffed, with consequences for the accuracy of its work, its ability to engage in proactive investigative activities, and the welfare of its staff.</w:t>
      </w:r>
    </w:p>
    <w:p w14:paraId="4CF290D0" w14:textId="05C7A866" w:rsidR="00504682" w:rsidRPr="004A3983" w:rsidRDefault="00504682" w:rsidP="00AD44AE">
      <w:pPr>
        <w:spacing w:after="160"/>
        <w:ind w:right="-2"/>
        <w:rPr>
          <w:rFonts w:ascii="Gotham Book" w:hAnsi="Gotham Book" w:cs="Arial"/>
        </w:rPr>
      </w:pPr>
      <w:r w:rsidRPr="004A3983">
        <w:rPr>
          <w:rFonts w:ascii="Gotham Book" w:hAnsi="Gotham Book" w:cs="Arial"/>
        </w:rPr>
        <w:t xml:space="preserve">In July 2017 a unit within the Human Resources Command of the NSW Police Force completed a comprehensive review of the Registry’s workload and staffing, and recommended an additional 14 officers be allocated to the Registry, including a dedicated legal officer. </w:t>
      </w:r>
      <w:r w:rsidR="000761B9" w:rsidRPr="004A3983">
        <w:rPr>
          <w:rFonts w:ascii="Gotham Book" w:hAnsi="Gotham Book" w:cs="Arial"/>
        </w:rPr>
        <w:t xml:space="preserve">Over the last two years, in response to </w:t>
      </w:r>
      <w:r w:rsidR="00E4321A" w:rsidRPr="004A3983">
        <w:rPr>
          <w:rFonts w:ascii="Gotham Book" w:hAnsi="Gotham Book" w:cs="Arial"/>
        </w:rPr>
        <w:t>th</w:t>
      </w:r>
      <w:r w:rsidR="00C21471" w:rsidRPr="004A3983">
        <w:rPr>
          <w:rFonts w:ascii="Gotham Book" w:hAnsi="Gotham Book" w:cs="Arial"/>
        </w:rPr>
        <w:t>os</w:t>
      </w:r>
      <w:r w:rsidR="00E4321A" w:rsidRPr="004A3983">
        <w:rPr>
          <w:rFonts w:ascii="Gotham Book" w:hAnsi="Gotham Book" w:cs="Arial"/>
        </w:rPr>
        <w:t>e recommendations</w:t>
      </w:r>
      <w:r w:rsidR="000E5615" w:rsidRPr="004A3983">
        <w:rPr>
          <w:rFonts w:ascii="Gotham Book" w:hAnsi="Gotham Book" w:cs="Arial"/>
        </w:rPr>
        <w:t>,</w:t>
      </w:r>
      <w:r w:rsidR="00E4321A" w:rsidRPr="004A3983">
        <w:rPr>
          <w:rFonts w:ascii="Gotham Book" w:hAnsi="Gotham Book" w:cs="Arial"/>
        </w:rPr>
        <w:t xml:space="preserve"> and </w:t>
      </w:r>
      <w:r w:rsidR="00C21471" w:rsidRPr="004A3983">
        <w:rPr>
          <w:rFonts w:ascii="Gotham Book" w:hAnsi="Gotham Book" w:cs="Arial"/>
        </w:rPr>
        <w:t xml:space="preserve">recommendations </w:t>
      </w:r>
      <w:r w:rsidR="00AA5D7A" w:rsidRPr="004A3983">
        <w:rPr>
          <w:rFonts w:ascii="Gotham Book" w:hAnsi="Gotham Book" w:cs="Arial"/>
        </w:rPr>
        <w:t xml:space="preserve">the Commission made in its </w:t>
      </w:r>
      <w:r w:rsidR="000E5615" w:rsidRPr="004A3983">
        <w:rPr>
          <w:rFonts w:ascii="Gotham Book" w:hAnsi="Gotham Book" w:cs="Arial"/>
        </w:rPr>
        <w:t>interim report on Operation Tusket</w:t>
      </w:r>
      <w:r w:rsidR="00906C2C" w:rsidRPr="004A3983">
        <w:rPr>
          <w:rFonts w:ascii="Gotham Book" w:hAnsi="Gotham Book" w:cs="Arial"/>
        </w:rPr>
        <w:t>, the NSW Police Force has</w:t>
      </w:r>
      <w:r w:rsidR="000761B9" w:rsidRPr="004A3983">
        <w:rPr>
          <w:rFonts w:ascii="Gotham Book" w:hAnsi="Gotham Book" w:cs="Arial"/>
        </w:rPr>
        <w:t xml:space="preserve"> </w:t>
      </w:r>
      <w:r w:rsidR="00906C2C" w:rsidRPr="004A3983">
        <w:rPr>
          <w:rFonts w:ascii="Gotham Book" w:hAnsi="Gotham Book" w:cs="Arial"/>
        </w:rPr>
        <w:t xml:space="preserve">added </w:t>
      </w:r>
      <w:r w:rsidR="000761B9" w:rsidRPr="004A3983">
        <w:rPr>
          <w:rFonts w:ascii="Gotham Book" w:hAnsi="Gotham Book" w:cs="Arial"/>
        </w:rPr>
        <w:t xml:space="preserve">a total of </w:t>
      </w:r>
      <w:r w:rsidR="001C1681" w:rsidRPr="004A3983">
        <w:rPr>
          <w:rFonts w:ascii="Gotham Book" w:hAnsi="Gotham Book" w:cs="Arial"/>
        </w:rPr>
        <w:t>14</w:t>
      </w:r>
      <w:r w:rsidR="00E4321A" w:rsidRPr="004A3983">
        <w:rPr>
          <w:rFonts w:ascii="Gotham Book" w:hAnsi="Gotham Book" w:cs="Arial"/>
        </w:rPr>
        <w:t xml:space="preserve"> officers </w:t>
      </w:r>
      <w:r w:rsidR="00906C2C" w:rsidRPr="004A3983">
        <w:rPr>
          <w:rFonts w:ascii="Gotham Book" w:hAnsi="Gotham Book" w:cs="Arial"/>
        </w:rPr>
        <w:t>to the Registry</w:t>
      </w:r>
      <w:r w:rsidR="00F22605" w:rsidRPr="004A3983">
        <w:rPr>
          <w:rFonts w:ascii="Gotham Book" w:hAnsi="Gotham Book" w:cs="Arial"/>
        </w:rPr>
        <w:t>, doubling its size</w:t>
      </w:r>
      <w:r w:rsidRPr="004A3983">
        <w:rPr>
          <w:rFonts w:ascii="Gotham Book" w:hAnsi="Gotham Book" w:cs="Arial"/>
        </w:rPr>
        <w:t xml:space="preserve">. </w:t>
      </w:r>
    </w:p>
    <w:p w14:paraId="2282BA40" w14:textId="0549B409" w:rsidR="00504682" w:rsidRPr="004A3983" w:rsidRDefault="00913F2C" w:rsidP="00AD44AE">
      <w:pPr>
        <w:spacing w:after="160"/>
        <w:ind w:right="-2"/>
        <w:rPr>
          <w:rFonts w:ascii="Gotham Book" w:hAnsi="Gotham Book" w:cs="Arial"/>
        </w:rPr>
      </w:pPr>
      <w:r w:rsidRPr="004A3983">
        <w:rPr>
          <w:rFonts w:ascii="Gotham Book" w:hAnsi="Gotham Book" w:cs="Arial"/>
        </w:rPr>
        <w:t>Our recommendation at the end of this chapter is</w:t>
      </w:r>
      <w:r w:rsidR="00504682" w:rsidRPr="004A3983">
        <w:rPr>
          <w:rFonts w:ascii="Gotham Book" w:hAnsi="Gotham Book" w:cs="Arial"/>
        </w:rPr>
        <w:t xml:space="preserve"> intended to ensure that the Registry is adequately resourced to maintain the Register both</w:t>
      </w:r>
      <w:r w:rsidR="000F4E3A" w:rsidRPr="004A3983">
        <w:rPr>
          <w:rFonts w:ascii="Gotham Book" w:hAnsi="Gotham Book" w:cs="Arial"/>
        </w:rPr>
        <w:t xml:space="preserve"> now </w:t>
      </w:r>
      <w:r w:rsidR="00504682" w:rsidRPr="004A3983">
        <w:rPr>
          <w:rFonts w:ascii="Gotham Book" w:hAnsi="Gotham Book" w:cs="Arial"/>
        </w:rPr>
        <w:t xml:space="preserve">and </w:t>
      </w:r>
      <w:r w:rsidR="000F4E3A" w:rsidRPr="004A3983">
        <w:rPr>
          <w:rFonts w:ascii="Gotham Book" w:hAnsi="Gotham Book" w:cs="Arial"/>
        </w:rPr>
        <w:t>as the Registry’s workload increases in</w:t>
      </w:r>
      <w:r w:rsidR="00504682" w:rsidRPr="004A3983">
        <w:rPr>
          <w:rFonts w:ascii="Gotham Book" w:hAnsi="Gotham Book" w:cs="Arial"/>
        </w:rPr>
        <w:t xml:space="preserve"> the future.</w:t>
      </w:r>
    </w:p>
    <w:p w14:paraId="68ECB6D4" w14:textId="125397B4" w:rsidR="002A18E6" w:rsidRPr="004A3983" w:rsidRDefault="00504682" w:rsidP="00AD44AE">
      <w:pPr>
        <w:pStyle w:val="Heading2"/>
        <w:spacing w:after="160"/>
        <w:ind w:right="-2"/>
        <w:rPr>
          <w:rFonts w:ascii="Gotham Book" w:hAnsi="Gotham Book"/>
        </w:rPr>
      </w:pPr>
      <w:bookmarkStart w:id="274" w:name="_Ref9258629"/>
      <w:bookmarkStart w:id="275" w:name="_Toc22627783"/>
      <w:r w:rsidRPr="004A3983">
        <w:rPr>
          <w:rFonts w:ascii="Gotham Book" w:hAnsi="Gotham Book"/>
        </w:rPr>
        <w:lastRenderedPageBreak/>
        <w:t>Increase in demand, complexity and scope of Registry’s work</w:t>
      </w:r>
      <w:bookmarkEnd w:id="274"/>
      <w:bookmarkEnd w:id="275"/>
    </w:p>
    <w:p w14:paraId="1EAA9CF1" w14:textId="6260ACEC" w:rsidR="00504682" w:rsidRPr="004A3983" w:rsidRDefault="00504682" w:rsidP="00AD44AE">
      <w:pPr>
        <w:pStyle w:val="Heading3"/>
        <w:spacing w:after="160"/>
        <w:ind w:right="-2"/>
      </w:pPr>
      <w:bookmarkStart w:id="276" w:name="_Toc8913521"/>
      <w:bookmarkStart w:id="277" w:name="_Toc9428382"/>
      <w:bookmarkStart w:id="278" w:name="_Toc12020334"/>
      <w:bookmarkStart w:id="279" w:name="_Toc14790500"/>
      <w:bookmarkStart w:id="280" w:name="_Toc15478383"/>
      <w:bookmarkStart w:id="281" w:name="_Toc22627784"/>
      <w:r w:rsidRPr="004A3983">
        <w:t>Number of persons on the Register is continually increasing</w:t>
      </w:r>
      <w:bookmarkEnd w:id="276"/>
      <w:bookmarkEnd w:id="277"/>
      <w:bookmarkEnd w:id="278"/>
      <w:bookmarkEnd w:id="279"/>
      <w:bookmarkEnd w:id="280"/>
      <w:bookmarkEnd w:id="281"/>
    </w:p>
    <w:p w14:paraId="40334B3F" w14:textId="366DD99A" w:rsidR="00504682" w:rsidRPr="004A3983" w:rsidRDefault="00504682" w:rsidP="00AD44AE">
      <w:pPr>
        <w:spacing w:after="160"/>
        <w:ind w:right="-2"/>
        <w:rPr>
          <w:rFonts w:ascii="Gotham Book" w:hAnsi="Gotham Book"/>
        </w:rPr>
      </w:pPr>
      <w:r w:rsidRPr="004A3983">
        <w:rPr>
          <w:rFonts w:ascii="Gotham Book" w:hAnsi="Gotham Book"/>
        </w:rPr>
        <w:t>In October 2003, two years into the operation of the Register, there were 916 persons on the Register, with a further 360 persons eligible for registration pending custodial release.</w:t>
      </w:r>
      <w:r w:rsidRPr="004A3983">
        <w:rPr>
          <w:rFonts w:ascii="Gotham Book" w:hAnsi="Gotham Book"/>
          <w:vertAlign w:val="superscript"/>
        </w:rPr>
        <w:footnoteReference w:id="255"/>
      </w:r>
      <w:r w:rsidRPr="004A3983">
        <w:rPr>
          <w:rFonts w:ascii="Gotham Book" w:hAnsi="Gotham Book"/>
        </w:rPr>
        <w:t xml:space="preserve"> Since then, the numb</w:t>
      </w:r>
      <w:r w:rsidR="00552736" w:rsidRPr="004A3983">
        <w:rPr>
          <w:rFonts w:ascii="Gotham Book" w:hAnsi="Gotham Book"/>
        </w:rPr>
        <w:t>er of registrable persons in New South Wales</w:t>
      </w:r>
      <w:r w:rsidRPr="004A3983">
        <w:rPr>
          <w:rFonts w:ascii="Gotham Book" w:hAnsi="Gotham Book"/>
        </w:rPr>
        <w:t xml:space="preserve"> has steadily grown. On 31 </w:t>
      </w:r>
      <w:r w:rsidR="00C03C48" w:rsidRPr="004A3983">
        <w:rPr>
          <w:rFonts w:ascii="Gotham Book" w:hAnsi="Gotham Book"/>
        </w:rPr>
        <w:t>August 2019 there were 4,344</w:t>
      </w:r>
      <w:r w:rsidRPr="004A3983">
        <w:rPr>
          <w:rFonts w:ascii="Gotham Book" w:hAnsi="Gotham Book"/>
        </w:rPr>
        <w:t xml:space="preserve"> persons recorded as ‘currently </w:t>
      </w:r>
      <w:r w:rsidR="00AC0394" w:rsidRPr="004A3983">
        <w:rPr>
          <w:rFonts w:ascii="Gotham Book" w:hAnsi="Gotham Book"/>
        </w:rPr>
        <w:t>registered’</w:t>
      </w:r>
      <w:r w:rsidR="001845C8" w:rsidRPr="004A3983">
        <w:rPr>
          <w:rFonts w:ascii="Gotham Book" w:hAnsi="Gotham Book"/>
        </w:rPr>
        <w:t xml:space="preserve">, </w:t>
      </w:r>
      <w:r w:rsidR="00AC0394" w:rsidRPr="004A3983">
        <w:rPr>
          <w:rFonts w:ascii="Gotham Book" w:hAnsi="Gotham Book"/>
        </w:rPr>
        <w:t>meaning those persons were on the Register and were required to make regular reports to the NSW Pol</w:t>
      </w:r>
      <w:r w:rsidR="001845C8" w:rsidRPr="004A3983">
        <w:rPr>
          <w:rFonts w:ascii="Gotham Book" w:hAnsi="Gotham Book"/>
        </w:rPr>
        <w:t>ice Force</w:t>
      </w:r>
      <w:r w:rsidR="00AC0394" w:rsidRPr="004A3983">
        <w:rPr>
          <w:rFonts w:ascii="Gotham Book" w:hAnsi="Gotham Book"/>
        </w:rPr>
        <w:t>. A</w:t>
      </w:r>
      <w:r w:rsidR="00C03C48" w:rsidRPr="004A3983">
        <w:rPr>
          <w:rFonts w:ascii="Gotham Book" w:hAnsi="Gotham Book"/>
        </w:rPr>
        <w:t xml:space="preserve"> further 1,585</w:t>
      </w:r>
      <w:r w:rsidRPr="004A3983">
        <w:rPr>
          <w:rFonts w:ascii="Gotham Book" w:hAnsi="Gotham Book"/>
        </w:rPr>
        <w:t xml:space="preserve"> persons </w:t>
      </w:r>
      <w:r w:rsidR="00AC0394" w:rsidRPr="004A3983">
        <w:rPr>
          <w:rFonts w:ascii="Gotham Book" w:hAnsi="Gotham Book"/>
        </w:rPr>
        <w:t xml:space="preserve">were </w:t>
      </w:r>
      <w:r w:rsidR="00563050" w:rsidRPr="004A3983">
        <w:rPr>
          <w:rFonts w:ascii="Gotham Book" w:hAnsi="Gotham Book"/>
        </w:rPr>
        <w:t>due to be put on the Register</w:t>
      </w:r>
      <w:r w:rsidRPr="004A3983">
        <w:rPr>
          <w:rFonts w:ascii="Gotham Book" w:hAnsi="Gotham Book"/>
        </w:rPr>
        <w:t xml:space="preserve"> </w:t>
      </w:r>
      <w:r w:rsidR="00AB232E" w:rsidRPr="004A3983">
        <w:rPr>
          <w:rFonts w:ascii="Gotham Book" w:hAnsi="Gotham Book"/>
        </w:rPr>
        <w:t>once</w:t>
      </w:r>
      <w:r w:rsidRPr="004A3983">
        <w:rPr>
          <w:rFonts w:ascii="Gotham Book" w:hAnsi="Gotham Book"/>
        </w:rPr>
        <w:t xml:space="preserve"> release</w:t>
      </w:r>
      <w:r w:rsidR="00AB232E" w:rsidRPr="004A3983">
        <w:rPr>
          <w:rFonts w:ascii="Gotham Book" w:hAnsi="Gotham Book"/>
        </w:rPr>
        <w:t>d</w:t>
      </w:r>
      <w:r w:rsidRPr="004A3983">
        <w:rPr>
          <w:rFonts w:ascii="Gotham Book" w:hAnsi="Gotham Book"/>
        </w:rPr>
        <w:t xml:space="preserve"> from custody.</w:t>
      </w:r>
      <w:r w:rsidRPr="004A3983">
        <w:rPr>
          <w:rStyle w:val="FootnoteReference"/>
          <w:rFonts w:ascii="Gotham Book" w:eastAsia="Source Sans Pro Light" w:hAnsi="Gotham Book" w:cs="ArialMT"/>
        </w:rPr>
        <w:footnoteReference w:id="256"/>
      </w:r>
    </w:p>
    <w:p w14:paraId="7D9D4DD5" w14:textId="51DB9B05" w:rsidR="00504682" w:rsidRPr="004A3983" w:rsidRDefault="00504682" w:rsidP="00AD44AE">
      <w:pPr>
        <w:spacing w:after="160"/>
        <w:ind w:right="-2"/>
        <w:rPr>
          <w:rFonts w:ascii="Gotham Book" w:hAnsi="Gotham Book"/>
        </w:rPr>
      </w:pPr>
      <w:r w:rsidRPr="004A3983">
        <w:rPr>
          <w:rFonts w:ascii="Gotham Book" w:hAnsi="Gotham Book"/>
        </w:rPr>
        <w:t>The NSW Police Force estimates that the numb</w:t>
      </w:r>
      <w:r w:rsidR="00552736" w:rsidRPr="004A3983">
        <w:rPr>
          <w:rFonts w:ascii="Gotham Book" w:hAnsi="Gotham Book"/>
        </w:rPr>
        <w:t>er of registrable persons in New South Wales</w:t>
      </w:r>
      <w:r w:rsidRPr="004A3983">
        <w:rPr>
          <w:rFonts w:ascii="Gotham Book" w:hAnsi="Gotham Book"/>
        </w:rPr>
        <w:t xml:space="preserve"> increases on average by 6.5 – 7 per cent every year; approximately </w:t>
      </w:r>
      <w:r w:rsidR="00D45A37">
        <w:rPr>
          <w:rFonts w:ascii="Gotham Book" w:hAnsi="Gotham Book"/>
        </w:rPr>
        <w:br/>
      </w:r>
      <w:r w:rsidRPr="004A3983">
        <w:rPr>
          <w:rFonts w:ascii="Gotham Book" w:hAnsi="Gotham Book"/>
        </w:rPr>
        <w:t>30-40 new registrable persons per month.</w:t>
      </w:r>
      <w:r w:rsidRPr="004A3983">
        <w:rPr>
          <w:rStyle w:val="FootnoteReference"/>
          <w:rFonts w:ascii="Gotham Book" w:hAnsi="Gotham Book"/>
        </w:rPr>
        <w:footnoteReference w:id="257"/>
      </w:r>
      <w:r w:rsidRPr="004A3983">
        <w:rPr>
          <w:rFonts w:ascii="Gotham Book" w:hAnsi="Gotham Book"/>
        </w:rPr>
        <w:t xml:space="preserve"> </w:t>
      </w:r>
    </w:p>
    <w:p w14:paraId="59EF3B57" w14:textId="77777777" w:rsidR="00D45A37" w:rsidRDefault="00504682" w:rsidP="00AD44AE">
      <w:pPr>
        <w:spacing w:after="160"/>
        <w:ind w:right="-2"/>
        <w:rPr>
          <w:rFonts w:ascii="Gotham Book" w:hAnsi="Gotham Book"/>
        </w:rPr>
      </w:pPr>
      <w:r w:rsidRPr="004A3983">
        <w:rPr>
          <w:rFonts w:ascii="Gotham Book" w:hAnsi="Gotham Book"/>
        </w:rPr>
        <w:t xml:space="preserve">Graph 1 shows the </w:t>
      </w:r>
      <w:r w:rsidR="00B55239" w:rsidRPr="004A3983">
        <w:rPr>
          <w:rFonts w:ascii="Gotham Book" w:hAnsi="Gotham Book"/>
        </w:rPr>
        <w:t>growth</w:t>
      </w:r>
      <w:r w:rsidRPr="004A3983">
        <w:rPr>
          <w:rFonts w:ascii="Gotham Book" w:hAnsi="Gotham Book"/>
        </w:rPr>
        <w:t xml:space="preserve"> in the number of ‘currently registered’ persons</w:t>
      </w:r>
      <w:r w:rsidR="00552736" w:rsidRPr="004A3983">
        <w:rPr>
          <w:rFonts w:ascii="Gotham Book" w:hAnsi="Gotham Book"/>
        </w:rPr>
        <w:t xml:space="preserve"> in New South Wales</w:t>
      </w:r>
      <w:r w:rsidRPr="004A3983">
        <w:rPr>
          <w:rFonts w:ascii="Gotham Book" w:hAnsi="Gotham Book"/>
        </w:rPr>
        <w:t xml:space="preserve"> </w:t>
      </w:r>
      <w:r w:rsidR="0045162D" w:rsidRPr="004A3983">
        <w:rPr>
          <w:rFonts w:ascii="Gotham Book" w:hAnsi="Gotham Book"/>
        </w:rPr>
        <w:t>between 2009 and August 2019</w:t>
      </w:r>
      <w:r w:rsidRPr="004A3983">
        <w:rPr>
          <w:rFonts w:ascii="Gotham Book" w:hAnsi="Gotham Book"/>
        </w:rPr>
        <w:t xml:space="preserve">. It shows that in </w:t>
      </w:r>
      <w:r w:rsidR="008B1811" w:rsidRPr="004A3983">
        <w:rPr>
          <w:rFonts w:ascii="Gotham Book" w:hAnsi="Gotham Book"/>
        </w:rPr>
        <w:t xml:space="preserve">the last </w:t>
      </w:r>
      <w:r w:rsidRPr="004A3983">
        <w:rPr>
          <w:rFonts w:ascii="Gotham Book" w:hAnsi="Gotham Book"/>
        </w:rPr>
        <w:t>decade the number of registered perso</w:t>
      </w:r>
      <w:r w:rsidR="008B1811" w:rsidRPr="004A3983">
        <w:rPr>
          <w:rFonts w:ascii="Gotham Book" w:hAnsi="Gotham Book"/>
        </w:rPr>
        <w:t xml:space="preserve">ns </w:t>
      </w:r>
      <w:r w:rsidR="00815951" w:rsidRPr="004A3983">
        <w:rPr>
          <w:rFonts w:ascii="Gotham Book" w:hAnsi="Gotham Book"/>
        </w:rPr>
        <w:t xml:space="preserve">has </w:t>
      </w:r>
      <w:r w:rsidR="008B1811" w:rsidRPr="004A3983">
        <w:rPr>
          <w:rFonts w:ascii="Gotham Book" w:hAnsi="Gotham Book"/>
        </w:rPr>
        <w:t>increased from 2,376 to 4,344</w:t>
      </w:r>
      <w:r w:rsidRPr="004A3983">
        <w:rPr>
          <w:rFonts w:ascii="Gotham Book" w:hAnsi="Gotham Book"/>
        </w:rPr>
        <w:t xml:space="preserve">; an </w:t>
      </w:r>
      <w:r w:rsidR="008B1811" w:rsidRPr="004A3983">
        <w:rPr>
          <w:rFonts w:ascii="Gotham Book" w:hAnsi="Gotham Book"/>
        </w:rPr>
        <w:t>increase of 83</w:t>
      </w:r>
      <w:r w:rsidR="00D45A37">
        <w:rPr>
          <w:rFonts w:ascii="Gotham Book" w:hAnsi="Gotham Book"/>
        </w:rPr>
        <w:t> </w:t>
      </w:r>
      <w:r w:rsidRPr="004A3983">
        <w:rPr>
          <w:rFonts w:ascii="Gotham Book" w:hAnsi="Gotham Book"/>
        </w:rPr>
        <w:t>per cent.</w:t>
      </w:r>
    </w:p>
    <w:p w14:paraId="16BFE4CF" w14:textId="5646170D" w:rsidR="00BA05CC" w:rsidRPr="004A3983" w:rsidRDefault="00BA05CC" w:rsidP="00AD44AE">
      <w:pPr>
        <w:spacing w:after="160"/>
        <w:ind w:right="-2"/>
        <w:rPr>
          <w:rFonts w:ascii="Gotham Book" w:hAnsi="Gotham Book"/>
        </w:rPr>
      </w:pPr>
      <w:r w:rsidRPr="004A3983">
        <w:rPr>
          <w:rFonts w:ascii="Gotham Book" w:hAnsi="Gotham Book"/>
        </w:rPr>
        <w:br w:type="page"/>
      </w:r>
    </w:p>
    <w:p w14:paraId="61BDB404" w14:textId="0FDD2013" w:rsidR="00A50D32" w:rsidRPr="004A3983" w:rsidRDefault="00504682" w:rsidP="00A50D32">
      <w:pPr>
        <w:spacing w:after="160"/>
        <w:ind w:right="-2"/>
        <w:rPr>
          <w:rFonts w:ascii="Gotham Book" w:hAnsi="Gotham Book"/>
          <w:b/>
        </w:rPr>
      </w:pPr>
      <w:r w:rsidRPr="004A3983">
        <w:rPr>
          <w:rFonts w:ascii="Gotham Book" w:hAnsi="Gotham Book"/>
          <w:b/>
        </w:rPr>
        <w:lastRenderedPageBreak/>
        <w:t xml:space="preserve">Graph 1: Number of ‘currently registered’ persons </w:t>
      </w:r>
      <w:r w:rsidR="00102788" w:rsidRPr="004A3983">
        <w:rPr>
          <w:rFonts w:ascii="Gotham Book" w:hAnsi="Gotham Book"/>
          <w:b/>
        </w:rPr>
        <w:t xml:space="preserve">in New South Wales </w:t>
      </w:r>
      <w:r w:rsidRPr="004A3983">
        <w:rPr>
          <w:rFonts w:ascii="Gotham Book" w:hAnsi="Gotham Book"/>
          <w:b/>
        </w:rPr>
        <w:t>from 2009</w:t>
      </w:r>
      <w:r w:rsidR="00D45A37">
        <w:rPr>
          <w:rFonts w:ascii="Gotham Book" w:hAnsi="Gotham Book"/>
          <w:b/>
        </w:rPr>
        <w:t> </w:t>
      </w:r>
      <w:r w:rsidRPr="004A3983">
        <w:rPr>
          <w:rFonts w:ascii="Gotham Book" w:hAnsi="Gotham Book"/>
          <w:b/>
        </w:rPr>
        <w:t>to 20</w:t>
      </w:r>
      <w:r w:rsidR="008B1811" w:rsidRPr="004A3983">
        <w:rPr>
          <w:rFonts w:ascii="Gotham Book" w:hAnsi="Gotham Book"/>
          <w:b/>
        </w:rPr>
        <w:t>19</w:t>
      </w:r>
      <w:r w:rsidRPr="004A3983">
        <w:rPr>
          <w:rStyle w:val="FootnoteReference"/>
          <w:rFonts w:ascii="Gotham Book" w:hAnsi="Gotham Book"/>
          <w:b/>
        </w:rPr>
        <w:footnoteReference w:id="258"/>
      </w:r>
    </w:p>
    <w:p w14:paraId="3DCB48B6" w14:textId="5C0AA644" w:rsidR="00A50D32" w:rsidRPr="004A3983" w:rsidRDefault="008B1811" w:rsidP="00A50D32">
      <w:pPr>
        <w:spacing w:after="160"/>
        <w:ind w:right="-2"/>
        <w:rPr>
          <w:sz w:val="20"/>
          <w:szCs w:val="20"/>
        </w:rPr>
      </w:pPr>
      <w:r w:rsidRPr="004A3983">
        <w:rPr>
          <w:noProof/>
          <w:lang w:eastAsia="en-AU"/>
        </w:rPr>
        <w:drawing>
          <wp:anchor distT="0" distB="0" distL="114300" distR="114300" simplePos="0" relativeHeight="251663360" behindDoc="1" locked="0" layoutInCell="1" allowOverlap="1" wp14:anchorId="310CD315" wp14:editId="267AA9B4">
            <wp:simplePos x="0" y="0"/>
            <wp:positionH relativeFrom="column">
              <wp:posOffset>-635</wp:posOffset>
            </wp:positionH>
            <wp:positionV relativeFrom="paragraph">
              <wp:posOffset>1270</wp:posOffset>
            </wp:positionV>
            <wp:extent cx="5876925" cy="3381375"/>
            <wp:effectExtent l="0" t="0" r="9525" b="9525"/>
            <wp:wrapTight wrapText="bothSides">
              <wp:wrapPolygon edited="0">
                <wp:start x="0" y="0"/>
                <wp:lineTo x="0" y="21539"/>
                <wp:lineTo x="21565" y="21539"/>
                <wp:lineTo x="21565" y="0"/>
                <wp:lineTo x="0" y="0"/>
              </wp:wrapPolygon>
            </wp:wrapTight>
            <wp:docPr id="6" name="Chart 6"/>
            <wp:cNvGraphicFramePr/>
            <a:graphic xmlns:a="http://schemas.openxmlformats.org/drawingml/2006/main">
              <a:graphicData uri="http://schemas.openxmlformats.org/drawingml/2006/chart">
                <c:chart xmlns:c="http://schemas.openxmlformats.org/drawingml/2006/chart" xmlns:r="http://schemas.openxmlformats.org/officeDocument/2006/relationships" r:id="rId49"/>
              </a:graphicData>
            </a:graphic>
            <wp14:sizeRelV relativeFrom="margin">
              <wp14:pctHeight>0</wp14:pctHeight>
            </wp14:sizeRelV>
          </wp:anchor>
        </w:drawing>
      </w:r>
      <w:r w:rsidR="00A50D32" w:rsidRPr="004A3983">
        <w:rPr>
          <w:sz w:val="20"/>
          <w:szCs w:val="20"/>
        </w:rPr>
        <w:t>*The number of ‘currently registered’ persons for 2019 was as at 31 August 2019.</w:t>
      </w:r>
    </w:p>
    <w:p w14:paraId="3CD6A8C6" w14:textId="22F8CC88" w:rsidR="00504682" w:rsidRPr="004A3983" w:rsidRDefault="00504682" w:rsidP="00AD44AE">
      <w:pPr>
        <w:spacing w:after="160"/>
        <w:ind w:right="-2"/>
      </w:pPr>
    </w:p>
    <w:p w14:paraId="1FD9950E" w14:textId="246FA8F6" w:rsidR="00504682" w:rsidRPr="004A3983" w:rsidRDefault="00504682" w:rsidP="00AD44AE">
      <w:pPr>
        <w:spacing w:after="160"/>
        <w:ind w:right="-2"/>
        <w:rPr>
          <w:rFonts w:ascii="Gotham Book" w:hAnsi="Gotham Book"/>
        </w:rPr>
      </w:pPr>
      <w:r w:rsidRPr="004A3983">
        <w:rPr>
          <w:rFonts w:ascii="Gotham Book" w:hAnsi="Gotham Book"/>
        </w:rPr>
        <w:t>There are two key drivers of the net increase in the number of registered persons. One is that over the years there has been a general increase in the number of persons convicted for child sex offences (and this trend is expected to continue). The other is that the statutory framework fo</w:t>
      </w:r>
      <w:r w:rsidR="007719D5" w:rsidRPr="004A3983">
        <w:rPr>
          <w:rFonts w:ascii="Gotham Book" w:hAnsi="Gotham Book"/>
        </w:rPr>
        <w:t xml:space="preserve">r the Register </w:t>
      </w:r>
      <w:r w:rsidRPr="004A3983">
        <w:rPr>
          <w:rFonts w:ascii="Gotham Book" w:hAnsi="Gotham Book"/>
        </w:rPr>
        <w:t>has</w:t>
      </w:r>
      <w:r w:rsidR="007719D5" w:rsidRPr="004A3983">
        <w:rPr>
          <w:rFonts w:ascii="Gotham Book" w:hAnsi="Gotham Book"/>
        </w:rPr>
        <w:t xml:space="preserve"> been</w:t>
      </w:r>
      <w:r w:rsidRPr="004A3983">
        <w:rPr>
          <w:rFonts w:ascii="Gotham Book" w:hAnsi="Gotham Book"/>
        </w:rPr>
        <w:t xml:space="preserve"> amended multiple times since 2001 to expand the list of offences and sentences that will result in a person becoming registrable (essentially ‘widening the net’ of the Register).</w:t>
      </w:r>
    </w:p>
    <w:p w14:paraId="6F0F9057" w14:textId="67A68242" w:rsidR="00504682" w:rsidRPr="004A3983" w:rsidRDefault="00504682" w:rsidP="00AD44AE">
      <w:pPr>
        <w:pStyle w:val="Heading4"/>
        <w:ind w:right="-2"/>
      </w:pPr>
      <w:r w:rsidRPr="004A3983">
        <w:t>Increase in persons convicted of child sex offences</w:t>
      </w:r>
    </w:p>
    <w:p w14:paraId="78A8AB7F" w14:textId="038D1616" w:rsidR="00504682" w:rsidRPr="004A3983" w:rsidRDefault="00504682" w:rsidP="00AD44AE">
      <w:pPr>
        <w:spacing w:after="160"/>
        <w:ind w:right="-2"/>
        <w:rPr>
          <w:rFonts w:ascii="Gotham Book" w:hAnsi="Gotham Book"/>
        </w:rPr>
      </w:pPr>
      <w:r w:rsidRPr="004A3983">
        <w:rPr>
          <w:rFonts w:ascii="Gotham Book" w:hAnsi="Gotham Book"/>
        </w:rPr>
        <w:t xml:space="preserve">Data provided to the Commission by the NSW Bureau of Crime Statistics and Research (BOCSAR) reveals that </w:t>
      </w:r>
      <w:r w:rsidR="0072170F" w:rsidRPr="004A3983">
        <w:rPr>
          <w:rFonts w:ascii="Gotham Book" w:hAnsi="Gotham Book"/>
        </w:rPr>
        <w:t xml:space="preserve">from 2001 to 2018, </w:t>
      </w:r>
      <w:r w:rsidRPr="004A3983">
        <w:rPr>
          <w:rFonts w:ascii="Gotham Book" w:hAnsi="Gotham Book"/>
        </w:rPr>
        <w:t xml:space="preserve">the number of people convicted of child sex offences </w:t>
      </w:r>
      <w:r w:rsidR="00163F4C" w:rsidRPr="004A3983">
        <w:rPr>
          <w:rFonts w:ascii="Gotham Book" w:hAnsi="Gotham Book"/>
        </w:rPr>
        <w:t xml:space="preserve">per year </w:t>
      </w:r>
      <w:r w:rsidR="00343EEC" w:rsidRPr="004A3983">
        <w:rPr>
          <w:rFonts w:ascii="Gotham Book" w:hAnsi="Gotham Book"/>
        </w:rPr>
        <w:t xml:space="preserve">has </w:t>
      </w:r>
      <w:r w:rsidR="00934F2F" w:rsidRPr="004A3983">
        <w:rPr>
          <w:rFonts w:ascii="Gotham Book" w:hAnsi="Gotham Book"/>
        </w:rPr>
        <w:t xml:space="preserve">more than </w:t>
      </w:r>
      <w:r w:rsidR="0072170F" w:rsidRPr="004A3983">
        <w:rPr>
          <w:rFonts w:ascii="Gotham Book" w:hAnsi="Gotham Book"/>
        </w:rPr>
        <w:t>doubled</w:t>
      </w:r>
      <w:r w:rsidRPr="004A3983">
        <w:rPr>
          <w:rFonts w:ascii="Gotham Book" w:hAnsi="Gotham Book"/>
        </w:rPr>
        <w:t>.</w:t>
      </w:r>
      <w:r w:rsidRPr="004A3983">
        <w:rPr>
          <w:rStyle w:val="FootnoteReference"/>
          <w:rFonts w:ascii="Gotham Book" w:hAnsi="Gotham Book"/>
        </w:rPr>
        <w:footnoteReference w:id="259"/>
      </w:r>
      <w:r w:rsidRPr="004A3983">
        <w:rPr>
          <w:rFonts w:ascii="Gotham Book" w:hAnsi="Gotham Book"/>
        </w:rPr>
        <w:t xml:space="preserve"> As a sub-set, the number of </w:t>
      </w:r>
      <w:r w:rsidRPr="004A3983">
        <w:rPr>
          <w:rFonts w:ascii="Gotham Book" w:hAnsi="Gotham Book"/>
        </w:rPr>
        <w:lastRenderedPageBreak/>
        <w:t xml:space="preserve">people convicted of child abuse material offences </w:t>
      </w:r>
      <w:r w:rsidR="00496DCE" w:rsidRPr="004A3983">
        <w:rPr>
          <w:rFonts w:ascii="Gotham Book" w:hAnsi="Gotham Book"/>
        </w:rPr>
        <w:t>each</w:t>
      </w:r>
      <w:r w:rsidR="00055867" w:rsidRPr="004A3983">
        <w:rPr>
          <w:rFonts w:ascii="Gotham Book" w:hAnsi="Gotham Book"/>
        </w:rPr>
        <w:t xml:space="preserve"> year has </w:t>
      </w:r>
      <w:r w:rsidRPr="004A3983">
        <w:rPr>
          <w:rFonts w:ascii="Gotham Book" w:hAnsi="Gotham Book"/>
        </w:rPr>
        <w:t xml:space="preserve">increased </w:t>
      </w:r>
      <w:r w:rsidR="00804907" w:rsidRPr="004A3983">
        <w:rPr>
          <w:rFonts w:ascii="Gotham Book" w:hAnsi="Gotham Book"/>
        </w:rPr>
        <w:t xml:space="preserve">more than </w:t>
      </w:r>
      <w:r w:rsidR="005A25AC" w:rsidRPr="004A3983">
        <w:rPr>
          <w:rFonts w:ascii="Gotham Book" w:hAnsi="Gotham Book"/>
        </w:rPr>
        <w:t>nine</w:t>
      </w:r>
      <w:r w:rsidR="00F11A38" w:rsidRPr="004A3983">
        <w:rPr>
          <w:rFonts w:ascii="Gotham Book" w:hAnsi="Gotham Book"/>
        </w:rPr>
        <w:t>-fold</w:t>
      </w:r>
      <w:r w:rsidR="00934F2F" w:rsidRPr="004A3983">
        <w:rPr>
          <w:rFonts w:ascii="Gotham Book" w:hAnsi="Gotham Book"/>
        </w:rPr>
        <w:t xml:space="preserve"> </w:t>
      </w:r>
      <w:r w:rsidR="00F11A38" w:rsidRPr="004A3983">
        <w:rPr>
          <w:rFonts w:ascii="Gotham Book" w:hAnsi="Gotham Book"/>
        </w:rPr>
        <w:t>in the same period</w:t>
      </w:r>
      <w:r w:rsidRPr="004A3983">
        <w:rPr>
          <w:rFonts w:ascii="Gotham Book" w:hAnsi="Gotham Book"/>
        </w:rPr>
        <w:t>.</w:t>
      </w:r>
      <w:r w:rsidRPr="004A3983">
        <w:rPr>
          <w:rStyle w:val="FootnoteReference"/>
          <w:rFonts w:ascii="Gotham Book" w:hAnsi="Gotham Book"/>
        </w:rPr>
        <w:footnoteReference w:id="260"/>
      </w:r>
      <w:r w:rsidRPr="004A3983">
        <w:rPr>
          <w:rFonts w:ascii="Gotham Book" w:hAnsi="Gotham Book"/>
        </w:rPr>
        <w:t xml:space="preserve"> </w:t>
      </w:r>
    </w:p>
    <w:p w14:paraId="0CD0FAD8" w14:textId="528946FC" w:rsidR="00504682" w:rsidRPr="004A3983" w:rsidRDefault="00504682" w:rsidP="00AD44AE">
      <w:pPr>
        <w:spacing w:after="160"/>
        <w:ind w:right="-2"/>
        <w:rPr>
          <w:rFonts w:ascii="Gotham Book" w:hAnsi="Gotham Book"/>
        </w:rPr>
      </w:pPr>
      <w:r w:rsidRPr="004A3983">
        <w:rPr>
          <w:rFonts w:ascii="Gotham Book" w:hAnsi="Gotham Book"/>
        </w:rPr>
        <w:t>Graph 2 shows the number of persons convic</w:t>
      </w:r>
      <w:r w:rsidR="00332CEE" w:rsidRPr="004A3983">
        <w:rPr>
          <w:rFonts w:ascii="Gotham Book" w:hAnsi="Gotham Book"/>
        </w:rPr>
        <w:t>ted of child sex offences in New South Wales</w:t>
      </w:r>
      <w:r w:rsidRPr="004A3983">
        <w:rPr>
          <w:rFonts w:ascii="Gotham Book" w:hAnsi="Gotham Book"/>
        </w:rPr>
        <w:t xml:space="preserve"> </w:t>
      </w:r>
      <w:r w:rsidR="0010559F" w:rsidRPr="004A3983">
        <w:rPr>
          <w:rFonts w:ascii="Gotham Book" w:hAnsi="Gotham Book"/>
        </w:rPr>
        <w:t xml:space="preserve">each year from </w:t>
      </w:r>
      <w:r w:rsidRPr="004A3983">
        <w:rPr>
          <w:rFonts w:ascii="Gotham Book" w:hAnsi="Gotham Book"/>
        </w:rPr>
        <w:t xml:space="preserve">2001 </w:t>
      </w:r>
      <w:r w:rsidR="0010559F" w:rsidRPr="004A3983">
        <w:rPr>
          <w:rFonts w:ascii="Gotham Book" w:hAnsi="Gotham Book"/>
        </w:rPr>
        <w:t>to</w:t>
      </w:r>
      <w:r w:rsidRPr="004A3983">
        <w:rPr>
          <w:rFonts w:ascii="Gotham Book" w:hAnsi="Gotham Book"/>
        </w:rPr>
        <w:t xml:space="preserve"> </w:t>
      </w:r>
      <w:r w:rsidR="00E15C24" w:rsidRPr="004A3983">
        <w:rPr>
          <w:rFonts w:ascii="Gotham Book" w:hAnsi="Gotham Book"/>
        </w:rPr>
        <w:t>2018</w:t>
      </w:r>
      <w:r w:rsidRPr="004A3983">
        <w:rPr>
          <w:rFonts w:ascii="Gotham Book" w:hAnsi="Gotham Book"/>
        </w:rPr>
        <w:t xml:space="preserve">. It should be noted that this graph does not capture convictions for all possible registrable offences, and therefore the total number of </w:t>
      </w:r>
      <w:r w:rsidR="00300097" w:rsidRPr="004A3983">
        <w:rPr>
          <w:rFonts w:ascii="Gotham Book" w:hAnsi="Gotham Book"/>
        </w:rPr>
        <w:t>defendants</w:t>
      </w:r>
      <w:r w:rsidR="00161A71" w:rsidRPr="004A3983">
        <w:rPr>
          <w:rFonts w:ascii="Gotham Book" w:hAnsi="Gotham Book"/>
        </w:rPr>
        <w:t xml:space="preserve"> convicted of registrable offences</w:t>
      </w:r>
      <w:r w:rsidR="00E61814" w:rsidRPr="004A3983">
        <w:rPr>
          <w:rFonts w:ascii="Gotham Book" w:hAnsi="Gotham Book"/>
        </w:rPr>
        <w:t xml:space="preserve"> for those years may</w:t>
      </w:r>
      <w:r w:rsidRPr="004A3983">
        <w:rPr>
          <w:rFonts w:ascii="Gotham Book" w:hAnsi="Gotham Book"/>
        </w:rPr>
        <w:t xml:space="preserve"> be higher than indicated.</w:t>
      </w:r>
      <w:r w:rsidRPr="004A3983">
        <w:rPr>
          <w:rStyle w:val="FootnoteReference"/>
          <w:rFonts w:ascii="Gotham Book" w:hAnsi="Gotham Book"/>
        </w:rPr>
        <w:footnoteReference w:id="261"/>
      </w:r>
      <w:r w:rsidRPr="004A3983">
        <w:rPr>
          <w:rFonts w:ascii="Gotham Book" w:hAnsi="Gotham Book"/>
        </w:rPr>
        <w:t xml:space="preserve"> </w:t>
      </w:r>
    </w:p>
    <w:p w14:paraId="4833E6A4" w14:textId="3BFBB7F1" w:rsidR="00504682" w:rsidRPr="004A3983" w:rsidRDefault="00504682" w:rsidP="00AD44AE">
      <w:pPr>
        <w:spacing w:after="160"/>
        <w:ind w:right="-2"/>
        <w:rPr>
          <w:b/>
        </w:rPr>
      </w:pPr>
      <w:r w:rsidRPr="004A3983">
        <w:rPr>
          <w:b/>
        </w:rPr>
        <w:t>Graph 2: Number of defendants convicted of child se</w:t>
      </w:r>
      <w:r w:rsidR="00A63AC7" w:rsidRPr="004A3983">
        <w:rPr>
          <w:b/>
        </w:rPr>
        <w:t>x offences in N</w:t>
      </w:r>
      <w:r w:rsidR="00D64428" w:rsidRPr="004A3983">
        <w:rPr>
          <w:b/>
        </w:rPr>
        <w:t xml:space="preserve">ew </w:t>
      </w:r>
      <w:r w:rsidR="00A63AC7" w:rsidRPr="004A3983">
        <w:rPr>
          <w:b/>
        </w:rPr>
        <w:t>S</w:t>
      </w:r>
      <w:r w:rsidR="00D64428" w:rsidRPr="004A3983">
        <w:rPr>
          <w:b/>
        </w:rPr>
        <w:t xml:space="preserve">outh </w:t>
      </w:r>
      <w:r w:rsidR="00A63AC7" w:rsidRPr="004A3983">
        <w:rPr>
          <w:b/>
        </w:rPr>
        <w:t>W</w:t>
      </w:r>
      <w:r w:rsidR="00D64428" w:rsidRPr="004A3983">
        <w:rPr>
          <w:b/>
        </w:rPr>
        <w:t>ales</w:t>
      </w:r>
      <w:r w:rsidR="00A63AC7" w:rsidRPr="004A3983">
        <w:rPr>
          <w:b/>
        </w:rPr>
        <w:t xml:space="preserve"> </w:t>
      </w:r>
      <w:r w:rsidR="006C3EC6" w:rsidRPr="004A3983">
        <w:rPr>
          <w:b/>
        </w:rPr>
        <w:t xml:space="preserve">each year </w:t>
      </w:r>
      <w:r w:rsidR="00A63AC7" w:rsidRPr="004A3983">
        <w:rPr>
          <w:b/>
        </w:rPr>
        <w:t>from</w:t>
      </w:r>
      <w:r w:rsidR="00B478D8" w:rsidRPr="004A3983">
        <w:rPr>
          <w:b/>
        </w:rPr>
        <w:t xml:space="preserve"> </w:t>
      </w:r>
      <w:r w:rsidR="00A63AC7" w:rsidRPr="004A3983">
        <w:rPr>
          <w:b/>
        </w:rPr>
        <w:t>2001 to</w:t>
      </w:r>
      <w:r w:rsidR="00B478D8" w:rsidRPr="004A3983">
        <w:rPr>
          <w:b/>
        </w:rPr>
        <w:t xml:space="preserve"> </w:t>
      </w:r>
      <w:r w:rsidR="00934F2F" w:rsidRPr="004A3983">
        <w:rPr>
          <w:b/>
        </w:rPr>
        <w:t>2018</w:t>
      </w:r>
      <w:r w:rsidRPr="004A3983">
        <w:rPr>
          <w:rStyle w:val="FootnoteReference"/>
          <w:b/>
        </w:rPr>
        <w:footnoteReference w:id="262"/>
      </w:r>
    </w:p>
    <w:p w14:paraId="704D159C" w14:textId="51C9200A" w:rsidR="00934F2F" w:rsidRPr="004A3983" w:rsidRDefault="00934F2F" w:rsidP="00AD44AE">
      <w:pPr>
        <w:spacing w:after="160"/>
        <w:ind w:right="-2"/>
        <w:rPr>
          <w:b/>
        </w:rPr>
      </w:pPr>
      <w:r w:rsidRPr="004A3983">
        <w:rPr>
          <w:noProof/>
          <w:lang w:eastAsia="en-AU"/>
        </w:rPr>
        <w:drawing>
          <wp:inline distT="0" distB="0" distL="0" distR="0" wp14:anchorId="2BDEF2F4" wp14:editId="54AEA1BA">
            <wp:extent cx="5939790" cy="4104005"/>
            <wp:effectExtent l="0" t="0" r="3810" b="10795"/>
            <wp:docPr id="22" name="Chart 22"/>
            <wp:cNvGraphicFramePr/>
            <a:graphic xmlns:a="http://schemas.openxmlformats.org/drawingml/2006/main">
              <a:graphicData uri="http://schemas.openxmlformats.org/drawingml/2006/chart">
                <c:chart xmlns:c="http://schemas.openxmlformats.org/drawingml/2006/chart" xmlns:r="http://schemas.openxmlformats.org/officeDocument/2006/relationships" r:id="rId50"/>
              </a:graphicData>
            </a:graphic>
          </wp:inline>
        </w:drawing>
      </w:r>
    </w:p>
    <w:p w14:paraId="0A2407EF" w14:textId="6F7EAECC" w:rsidR="00504682" w:rsidRPr="004A3983" w:rsidRDefault="00504682" w:rsidP="00AD44AE">
      <w:pPr>
        <w:spacing w:after="160"/>
        <w:ind w:right="-2"/>
        <w:rPr>
          <w:b/>
        </w:rPr>
      </w:pPr>
    </w:p>
    <w:p w14:paraId="235113F3" w14:textId="07BC619E" w:rsidR="00504682" w:rsidRPr="004A3983" w:rsidRDefault="00504682" w:rsidP="00AD44AE">
      <w:pPr>
        <w:pStyle w:val="Heading4"/>
        <w:ind w:right="-2"/>
      </w:pPr>
      <w:r w:rsidRPr="004A3983">
        <w:lastRenderedPageBreak/>
        <w:t>Factors contributing to increase in persons c</w:t>
      </w:r>
      <w:r w:rsidR="00DC3BDF" w:rsidRPr="004A3983">
        <w:t>onvicted</w:t>
      </w:r>
    </w:p>
    <w:p w14:paraId="73EDDC4A" w14:textId="43AF439A" w:rsidR="00DC3BDF" w:rsidRPr="004A3983" w:rsidRDefault="00DC3BDF" w:rsidP="00AD44AE">
      <w:pPr>
        <w:spacing w:after="160"/>
        <w:ind w:right="-2"/>
        <w:rPr>
          <w:rFonts w:ascii="Gotham Book" w:hAnsi="Gotham Book" w:cs="Calibri-Light"/>
        </w:rPr>
      </w:pPr>
      <w:r w:rsidRPr="004A3983">
        <w:rPr>
          <w:rFonts w:ascii="Gotham Book" w:hAnsi="Gotham Book"/>
        </w:rPr>
        <w:t>In recent years the NSW Police Force has allocated additional investigators and resources to the squad responsible for investigating child sex offences. As a result, the number of persons arrested for these type of offences has significantly increased.</w:t>
      </w:r>
      <w:r w:rsidRPr="004A3983">
        <w:rPr>
          <w:rStyle w:val="FootnoteReference"/>
          <w:rFonts w:ascii="Gotham Book" w:hAnsi="Gotham Book"/>
        </w:rPr>
        <w:footnoteReference w:id="263"/>
      </w:r>
      <w:r w:rsidRPr="004A3983">
        <w:rPr>
          <w:rFonts w:ascii="Gotham Book" w:hAnsi="Gotham Book"/>
        </w:rPr>
        <w:t xml:space="preserve"> For example, the number of arrests by investigators in the Child Abuse Squad doubled between 2011 and 2016.</w:t>
      </w:r>
      <w:r w:rsidRPr="004A3983">
        <w:rPr>
          <w:rStyle w:val="FootnoteReference"/>
          <w:rFonts w:ascii="Gotham Book" w:hAnsi="Gotham Book"/>
        </w:rPr>
        <w:footnoteReference w:id="264"/>
      </w:r>
      <w:r w:rsidRPr="004A3983">
        <w:rPr>
          <w:rFonts w:ascii="Gotham Book" w:hAnsi="Gotham Book"/>
        </w:rPr>
        <w:t xml:space="preserve"> This can in turn increase the number of persons convicted of registrable offences, who need to be put on the Register.</w:t>
      </w:r>
      <w:r w:rsidRPr="004A3983">
        <w:rPr>
          <w:rStyle w:val="FootnoteReference"/>
          <w:rFonts w:ascii="Gotham Book" w:hAnsi="Gotham Book"/>
        </w:rPr>
        <w:footnoteReference w:id="265"/>
      </w:r>
    </w:p>
    <w:p w14:paraId="4A8DBE91" w14:textId="729AFF1F" w:rsidR="00DC3BDF" w:rsidRPr="004A3983" w:rsidRDefault="00DC3BDF" w:rsidP="00AD44AE">
      <w:pPr>
        <w:spacing w:after="160"/>
        <w:ind w:right="-2"/>
        <w:rPr>
          <w:rFonts w:ascii="Gotham Book" w:hAnsi="Gotham Book" w:cs="Calibri-Light"/>
        </w:rPr>
      </w:pPr>
      <w:r w:rsidRPr="004A3983">
        <w:rPr>
          <w:rFonts w:ascii="Gotham Book" w:hAnsi="Gotham Book"/>
        </w:rPr>
        <w:t>The</w:t>
      </w:r>
      <w:r w:rsidR="003D1C85" w:rsidRPr="004A3983">
        <w:rPr>
          <w:rFonts w:ascii="Gotham Book" w:hAnsi="Gotham Book"/>
        </w:rPr>
        <w:t xml:space="preserve"> Commonwealth</w:t>
      </w:r>
      <w:r w:rsidRPr="004A3983">
        <w:rPr>
          <w:rFonts w:ascii="Gotham Book" w:hAnsi="Gotham Book"/>
        </w:rPr>
        <w:t xml:space="preserve"> Royal Commission into Institutional Responses to Child Sexual Abuse (the Royal Commission) is also likely to have significantly contributed to the increase in reporting and investigation of child sex offences in recent years. The Royal Commission was announced in November 2012 and completed in December 2017. It heard from </w:t>
      </w:r>
      <w:r w:rsidRPr="004A3983">
        <w:rPr>
          <w:rFonts w:ascii="Gotham Book" w:hAnsi="Gotham Book" w:cs="Calibri-Bold"/>
          <w:bCs/>
        </w:rPr>
        <w:t xml:space="preserve">7,981 </w:t>
      </w:r>
      <w:r w:rsidRPr="004A3983">
        <w:rPr>
          <w:rFonts w:ascii="Gotham Book" w:hAnsi="Gotham Book" w:cs="Calibri-Light"/>
        </w:rPr>
        <w:t xml:space="preserve">survivors of child sexual abuse, and referred </w:t>
      </w:r>
      <w:r w:rsidRPr="004A3983">
        <w:rPr>
          <w:rFonts w:ascii="Gotham Book" w:hAnsi="Gotham Book" w:cs="Calibri-Bold"/>
          <w:bCs/>
        </w:rPr>
        <w:t xml:space="preserve">2,562 </w:t>
      </w:r>
      <w:r w:rsidRPr="004A3983">
        <w:rPr>
          <w:rFonts w:ascii="Gotham Book" w:hAnsi="Gotham Book" w:cs="Calibri-Light"/>
        </w:rPr>
        <w:t>matters to police for investigation.</w:t>
      </w:r>
      <w:r w:rsidRPr="004A3983">
        <w:rPr>
          <w:rStyle w:val="FootnoteReference"/>
          <w:rFonts w:ascii="Gotham Book" w:hAnsi="Gotham Book" w:cs="Calibri-Light"/>
        </w:rPr>
        <w:footnoteReference w:id="266"/>
      </w:r>
      <w:r w:rsidRPr="004A3983">
        <w:rPr>
          <w:rFonts w:ascii="Gotham Book" w:hAnsi="Gotham Book" w:cs="Calibri-Light"/>
        </w:rPr>
        <w:t xml:space="preserve"> The NSW Ombudsman has reported a ‘</w:t>
      </w:r>
      <w:r w:rsidRPr="004A3983">
        <w:rPr>
          <w:rFonts w:ascii="Gotham Book" w:hAnsi="Gotham Book" w:cs="Fira Sans Light"/>
          <w:color w:val="000000"/>
        </w:rPr>
        <w:t xml:space="preserve">notable increase in the number of historical child sexual abuse incidents reported to Police since the start of the Royal Commission’, with research suggesting the level of reporting of child sexual assault by </w:t>
      </w:r>
      <w:r w:rsidR="00007D8F" w:rsidRPr="004A3983">
        <w:rPr>
          <w:rFonts w:ascii="Gotham Book" w:hAnsi="Gotham Book" w:cs="Fira Sans Light"/>
          <w:color w:val="000000"/>
        </w:rPr>
        <w:t>adult survivors increased by 55 per cent</w:t>
      </w:r>
      <w:r w:rsidR="006B2133" w:rsidRPr="004A3983">
        <w:rPr>
          <w:rFonts w:ascii="Gotham Book" w:hAnsi="Gotham Book" w:cs="Fira Sans Light"/>
          <w:color w:val="000000"/>
        </w:rPr>
        <w:t xml:space="preserve"> from</w:t>
      </w:r>
      <w:r w:rsidRPr="004A3983">
        <w:rPr>
          <w:rFonts w:ascii="Gotham Book" w:hAnsi="Gotham Book" w:cs="Fira Sans Light"/>
          <w:color w:val="000000"/>
        </w:rPr>
        <w:t xml:space="preserve"> 2012 to 2014.</w:t>
      </w:r>
      <w:r w:rsidRPr="004A3983">
        <w:rPr>
          <w:rStyle w:val="FootnoteReference"/>
          <w:rFonts w:ascii="Gotham Book" w:hAnsi="Gotham Book" w:cs="Fira Sans Light"/>
          <w:color w:val="000000"/>
        </w:rPr>
        <w:footnoteReference w:id="267"/>
      </w:r>
      <w:r w:rsidRPr="004A3983">
        <w:rPr>
          <w:rFonts w:ascii="Gotham Book" w:hAnsi="Gotham Book"/>
        </w:rPr>
        <w:t xml:space="preserve"> </w:t>
      </w:r>
    </w:p>
    <w:p w14:paraId="0B241584" w14:textId="27AF352D" w:rsidR="00DC3BDF" w:rsidRPr="004A3983" w:rsidRDefault="00DC3BDF" w:rsidP="00AD44AE">
      <w:pPr>
        <w:spacing w:after="160"/>
        <w:ind w:right="-2"/>
        <w:rPr>
          <w:rFonts w:ascii="Gotham Book" w:hAnsi="Gotham Book"/>
        </w:rPr>
      </w:pPr>
      <w:r w:rsidRPr="004A3983">
        <w:rPr>
          <w:rFonts w:ascii="Gotham Book" w:hAnsi="Gotham Book" w:cs="Fira Sans Light"/>
          <w:color w:val="000000"/>
        </w:rPr>
        <w:t>In addition to a general increase in the level of awareness and understanding of the crime of child sexual abuse, the Royal Commission led to changes to criminal laws in NSW that are designed to ‘</w:t>
      </w:r>
      <w:r w:rsidRPr="004A3983">
        <w:rPr>
          <w:rFonts w:ascii="Gotham Book" w:hAnsi="Gotham Book"/>
        </w:rPr>
        <w:t>improve the chances of successful prosecution of child sexual offences’.</w:t>
      </w:r>
      <w:r w:rsidRPr="004A3983">
        <w:rPr>
          <w:rStyle w:val="FootnoteReference"/>
          <w:rFonts w:ascii="Gotham Book" w:hAnsi="Gotham Book"/>
        </w:rPr>
        <w:footnoteReference w:id="268"/>
      </w:r>
    </w:p>
    <w:p w14:paraId="156F3DE7" w14:textId="631B3742" w:rsidR="00504682" w:rsidRPr="004A3983" w:rsidRDefault="00DC3BDF" w:rsidP="00AD44AE">
      <w:pPr>
        <w:spacing w:after="160"/>
        <w:ind w:right="-2"/>
        <w:rPr>
          <w:rFonts w:ascii="Gotham Book" w:hAnsi="Gotham Book"/>
        </w:rPr>
      </w:pPr>
      <w:r w:rsidRPr="004A3983">
        <w:rPr>
          <w:rFonts w:ascii="Gotham Book" w:hAnsi="Gotham Book" w:cs="Fira Sans Light"/>
          <w:color w:val="000000"/>
        </w:rPr>
        <w:t>Th</w:t>
      </w:r>
      <w:r w:rsidR="0002271C" w:rsidRPr="004A3983">
        <w:rPr>
          <w:rFonts w:ascii="Gotham Book" w:hAnsi="Gotham Book" w:cs="Fira Sans Light"/>
          <w:color w:val="000000"/>
        </w:rPr>
        <w:t xml:space="preserve">e </w:t>
      </w:r>
      <w:r w:rsidR="00314FBB" w:rsidRPr="004A3983">
        <w:rPr>
          <w:rFonts w:ascii="Gotham Book" w:hAnsi="Gotham Book" w:cs="Fira Sans Light"/>
          <w:color w:val="000000"/>
        </w:rPr>
        <w:t xml:space="preserve">upward </w:t>
      </w:r>
      <w:r w:rsidR="0002271C" w:rsidRPr="004A3983">
        <w:rPr>
          <w:rFonts w:ascii="Gotham Book" w:hAnsi="Gotham Book" w:cs="Fira Sans Light"/>
          <w:color w:val="000000"/>
        </w:rPr>
        <w:t>trend in the number</w:t>
      </w:r>
      <w:r w:rsidRPr="004A3983">
        <w:rPr>
          <w:rFonts w:ascii="Gotham Book" w:hAnsi="Gotham Book" w:cs="Fira Sans Light"/>
          <w:color w:val="000000"/>
        </w:rPr>
        <w:t xml:space="preserve"> of persons con</w:t>
      </w:r>
      <w:r w:rsidR="0002271C" w:rsidRPr="004A3983">
        <w:rPr>
          <w:rFonts w:ascii="Gotham Book" w:hAnsi="Gotham Book" w:cs="Fira Sans Light"/>
          <w:color w:val="000000"/>
        </w:rPr>
        <w:t>victed of child sex offences is</w:t>
      </w:r>
      <w:r w:rsidRPr="004A3983">
        <w:rPr>
          <w:rFonts w:ascii="Gotham Book" w:hAnsi="Gotham Book" w:cs="Fira Sans Light"/>
          <w:color w:val="000000"/>
        </w:rPr>
        <w:t xml:space="preserve"> </w:t>
      </w:r>
      <w:r w:rsidR="0002271C" w:rsidRPr="004A3983">
        <w:rPr>
          <w:rFonts w:ascii="Gotham Book" w:hAnsi="Gotham Book" w:cs="Fira Sans Light"/>
          <w:color w:val="000000"/>
        </w:rPr>
        <w:t xml:space="preserve">therefore </w:t>
      </w:r>
      <w:r w:rsidRPr="004A3983">
        <w:rPr>
          <w:rFonts w:ascii="Gotham Book" w:hAnsi="Gotham Book" w:cs="Fira Sans Light"/>
          <w:color w:val="000000"/>
        </w:rPr>
        <w:t xml:space="preserve">expected to continue. </w:t>
      </w:r>
      <w:r w:rsidRPr="004A3983">
        <w:rPr>
          <w:rFonts w:ascii="Gotham Book" w:hAnsi="Gotham Book"/>
        </w:rPr>
        <w:t>As a result, the number of</w:t>
      </w:r>
      <w:r w:rsidR="00776C8E" w:rsidRPr="004A3983">
        <w:rPr>
          <w:rFonts w:ascii="Gotham Book" w:hAnsi="Gotham Book"/>
        </w:rPr>
        <w:t xml:space="preserve"> persons required to be placed o</w:t>
      </w:r>
      <w:r w:rsidRPr="004A3983">
        <w:rPr>
          <w:rFonts w:ascii="Gotham Book" w:hAnsi="Gotham Book"/>
        </w:rPr>
        <w:t>n the Register will also continue to increase.</w:t>
      </w:r>
    </w:p>
    <w:p w14:paraId="2ECE4F53" w14:textId="01788C08" w:rsidR="00697289" w:rsidRPr="004A3983" w:rsidRDefault="00DC3BDF" w:rsidP="00AD44AE">
      <w:pPr>
        <w:pStyle w:val="Heading3"/>
        <w:spacing w:after="160"/>
        <w:ind w:right="-2"/>
        <w:rPr>
          <w:rFonts w:ascii="Gotham Book" w:hAnsi="Gotham Book"/>
        </w:rPr>
      </w:pPr>
      <w:bookmarkStart w:id="282" w:name="_Toc8913522"/>
      <w:bookmarkStart w:id="283" w:name="_Toc9428383"/>
      <w:bookmarkStart w:id="284" w:name="_Toc12020335"/>
      <w:bookmarkStart w:id="285" w:name="_Toc14790501"/>
      <w:bookmarkStart w:id="286" w:name="_Toc15478384"/>
      <w:bookmarkStart w:id="287" w:name="_Toc22627785"/>
      <w:r w:rsidRPr="004A3983">
        <w:rPr>
          <w:rFonts w:ascii="Gotham Book" w:hAnsi="Gotham Book"/>
        </w:rPr>
        <w:t>Expansion of the list of offences and sentences that will result in a person becoming registrable</w:t>
      </w:r>
      <w:bookmarkEnd w:id="282"/>
      <w:bookmarkEnd w:id="283"/>
      <w:bookmarkEnd w:id="284"/>
      <w:bookmarkEnd w:id="285"/>
      <w:bookmarkEnd w:id="286"/>
      <w:bookmarkEnd w:id="287"/>
    </w:p>
    <w:p w14:paraId="08A0CBAD" w14:textId="16AF01BE" w:rsidR="00697289" w:rsidRPr="004A3983" w:rsidRDefault="00697289" w:rsidP="00AD44AE">
      <w:pPr>
        <w:spacing w:after="160"/>
        <w:ind w:right="-2"/>
        <w:rPr>
          <w:rFonts w:ascii="Gotham Book" w:hAnsi="Gotham Book"/>
        </w:rPr>
      </w:pPr>
      <w:r w:rsidRPr="004A3983">
        <w:rPr>
          <w:rFonts w:ascii="Gotham Book" w:hAnsi="Gotham Book"/>
        </w:rPr>
        <w:t xml:space="preserve">The number of offences that can result in a person being </w:t>
      </w:r>
      <w:r w:rsidR="002B113E" w:rsidRPr="004A3983">
        <w:rPr>
          <w:rFonts w:ascii="Gotham Book" w:hAnsi="Gotham Book"/>
        </w:rPr>
        <w:t>placed</w:t>
      </w:r>
      <w:r w:rsidRPr="004A3983">
        <w:rPr>
          <w:rFonts w:ascii="Gotham Book" w:hAnsi="Gotham Book"/>
        </w:rPr>
        <w:t xml:space="preserve"> on the Register has increased significantly since the CPOR Act commenced in 2001. At the time of </w:t>
      </w:r>
      <w:r w:rsidRPr="004A3983">
        <w:rPr>
          <w:rFonts w:ascii="Gotham Book" w:hAnsi="Gotham Book"/>
        </w:rPr>
        <w:lastRenderedPageBreak/>
        <w:t>writing there are over 800 different</w:t>
      </w:r>
      <w:r w:rsidR="00B51A48" w:rsidRPr="004A3983">
        <w:rPr>
          <w:rFonts w:ascii="Gotham Book" w:hAnsi="Gotham Book"/>
        </w:rPr>
        <w:t xml:space="preserve"> charges for</w:t>
      </w:r>
      <w:r w:rsidRPr="004A3983">
        <w:rPr>
          <w:rFonts w:ascii="Gotham Book" w:hAnsi="Gotham Book"/>
        </w:rPr>
        <w:t xml:space="preserve"> ‘Class 1’ or ‘Class 2’ offences that may result in a person being convicted of a ‘registrable offence’.</w:t>
      </w:r>
      <w:r w:rsidRPr="004A3983">
        <w:rPr>
          <w:rStyle w:val="FootnoteReference"/>
          <w:rFonts w:ascii="Gotham Book" w:hAnsi="Gotham Book"/>
        </w:rPr>
        <w:footnoteReference w:id="269"/>
      </w:r>
      <w:r w:rsidRPr="004A3983">
        <w:rPr>
          <w:rFonts w:ascii="Gotham Book" w:hAnsi="Gotham Book"/>
        </w:rPr>
        <w:t xml:space="preserve"> </w:t>
      </w:r>
    </w:p>
    <w:p w14:paraId="1BB26B3E" w14:textId="666783E3" w:rsidR="00697289" w:rsidRPr="004A3983" w:rsidRDefault="00697289" w:rsidP="00486346">
      <w:pPr>
        <w:spacing w:after="160"/>
        <w:rPr>
          <w:rFonts w:ascii="Gotham Book" w:hAnsi="Gotham Book"/>
        </w:rPr>
      </w:pPr>
      <w:r w:rsidRPr="004A3983">
        <w:rPr>
          <w:rFonts w:ascii="Gotham Book" w:hAnsi="Gotham Book"/>
        </w:rPr>
        <w:t xml:space="preserve">Expansions of the list of registrable offences </w:t>
      </w:r>
      <w:r w:rsidR="00D553D6" w:rsidRPr="004A3983">
        <w:rPr>
          <w:rFonts w:ascii="Gotham Book" w:hAnsi="Gotham Book"/>
        </w:rPr>
        <w:t xml:space="preserve">have </w:t>
      </w:r>
      <w:r w:rsidRPr="004A3983">
        <w:rPr>
          <w:rFonts w:ascii="Gotham Book" w:hAnsi="Gotham Book"/>
        </w:rPr>
        <w:t>include</w:t>
      </w:r>
      <w:r w:rsidR="005721D3" w:rsidRPr="004A3983">
        <w:rPr>
          <w:rFonts w:ascii="Gotham Book" w:hAnsi="Gotham Book"/>
        </w:rPr>
        <w:t>d</w:t>
      </w:r>
      <w:r w:rsidRPr="004A3983">
        <w:rPr>
          <w:rFonts w:ascii="Gotham Book" w:hAnsi="Gotham Book"/>
        </w:rPr>
        <w:t>:</w:t>
      </w:r>
    </w:p>
    <w:p w14:paraId="26C8DBC4" w14:textId="4A9E1F60" w:rsidR="00697289" w:rsidRPr="004A3983" w:rsidRDefault="00697289" w:rsidP="003018D6">
      <w:pPr>
        <w:pStyle w:val="ListBullet"/>
      </w:pPr>
      <w:r w:rsidRPr="004A3983">
        <w:t>in 2005 Commonwealth child trafficking offences and offences of using carriage services to procure or groom a person under 16 for sexual activity were added as Class 2 offences</w:t>
      </w:r>
      <w:r w:rsidR="00FF484C" w:rsidRPr="004A3983">
        <w:t>;</w:t>
      </w:r>
      <w:r w:rsidRPr="004A3983">
        <w:rPr>
          <w:rStyle w:val="FootnoteReference"/>
        </w:rPr>
        <w:footnoteReference w:id="270"/>
      </w:r>
      <w:r w:rsidRPr="004A3983">
        <w:t xml:space="preserve"> </w:t>
      </w:r>
    </w:p>
    <w:p w14:paraId="5C293EAD" w14:textId="31AE9F6F" w:rsidR="00697289" w:rsidRPr="004A3983" w:rsidRDefault="00697289" w:rsidP="003018D6">
      <w:pPr>
        <w:pStyle w:val="ListBullet"/>
      </w:pPr>
      <w:r w:rsidRPr="004A3983">
        <w:t>in 2010 Commonwealth offences relating to child sex tourism (child sex offences committed overseas) were added as Class 1 and Class 2 offences</w:t>
      </w:r>
      <w:r w:rsidR="00FF484C" w:rsidRPr="004A3983">
        <w:t>,</w:t>
      </w:r>
      <w:r w:rsidRPr="004A3983">
        <w:rPr>
          <w:rStyle w:val="FootnoteReference"/>
        </w:rPr>
        <w:footnoteReference w:id="271"/>
      </w:r>
      <w:r w:rsidR="00FF484C" w:rsidRPr="004A3983">
        <w:t xml:space="preserve"> and</w:t>
      </w:r>
    </w:p>
    <w:p w14:paraId="35566142" w14:textId="77777777" w:rsidR="00697289" w:rsidRPr="004A3983" w:rsidRDefault="00697289" w:rsidP="003018D6">
      <w:pPr>
        <w:pStyle w:val="ListBullet"/>
      </w:pPr>
      <w:r w:rsidRPr="004A3983">
        <w:t>in 2014 the following offences were added as Class 2 offences (with certain qualifications):</w:t>
      </w:r>
    </w:p>
    <w:p w14:paraId="4DDDF113" w14:textId="1FFB8D8B" w:rsidR="00697289" w:rsidRPr="004A3983" w:rsidRDefault="00697289" w:rsidP="00677139">
      <w:pPr>
        <w:pStyle w:val="ListBullet"/>
        <w:numPr>
          <w:ilvl w:val="1"/>
          <w:numId w:val="15"/>
        </w:numPr>
      </w:pPr>
      <w:r w:rsidRPr="004A3983">
        <w:t>manslaughter of a child</w:t>
      </w:r>
      <w:r w:rsidR="00486346" w:rsidRPr="004A3983">
        <w:t>;</w:t>
      </w:r>
      <w:r w:rsidRPr="004A3983">
        <w:t xml:space="preserve"> </w:t>
      </w:r>
    </w:p>
    <w:p w14:paraId="56764669" w14:textId="0A5EFB91" w:rsidR="00697289" w:rsidRPr="004A3983" w:rsidRDefault="00697289" w:rsidP="00677139">
      <w:pPr>
        <w:pStyle w:val="ListBullet"/>
        <w:numPr>
          <w:ilvl w:val="1"/>
          <w:numId w:val="15"/>
        </w:numPr>
      </w:pPr>
      <w:r w:rsidRPr="004A3983">
        <w:t>wounding or causing grievous bodily harm to a child under 10 years old</w:t>
      </w:r>
      <w:r w:rsidR="003018D6">
        <w:t> </w:t>
      </w:r>
      <w:r w:rsidRPr="004A3983">
        <w:t>with intent</w:t>
      </w:r>
      <w:r w:rsidR="00486346" w:rsidRPr="004A3983">
        <w:t>, and</w:t>
      </w:r>
      <w:r w:rsidRPr="004A3983">
        <w:t xml:space="preserve">  </w:t>
      </w:r>
    </w:p>
    <w:p w14:paraId="12780230" w14:textId="77777777" w:rsidR="00697289" w:rsidRPr="004A3983" w:rsidRDefault="00697289" w:rsidP="00677139">
      <w:pPr>
        <w:pStyle w:val="ListBullet"/>
        <w:numPr>
          <w:ilvl w:val="1"/>
          <w:numId w:val="15"/>
        </w:numPr>
      </w:pPr>
      <w:r w:rsidRPr="004A3983">
        <w:t>child abduction.</w:t>
      </w:r>
      <w:r w:rsidRPr="004A3983">
        <w:rPr>
          <w:rStyle w:val="FootnoteReference"/>
        </w:rPr>
        <w:footnoteReference w:id="272"/>
      </w:r>
      <w:r w:rsidRPr="004A3983">
        <w:t xml:space="preserve"> </w:t>
      </w:r>
    </w:p>
    <w:p w14:paraId="7F6ACC5B" w14:textId="26ABE007" w:rsidR="00697289" w:rsidRPr="004A3983" w:rsidRDefault="00697289" w:rsidP="00AD44AE">
      <w:pPr>
        <w:spacing w:after="160"/>
        <w:ind w:right="-2"/>
        <w:rPr>
          <w:rFonts w:ascii="Gotham Book" w:hAnsi="Gotham Book"/>
        </w:rPr>
      </w:pPr>
      <w:r w:rsidRPr="004A3983">
        <w:rPr>
          <w:rFonts w:ascii="Gotham Book" w:hAnsi="Gotham Book"/>
        </w:rPr>
        <w:t xml:space="preserve">In addition to the increase in the number of offences that are registrable, the threshold for the type of sentence </w:t>
      </w:r>
      <w:r w:rsidR="00C35042" w:rsidRPr="004A3983">
        <w:rPr>
          <w:rFonts w:ascii="Gotham Book" w:hAnsi="Gotham Book"/>
        </w:rPr>
        <w:t xml:space="preserve">that </w:t>
      </w:r>
      <w:r w:rsidRPr="004A3983">
        <w:rPr>
          <w:rFonts w:ascii="Gotham Book" w:hAnsi="Gotham Book"/>
        </w:rPr>
        <w:t>will result in a person becoming registrable has also been lowered. For example, in 2007 the CPOR Act was amended to make registrable those persons who had received suspended sentences of imprisonment for committing registrable offences.</w:t>
      </w:r>
      <w:r w:rsidRPr="004A3983">
        <w:rPr>
          <w:rStyle w:val="FootnoteReference"/>
          <w:rFonts w:ascii="Gotham Book" w:hAnsi="Gotham Book"/>
        </w:rPr>
        <w:footnoteReference w:id="273"/>
      </w:r>
      <w:r w:rsidRPr="004A3983">
        <w:rPr>
          <w:rFonts w:ascii="Gotham Book" w:hAnsi="Gotham Book"/>
        </w:rPr>
        <w:t xml:space="preserve"> In 2008 the CPOR Act was amended to make all adults convicted of a Class 2 offence registrable, even when their sentence did not include any period of imprisonment or supervision.</w:t>
      </w:r>
      <w:r w:rsidRPr="004A3983">
        <w:rPr>
          <w:rStyle w:val="FootnoteReference"/>
          <w:rFonts w:ascii="Gotham Book" w:hAnsi="Gotham Book"/>
        </w:rPr>
        <w:footnoteReference w:id="274"/>
      </w:r>
      <w:r w:rsidRPr="004A3983">
        <w:rPr>
          <w:rFonts w:ascii="Gotham Book" w:hAnsi="Gotham Book"/>
        </w:rPr>
        <w:t xml:space="preserve"> These changes have resulted in a ‘widening of the net’ in terms of who is caught by the CPOR Act.</w:t>
      </w:r>
    </w:p>
    <w:p w14:paraId="3F2EAAA8" w14:textId="7D86A055" w:rsidR="00697289" w:rsidRPr="004A3983" w:rsidRDefault="00697289" w:rsidP="00AD44AE">
      <w:pPr>
        <w:spacing w:after="160"/>
        <w:ind w:right="-2"/>
        <w:rPr>
          <w:rFonts w:ascii="Gotham Book" w:hAnsi="Gotham Book"/>
        </w:rPr>
      </w:pPr>
      <w:r w:rsidRPr="004A3983">
        <w:rPr>
          <w:rFonts w:ascii="Gotham Book" w:hAnsi="Gotham Book"/>
        </w:rPr>
        <w:t>Increases in the number of person</w:t>
      </w:r>
      <w:r w:rsidR="00485317" w:rsidRPr="004A3983">
        <w:rPr>
          <w:rFonts w:ascii="Gotham Book" w:hAnsi="Gotham Book"/>
        </w:rPr>
        <w:t>s</w:t>
      </w:r>
      <w:r w:rsidR="00DD7AF7" w:rsidRPr="004A3983">
        <w:rPr>
          <w:rFonts w:ascii="Gotham Book" w:hAnsi="Gotham Book"/>
        </w:rPr>
        <w:t xml:space="preserve"> required to be registered</w:t>
      </w:r>
      <w:r w:rsidRPr="004A3983">
        <w:rPr>
          <w:rFonts w:ascii="Gotham Book" w:hAnsi="Gotham Book"/>
        </w:rPr>
        <w:t xml:space="preserve"> under the CPOR Act necessarily increase the workload of the Registry. </w:t>
      </w:r>
    </w:p>
    <w:p w14:paraId="2B414172" w14:textId="51A38D41" w:rsidR="00697289" w:rsidRPr="004A3983" w:rsidRDefault="00BE18D2" w:rsidP="00AD44AE">
      <w:pPr>
        <w:pStyle w:val="Heading3"/>
        <w:spacing w:after="160"/>
        <w:ind w:right="-2"/>
      </w:pPr>
      <w:bookmarkStart w:id="288" w:name="_Toc8913523"/>
      <w:bookmarkStart w:id="289" w:name="_Toc9428384"/>
      <w:bookmarkStart w:id="290" w:name="_Toc12020336"/>
      <w:bookmarkStart w:id="291" w:name="_Toc14790502"/>
      <w:bookmarkStart w:id="292" w:name="_Toc15478385"/>
      <w:bookmarkStart w:id="293" w:name="_Toc22627786"/>
      <w:r w:rsidRPr="004A3983">
        <w:t>Increase in reporting obligations</w:t>
      </w:r>
      <w:bookmarkEnd w:id="288"/>
      <w:bookmarkEnd w:id="289"/>
      <w:bookmarkEnd w:id="290"/>
      <w:bookmarkEnd w:id="291"/>
      <w:bookmarkEnd w:id="292"/>
      <w:bookmarkEnd w:id="293"/>
    </w:p>
    <w:p w14:paraId="1A2730C8" w14:textId="4F506489" w:rsidR="00FB66A7" w:rsidRPr="004A3983" w:rsidRDefault="00FB66A7" w:rsidP="00AD44AE">
      <w:pPr>
        <w:spacing w:after="160"/>
        <w:ind w:right="-2"/>
        <w:rPr>
          <w:rFonts w:ascii="Gotham Book" w:hAnsi="Gotham Book"/>
        </w:rPr>
      </w:pPr>
      <w:r w:rsidRPr="004A3983">
        <w:rPr>
          <w:rFonts w:ascii="Gotham Book" w:hAnsi="Gotham Book"/>
        </w:rPr>
        <w:t>The work involved in administering the Register has</w:t>
      </w:r>
      <w:r w:rsidR="007357E1" w:rsidRPr="004A3983">
        <w:rPr>
          <w:rFonts w:ascii="Gotham Book" w:hAnsi="Gotham Book"/>
        </w:rPr>
        <w:t xml:space="preserve"> also</w:t>
      </w:r>
      <w:r w:rsidR="001E303A" w:rsidRPr="004A3983">
        <w:rPr>
          <w:rFonts w:ascii="Gotham Book" w:hAnsi="Gotham Book"/>
        </w:rPr>
        <w:t xml:space="preserve"> increased as</w:t>
      </w:r>
      <w:r w:rsidRPr="004A3983">
        <w:rPr>
          <w:rFonts w:ascii="Gotham Book" w:hAnsi="Gotham Book"/>
        </w:rPr>
        <w:t xml:space="preserve"> Parliament has extended the reporting obligations of those persons who are registrable. </w:t>
      </w:r>
    </w:p>
    <w:p w14:paraId="19CFEDAD" w14:textId="52427121" w:rsidR="00FB66A7" w:rsidRPr="004A3983" w:rsidRDefault="00FB66A7" w:rsidP="00AD44AE">
      <w:pPr>
        <w:spacing w:after="160"/>
        <w:ind w:right="-2"/>
        <w:rPr>
          <w:rFonts w:ascii="Gotham Book" w:hAnsi="Gotham Book"/>
        </w:rPr>
      </w:pPr>
      <w:r w:rsidRPr="004A3983">
        <w:rPr>
          <w:rFonts w:ascii="Gotham Book" w:hAnsi="Gotham Book"/>
        </w:rPr>
        <w:lastRenderedPageBreak/>
        <w:t>In 2005 the formulas for calculating registrable persons’ reporting periods were amended to increase the period for a single Class 1 offence, and multiple Class 2 offences prior to registration, to 15 years. Those amendments also increased the number of registrable persons who would be required to report to police for the rest of their natural lives.</w:t>
      </w:r>
      <w:r w:rsidRPr="004A3983">
        <w:rPr>
          <w:rStyle w:val="FootnoteReference"/>
          <w:rFonts w:ascii="Gotham Book" w:hAnsi="Gotham Book"/>
        </w:rPr>
        <w:footnoteReference w:id="275"/>
      </w:r>
      <w:r w:rsidRPr="004A3983">
        <w:rPr>
          <w:rFonts w:ascii="Gotham Book" w:hAnsi="Gotham Book"/>
        </w:rPr>
        <w:t xml:space="preserve"> </w:t>
      </w:r>
      <w:r w:rsidR="00740D20" w:rsidRPr="004A3983">
        <w:rPr>
          <w:rFonts w:ascii="Gotham Book" w:hAnsi="Gotham Book"/>
        </w:rPr>
        <w:t>In 2005</w:t>
      </w:r>
      <w:r w:rsidRPr="004A3983">
        <w:rPr>
          <w:rFonts w:ascii="Gotham Book" w:hAnsi="Gotham Book"/>
        </w:rPr>
        <w:t xml:space="preserve"> the NSW Ombudsman warned that ‘the introduction of 15 years or lifetime reporting periods for the majority of registered persons may substantially increase the workload of police in managing the Register’.</w:t>
      </w:r>
      <w:r w:rsidRPr="004A3983">
        <w:rPr>
          <w:rStyle w:val="FootnoteReference"/>
          <w:rFonts w:ascii="Gotham Book" w:hAnsi="Gotham Book"/>
        </w:rPr>
        <w:footnoteReference w:id="276"/>
      </w:r>
    </w:p>
    <w:p w14:paraId="4FD8D745" w14:textId="2BC00D43" w:rsidR="00FB66A7" w:rsidRPr="004A3983" w:rsidRDefault="00FB66A7" w:rsidP="00AD44AE">
      <w:pPr>
        <w:spacing w:after="160"/>
        <w:ind w:right="-2"/>
        <w:rPr>
          <w:rFonts w:ascii="Gotham Book" w:hAnsi="Gotham Book"/>
        </w:rPr>
      </w:pPr>
      <w:r w:rsidRPr="004A3983">
        <w:rPr>
          <w:rFonts w:ascii="Gotham Book" w:hAnsi="Gotham Book"/>
        </w:rPr>
        <w:t>At the same time as extending the reporting periods, Parliament also inserted the requirement that all registrable persons be required to report annually to police, in person, regardless of whether their details had changed.</w:t>
      </w:r>
      <w:r w:rsidRPr="004A3983">
        <w:rPr>
          <w:rStyle w:val="FootnoteReference"/>
          <w:rFonts w:ascii="Gotham Book" w:hAnsi="Gotham Book"/>
        </w:rPr>
        <w:footnoteReference w:id="277"/>
      </w:r>
    </w:p>
    <w:p w14:paraId="137023B3" w14:textId="7DD525B7" w:rsidR="00FB66A7" w:rsidRPr="004A3983" w:rsidRDefault="00FB66A7" w:rsidP="00AD44AE">
      <w:pPr>
        <w:spacing w:after="160"/>
        <w:ind w:right="-2"/>
        <w:rPr>
          <w:rFonts w:ascii="Gotham Book" w:hAnsi="Gotham Book"/>
        </w:rPr>
      </w:pPr>
      <w:r w:rsidRPr="004A3983">
        <w:rPr>
          <w:rFonts w:ascii="Gotham Book" w:hAnsi="Gotham Book"/>
        </w:rPr>
        <w:t xml:space="preserve">Parliament has also progressively increased the amount of personal information that registrable persons are required to report to the NSW Police Force, which has increased the burden for the NSW Police </w:t>
      </w:r>
      <w:r w:rsidR="00FA3FBD" w:rsidRPr="004A3983">
        <w:rPr>
          <w:rFonts w:ascii="Gotham Book" w:hAnsi="Gotham Book"/>
        </w:rPr>
        <w:t xml:space="preserve">Force </w:t>
      </w:r>
      <w:r w:rsidRPr="004A3983">
        <w:rPr>
          <w:rFonts w:ascii="Gotham Book" w:hAnsi="Gotham Book"/>
        </w:rPr>
        <w:t>of monitoring to ensure compliance with each of these new requirements.</w:t>
      </w:r>
      <w:r w:rsidRPr="004A3983">
        <w:rPr>
          <w:rStyle w:val="FootnoteReference"/>
          <w:rFonts w:ascii="Gotham Book" w:hAnsi="Gotham Book"/>
        </w:rPr>
        <w:t xml:space="preserve"> </w:t>
      </w:r>
      <w:r w:rsidRPr="004A3983">
        <w:rPr>
          <w:rStyle w:val="FootnoteReference"/>
          <w:rFonts w:ascii="Gotham Book" w:hAnsi="Gotham Book"/>
        </w:rPr>
        <w:footnoteReference w:id="278"/>
      </w:r>
      <w:r w:rsidRPr="004A3983">
        <w:rPr>
          <w:rFonts w:ascii="Gotham Book" w:hAnsi="Gotham Book"/>
        </w:rPr>
        <w:t xml:space="preserve"> For example, in 2008 requirements were introduced that all registrable persons report details of any carriage service, internet service provider, internet connection, email addresses, internet user names, instant messaging user names or chat room </w:t>
      </w:r>
      <w:r w:rsidRPr="004A3983">
        <w:rPr>
          <w:rFonts w:ascii="Gotham Book" w:hAnsi="Gotham Book" w:cstheme="minorHAnsi"/>
        </w:rPr>
        <w:t>user names they use, within 14 days.</w:t>
      </w:r>
      <w:r w:rsidRPr="004A3983">
        <w:rPr>
          <w:rStyle w:val="FootnoteReference"/>
          <w:rFonts w:ascii="Gotham Book" w:hAnsi="Gotham Book" w:cstheme="minorHAnsi"/>
        </w:rPr>
        <w:footnoteReference w:id="279"/>
      </w:r>
      <w:r w:rsidRPr="004A3983">
        <w:rPr>
          <w:rFonts w:ascii="Gotham Book" w:hAnsi="Gotham Book" w:cstheme="minorHAnsi"/>
        </w:rPr>
        <w:t xml:space="preserve"> In 2014 the personal information to be reported </w:t>
      </w:r>
      <w:r w:rsidR="00740D20" w:rsidRPr="004A3983">
        <w:rPr>
          <w:rFonts w:ascii="Gotham Book" w:hAnsi="Gotham Book" w:cstheme="minorHAnsi"/>
        </w:rPr>
        <w:t>was amended to include</w:t>
      </w:r>
      <w:r w:rsidRPr="004A3983">
        <w:rPr>
          <w:rFonts w:ascii="Gotham Book" w:hAnsi="Gotham Book" w:cstheme="minorHAnsi"/>
        </w:rPr>
        <w:t xml:space="preserve"> the details </w:t>
      </w:r>
      <w:r w:rsidRPr="004A3983">
        <w:rPr>
          <w:rFonts w:ascii="Gotham Book" w:hAnsi="Gotham Book" w:cstheme="minorHAnsi"/>
          <w:color w:val="000000"/>
          <w:shd w:val="clear" w:color="auto" w:fill="FFFFFF"/>
        </w:rPr>
        <w:t xml:space="preserve">of each child with whom the registrable person has had contact, including by phone, if the person was </w:t>
      </w:r>
      <w:r w:rsidRPr="004A3983">
        <w:rPr>
          <w:rFonts w:ascii="Gotham Book" w:hAnsi="Gotham Book" w:cstheme="minorHAnsi"/>
          <w:color w:val="000000"/>
        </w:rPr>
        <w:t>supervi</w:t>
      </w:r>
      <w:r w:rsidR="007E0884" w:rsidRPr="004A3983">
        <w:rPr>
          <w:rFonts w:ascii="Gotham Book" w:hAnsi="Gotham Book" w:cstheme="minorHAnsi"/>
          <w:color w:val="000000"/>
        </w:rPr>
        <w:t xml:space="preserve">sing or caring for the child, </w:t>
      </w:r>
      <w:r w:rsidRPr="004A3983">
        <w:rPr>
          <w:rFonts w:ascii="Gotham Book" w:hAnsi="Gotham Book" w:cstheme="minorHAnsi"/>
          <w:color w:val="000000"/>
        </w:rPr>
        <w:t>visiting or staying a</w:t>
      </w:r>
      <w:r w:rsidR="007E0884" w:rsidRPr="004A3983">
        <w:rPr>
          <w:rFonts w:ascii="Gotham Book" w:hAnsi="Gotham Book" w:cstheme="minorHAnsi"/>
          <w:color w:val="000000"/>
        </w:rPr>
        <w:t>t a household where the child was</w:t>
      </w:r>
      <w:r w:rsidRPr="004A3983">
        <w:rPr>
          <w:rFonts w:ascii="Gotham Book" w:hAnsi="Gotham Book" w:cstheme="minorHAnsi"/>
          <w:color w:val="000000"/>
        </w:rPr>
        <w:t xml:space="preserve"> present, exchanging contact details with or</w:t>
      </w:r>
      <w:r w:rsidRPr="004A3983">
        <w:rPr>
          <w:rFonts w:ascii="Gotham Book" w:hAnsi="Gotham Book" w:cstheme="minorHAnsi"/>
        </w:rPr>
        <w:t xml:space="preserve"> </w:t>
      </w:r>
      <w:r w:rsidRPr="004A3983">
        <w:rPr>
          <w:rFonts w:ascii="Gotham Book" w:hAnsi="Gotham Book" w:cstheme="minorHAnsi"/>
          <w:color w:val="000000"/>
        </w:rPr>
        <w:t>attempting to befriend the child.</w:t>
      </w:r>
      <w:r w:rsidRPr="004A3983">
        <w:rPr>
          <w:rStyle w:val="FootnoteReference"/>
          <w:rFonts w:ascii="Gotham Book" w:hAnsi="Gotham Book" w:cstheme="minorHAnsi"/>
          <w:color w:val="000000"/>
        </w:rPr>
        <w:footnoteReference w:id="280"/>
      </w:r>
    </w:p>
    <w:p w14:paraId="4A4D7080" w14:textId="77F6B551" w:rsidR="00FB66A7" w:rsidRPr="004A3983" w:rsidRDefault="00FB66A7" w:rsidP="00AD44AE">
      <w:pPr>
        <w:spacing w:after="160"/>
        <w:ind w:right="-2"/>
        <w:rPr>
          <w:rFonts w:ascii="Gotham Book" w:hAnsi="Gotham Book"/>
        </w:rPr>
      </w:pPr>
      <w:r w:rsidRPr="004A3983">
        <w:rPr>
          <w:rFonts w:ascii="Gotham Book" w:hAnsi="Gotham Book"/>
        </w:rPr>
        <w:t>Life-time reporters under the CPOR Act create a long-term workload for the Registry officers. As of January 2018, 201 persons on the Register had life-time reporting obligations.</w:t>
      </w:r>
      <w:r w:rsidRPr="004A3983">
        <w:rPr>
          <w:rStyle w:val="FootnoteReference"/>
          <w:rFonts w:ascii="Gotham Book" w:hAnsi="Gotham Book"/>
        </w:rPr>
        <w:footnoteReference w:id="281"/>
      </w:r>
      <w:r w:rsidRPr="004A3983">
        <w:rPr>
          <w:rFonts w:ascii="Gotham Book" w:hAnsi="Gotham Book"/>
        </w:rPr>
        <w:t xml:space="preserve"> Some of these persons frequently go in and out of custody, which generates a ‘constant stream of work’ for Registry staff to suspend and </w:t>
      </w:r>
      <w:r w:rsidR="00A83C62" w:rsidRPr="004A3983">
        <w:rPr>
          <w:rFonts w:ascii="Gotham Book" w:hAnsi="Gotham Book"/>
        </w:rPr>
        <w:t>‘re</w:t>
      </w:r>
      <w:r w:rsidRPr="004A3983">
        <w:rPr>
          <w:rFonts w:ascii="Gotham Book" w:hAnsi="Gotham Book"/>
        </w:rPr>
        <w:t>open’ their reporting obligations, and ensure the case is transferred to the appropriate local command.</w:t>
      </w:r>
      <w:r w:rsidRPr="004A3983">
        <w:rPr>
          <w:rStyle w:val="FootnoteReference"/>
          <w:rFonts w:ascii="Gotham Book" w:hAnsi="Gotham Book"/>
        </w:rPr>
        <w:footnoteReference w:id="282"/>
      </w:r>
      <w:r w:rsidRPr="004A3983">
        <w:rPr>
          <w:rFonts w:ascii="Gotham Book" w:hAnsi="Gotham Book"/>
        </w:rPr>
        <w:t xml:space="preserve">  </w:t>
      </w:r>
    </w:p>
    <w:p w14:paraId="46C04295" w14:textId="3B6962A7" w:rsidR="0005260F" w:rsidRPr="004A3983" w:rsidRDefault="0005260F" w:rsidP="00AD44AE">
      <w:pPr>
        <w:pStyle w:val="Heading3"/>
        <w:spacing w:after="160"/>
        <w:ind w:right="-2"/>
      </w:pPr>
      <w:bookmarkStart w:id="294" w:name="_Toc8913524"/>
      <w:bookmarkStart w:id="295" w:name="_Toc9428385"/>
      <w:bookmarkStart w:id="296" w:name="_Toc12020337"/>
      <w:bookmarkStart w:id="297" w:name="_Ref13137194"/>
      <w:bookmarkStart w:id="298" w:name="_Toc14790503"/>
      <w:bookmarkStart w:id="299" w:name="_Toc15478386"/>
      <w:bookmarkStart w:id="300" w:name="_Toc22627787"/>
      <w:r w:rsidRPr="004A3983">
        <w:lastRenderedPageBreak/>
        <w:t>Increasing complexity of the Registry’s work</w:t>
      </w:r>
      <w:bookmarkEnd w:id="294"/>
      <w:bookmarkEnd w:id="295"/>
      <w:bookmarkEnd w:id="296"/>
      <w:bookmarkEnd w:id="297"/>
      <w:bookmarkEnd w:id="298"/>
      <w:bookmarkEnd w:id="299"/>
      <w:bookmarkEnd w:id="300"/>
    </w:p>
    <w:p w14:paraId="5D87F5E6" w14:textId="1A55E5CF" w:rsidR="0005260F" w:rsidRPr="004A3983" w:rsidRDefault="0005260F" w:rsidP="00AD44AE">
      <w:pPr>
        <w:spacing w:after="160"/>
        <w:ind w:right="-2"/>
        <w:rPr>
          <w:rFonts w:ascii="Gotham Book" w:hAnsi="Gotham Book"/>
        </w:rPr>
      </w:pPr>
      <w:r w:rsidRPr="004A3983">
        <w:rPr>
          <w:rFonts w:ascii="Gotham Book" w:hAnsi="Gotham Book"/>
        </w:rPr>
        <w:t>In addition to the increasing volume of the Registry’s work, the responsibilities of the Registry have become increasingly complex.</w:t>
      </w:r>
    </w:p>
    <w:p w14:paraId="1DE1281F" w14:textId="5AA5E5C3" w:rsidR="0005260F" w:rsidRPr="004A3983" w:rsidRDefault="0005260F" w:rsidP="00AD44AE">
      <w:pPr>
        <w:spacing w:after="160"/>
        <w:ind w:right="-2"/>
        <w:rPr>
          <w:rFonts w:ascii="Gotham Book" w:hAnsi="Gotham Book"/>
        </w:rPr>
      </w:pPr>
      <w:r w:rsidRPr="004A3983">
        <w:rPr>
          <w:rFonts w:ascii="Gotham Book" w:hAnsi="Gotham Book"/>
        </w:rPr>
        <w:t>The CPOR Act can be a difficult piece of legislation to implement in practice</w:t>
      </w:r>
      <w:r w:rsidR="00882B14" w:rsidRPr="004A3983">
        <w:rPr>
          <w:rFonts w:ascii="Gotham Book" w:hAnsi="Gotham Book"/>
        </w:rPr>
        <w:t xml:space="preserve">. It is </w:t>
      </w:r>
      <w:r w:rsidRPr="004A3983">
        <w:rPr>
          <w:rFonts w:ascii="Gotham Book" w:hAnsi="Gotham Book"/>
        </w:rPr>
        <w:t xml:space="preserve">complex, and a number of </w:t>
      </w:r>
      <w:r w:rsidR="00882B14" w:rsidRPr="004A3983">
        <w:rPr>
          <w:rFonts w:ascii="Gotham Book" w:hAnsi="Gotham Book"/>
        </w:rPr>
        <w:t xml:space="preserve">its </w:t>
      </w:r>
      <w:r w:rsidRPr="004A3983">
        <w:rPr>
          <w:rFonts w:ascii="Gotham Book" w:hAnsi="Gotham Book"/>
        </w:rPr>
        <w:t xml:space="preserve">provisions </w:t>
      </w:r>
      <w:r w:rsidR="00882B14" w:rsidRPr="004A3983">
        <w:rPr>
          <w:rFonts w:ascii="Gotham Book" w:hAnsi="Gotham Book"/>
        </w:rPr>
        <w:t>contain ambiguities</w:t>
      </w:r>
      <w:r w:rsidRPr="004A3983">
        <w:rPr>
          <w:rFonts w:ascii="Gotham Book" w:hAnsi="Gotham Book"/>
        </w:rPr>
        <w:t xml:space="preserve">. It is also regularly amended; at the time of writing, the CPOR Act had been amended a total of 41 times since its passage in 2000. The problems with the statutory framework are discussed in </w:t>
      </w:r>
      <w:r w:rsidR="00B673F1" w:rsidRPr="004A3983">
        <w:rPr>
          <w:rFonts w:ascii="Gotham Book" w:hAnsi="Gotham Book"/>
        </w:rPr>
        <w:t xml:space="preserve">Chapter </w:t>
      </w:r>
      <w:r w:rsidR="00B673F1" w:rsidRPr="004A3983">
        <w:rPr>
          <w:rFonts w:ascii="Gotham Book" w:hAnsi="Gotham Book"/>
        </w:rPr>
        <w:fldChar w:fldCharType="begin"/>
      </w:r>
      <w:r w:rsidR="00B673F1" w:rsidRPr="004A3983">
        <w:rPr>
          <w:rFonts w:ascii="Gotham Book" w:hAnsi="Gotham Book"/>
        </w:rPr>
        <w:instrText xml:space="preserve"> REF _Ref9350149 \r \h </w:instrText>
      </w:r>
      <w:r w:rsidR="0063111E" w:rsidRPr="004A3983">
        <w:rPr>
          <w:rFonts w:ascii="Gotham Book" w:hAnsi="Gotham Book"/>
        </w:rPr>
        <w:instrText xml:space="preserve"> \* MERGEFORMAT </w:instrText>
      </w:r>
      <w:r w:rsidR="00B673F1" w:rsidRPr="004A3983">
        <w:rPr>
          <w:rFonts w:ascii="Gotham Book" w:hAnsi="Gotham Book"/>
        </w:rPr>
      </w:r>
      <w:r w:rsidR="00B673F1" w:rsidRPr="004A3983">
        <w:rPr>
          <w:rFonts w:ascii="Gotham Book" w:hAnsi="Gotham Book"/>
        </w:rPr>
        <w:fldChar w:fldCharType="separate"/>
      </w:r>
      <w:r w:rsidR="00022664">
        <w:rPr>
          <w:rFonts w:ascii="Gotham Book" w:hAnsi="Gotham Book" w:hint="cs"/>
          <w:cs/>
        </w:rPr>
        <w:t>‎</w:t>
      </w:r>
      <w:r w:rsidR="00022664">
        <w:rPr>
          <w:rFonts w:ascii="Gotham Book" w:hAnsi="Gotham Book"/>
        </w:rPr>
        <w:t>6</w:t>
      </w:r>
      <w:r w:rsidR="00B673F1" w:rsidRPr="004A3983">
        <w:rPr>
          <w:rFonts w:ascii="Gotham Book" w:hAnsi="Gotham Book"/>
        </w:rPr>
        <w:fldChar w:fldCharType="end"/>
      </w:r>
      <w:r w:rsidRPr="004A3983">
        <w:rPr>
          <w:rFonts w:ascii="Gotham Book" w:hAnsi="Gotham Book"/>
        </w:rPr>
        <w:t xml:space="preserve">, and </w:t>
      </w:r>
      <w:r w:rsidR="00D82577" w:rsidRPr="004A3983">
        <w:rPr>
          <w:rFonts w:ascii="Gotham Book" w:hAnsi="Gotham Book"/>
        </w:rPr>
        <w:t>Appendix 2</w:t>
      </w:r>
      <w:r w:rsidRPr="004A3983">
        <w:rPr>
          <w:rFonts w:ascii="Gotham Book" w:hAnsi="Gotham Book"/>
        </w:rPr>
        <w:t xml:space="preserve">. </w:t>
      </w:r>
    </w:p>
    <w:p w14:paraId="0EC7A274" w14:textId="79EAF4DA" w:rsidR="0005260F" w:rsidRPr="004A3983" w:rsidRDefault="0005260F" w:rsidP="00AD44AE">
      <w:pPr>
        <w:spacing w:after="160"/>
        <w:ind w:right="-2"/>
        <w:rPr>
          <w:rFonts w:ascii="Gotham Book" w:hAnsi="Gotham Book"/>
        </w:rPr>
      </w:pPr>
      <w:r w:rsidRPr="004A3983">
        <w:rPr>
          <w:rFonts w:ascii="Gotham Book" w:hAnsi="Gotham Book"/>
        </w:rPr>
        <w:t>A number of the amendments to the CPOR Act that have effectively ‘widened the net’ of the Register were given retro</w:t>
      </w:r>
      <w:r w:rsidR="00014BBB" w:rsidRPr="004A3983">
        <w:rPr>
          <w:rFonts w:ascii="Gotham Book" w:hAnsi="Gotham Book"/>
        </w:rPr>
        <w:t xml:space="preserve">spective application by </w:t>
      </w:r>
      <w:r w:rsidRPr="004A3983">
        <w:rPr>
          <w:rFonts w:ascii="Gotham Book" w:hAnsi="Gotham Book"/>
        </w:rPr>
        <w:t>Parliament.</w:t>
      </w:r>
      <w:r w:rsidRPr="004A3983">
        <w:rPr>
          <w:rStyle w:val="FootnoteReference"/>
          <w:rFonts w:ascii="Gotham Book" w:hAnsi="Gotham Book"/>
        </w:rPr>
        <w:footnoteReference w:id="283"/>
      </w:r>
      <w:r w:rsidRPr="004A3983">
        <w:rPr>
          <w:rFonts w:ascii="Gotham Book" w:hAnsi="Gotham Book"/>
        </w:rPr>
        <w:t xml:space="preserve"> These amendments created additional work for the Registry, requiring it to ‘back-capture’ offenders who they had already assessed under the previous framework. </w:t>
      </w:r>
    </w:p>
    <w:p w14:paraId="46A25C6B" w14:textId="37DB2225" w:rsidR="0005260F" w:rsidRPr="004A3983" w:rsidRDefault="0005260F" w:rsidP="00AD44AE">
      <w:pPr>
        <w:spacing w:after="160"/>
        <w:ind w:right="-2"/>
        <w:rPr>
          <w:rFonts w:ascii="Gotham Book" w:hAnsi="Gotham Book"/>
        </w:rPr>
      </w:pPr>
      <w:r w:rsidRPr="004A3983">
        <w:rPr>
          <w:rFonts w:ascii="Gotham Book" w:hAnsi="Gotham Book"/>
        </w:rPr>
        <w:t>For example, the amendment in 2007 to make persons who had received suspended sentences registrable was given retrospective effect.</w:t>
      </w:r>
      <w:r w:rsidRPr="004A3983">
        <w:rPr>
          <w:rStyle w:val="FootnoteReference"/>
          <w:rFonts w:ascii="Gotham Book" w:hAnsi="Gotham Book"/>
        </w:rPr>
        <w:footnoteReference w:id="284"/>
      </w:r>
      <w:r w:rsidRPr="004A3983">
        <w:rPr>
          <w:rFonts w:ascii="Gotham Book" w:hAnsi="Gotham Book"/>
        </w:rPr>
        <w:t xml:space="preserve"> The Registry was therefore required to identify all those persons who had been given suspended sentences for registrable offences prior to 2007, including those who had been sentenced prior to the commencement of the CPOR Act in 2001 but were serving their suspended sentence at the time of commencement.</w:t>
      </w:r>
      <w:r w:rsidRPr="004A3983">
        <w:rPr>
          <w:rStyle w:val="FootnoteReference"/>
          <w:rFonts w:ascii="Gotham Book" w:hAnsi="Gotham Book"/>
        </w:rPr>
        <w:footnoteReference w:id="285"/>
      </w:r>
    </w:p>
    <w:p w14:paraId="33314977" w14:textId="62AFE046" w:rsidR="0005260F" w:rsidRPr="004A3983" w:rsidRDefault="0005260F" w:rsidP="00AD44AE">
      <w:pPr>
        <w:spacing w:after="160"/>
        <w:ind w:right="-2"/>
        <w:rPr>
          <w:rFonts w:ascii="Gotham Book" w:hAnsi="Gotham Book"/>
        </w:rPr>
      </w:pPr>
      <w:r w:rsidRPr="004A3983">
        <w:rPr>
          <w:rFonts w:ascii="Gotham Book" w:hAnsi="Gotham Book"/>
        </w:rPr>
        <w:t xml:space="preserve">Further complexity arises from </w:t>
      </w:r>
      <w:r w:rsidR="004777FF" w:rsidRPr="004A3983">
        <w:rPr>
          <w:rFonts w:ascii="Gotham Book" w:hAnsi="Gotham Book"/>
        </w:rPr>
        <w:t>the intersection between the New South Wales</w:t>
      </w:r>
      <w:r w:rsidRPr="004A3983">
        <w:rPr>
          <w:rFonts w:ascii="Gotham Book" w:hAnsi="Gotham Book"/>
        </w:rPr>
        <w:t xml:space="preserve"> scheme and offender registration schemes in other jurisdictions (including international jurisdictions). As discussed in </w:t>
      </w:r>
      <w:r w:rsidR="003A153D" w:rsidRPr="004A3983">
        <w:rPr>
          <w:rFonts w:ascii="Gotham Book" w:hAnsi="Gotham Book"/>
        </w:rPr>
        <w:t>Chapter 2</w:t>
      </w:r>
      <w:r w:rsidRPr="004A3983">
        <w:rPr>
          <w:rFonts w:ascii="Gotham Book" w:hAnsi="Gotham Book"/>
        </w:rPr>
        <w:t>, the ‘corresponding registrable person’ provisions in the CPOR Act essentially pick up the reporting periods from other jurisdictions when offenders who were registered in those jurisdictions move to N</w:t>
      </w:r>
      <w:r w:rsidR="0063111E" w:rsidRPr="004A3983">
        <w:rPr>
          <w:rFonts w:ascii="Gotham Book" w:hAnsi="Gotham Book"/>
        </w:rPr>
        <w:t xml:space="preserve">ew </w:t>
      </w:r>
      <w:r w:rsidRPr="004A3983">
        <w:rPr>
          <w:rFonts w:ascii="Gotham Book" w:hAnsi="Gotham Book"/>
        </w:rPr>
        <w:t>S</w:t>
      </w:r>
      <w:r w:rsidR="0063111E" w:rsidRPr="004A3983">
        <w:rPr>
          <w:rFonts w:ascii="Gotham Book" w:hAnsi="Gotham Book"/>
        </w:rPr>
        <w:t xml:space="preserve">outh </w:t>
      </w:r>
      <w:r w:rsidRPr="004A3983">
        <w:rPr>
          <w:rFonts w:ascii="Gotham Book" w:hAnsi="Gotham Book"/>
        </w:rPr>
        <w:t>W</w:t>
      </w:r>
      <w:r w:rsidR="0063111E" w:rsidRPr="004A3983">
        <w:rPr>
          <w:rFonts w:ascii="Gotham Book" w:hAnsi="Gotham Book"/>
        </w:rPr>
        <w:t>ales</w:t>
      </w:r>
      <w:r w:rsidRPr="004A3983">
        <w:rPr>
          <w:rFonts w:ascii="Gotham Book" w:hAnsi="Gotham Book"/>
        </w:rPr>
        <w:t>. Legislative amendments in other jurisdictions can therefore change the reporting obligations of corresponding r</w:t>
      </w:r>
      <w:r w:rsidR="0063111E" w:rsidRPr="004A3983">
        <w:rPr>
          <w:rFonts w:ascii="Gotham Book" w:hAnsi="Gotham Book"/>
        </w:rPr>
        <w:t>egistrable persons living in New South Wales</w:t>
      </w:r>
      <w:r w:rsidRPr="004A3983">
        <w:rPr>
          <w:rFonts w:ascii="Gotham Book" w:hAnsi="Gotham Book"/>
        </w:rPr>
        <w:t>. This requires Registry staff to monitor and consider changes to relevant statutory frameworks in other jurisdictions.</w:t>
      </w:r>
    </w:p>
    <w:p w14:paraId="04DC332D" w14:textId="59020B70" w:rsidR="0005260F" w:rsidRPr="004A3983" w:rsidRDefault="0005260F" w:rsidP="00AD44AE">
      <w:pPr>
        <w:spacing w:after="160"/>
        <w:ind w:right="-2"/>
        <w:rPr>
          <w:rFonts w:ascii="Gotham Book" w:hAnsi="Gotham Book"/>
        </w:rPr>
      </w:pPr>
      <w:r w:rsidRPr="004A3983">
        <w:rPr>
          <w:rFonts w:ascii="Gotham Book" w:hAnsi="Gotham Book"/>
        </w:rPr>
        <w:t xml:space="preserve">For example, in 2014 the Queensland Parliament amended the </w:t>
      </w:r>
      <w:r w:rsidRPr="004A3983">
        <w:rPr>
          <w:rFonts w:ascii="Gotham Book" w:hAnsi="Gotham Book"/>
          <w:i/>
        </w:rPr>
        <w:t>Child Protection (Offender Reporting) Act 2004</w:t>
      </w:r>
      <w:r w:rsidRPr="004A3983">
        <w:rPr>
          <w:rFonts w:ascii="Gotham Book" w:hAnsi="Gotham Book"/>
        </w:rPr>
        <w:t xml:space="preserve"> (Qld) to significantly reduce the reporting periods under that Act for certain offenders on the Queensland register. The amendments were made retrospective, and applied to all persons who had originally been registered under the Queensland Act, including those who had since moved to N</w:t>
      </w:r>
      <w:r w:rsidR="00243FA0" w:rsidRPr="004A3983">
        <w:rPr>
          <w:rFonts w:ascii="Gotham Book" w:hAnsi="Gotham Book"/>
        </w:rPr>
        <w:t xml:space="preserve">ew </w:t>
      </w:r>
      <w:r w:rsidRPr="004A3983">
        <w:rPr>
          <w:rFonts w:ascii="Gotham Book" w:hAnsi="Gotham Book"/>
        </w:rPr>
        <w:t>S</w:t>
      </w:r>
      <w:r w:rsidR="00243FA0" w:rsidRPr="004A3983">
        <w:rPr>
          <w:rFonts w:ascii="Gotham Book" w:hAnsi="Gotham Book"/>
        </w:rPr>
        <w:t xml:space="preserve">outh </w:t>
      </w:r>
      <w:r w:rsidRPr="004A3983">
        <w:rPr>
          <w:rFonts w:ascii="Gotham Book" w:hAnsi="Gotham Book"/>
        </w:rPr>
        <w:t>W</w:t>
      </w:r>
      <w:r w:rsidR="00243FA0" w:rsidRPr="004A3983">
        <w:rPr>
          <w:rFonts w:ascii="Gotham Book" w:hAnsi="Gotham Book"/>
        </w:rPr>
        <w:t>ales</w:t>
      </w:r>
      <w:r w:rsidRPr="004A3983">
        <w:rPr>
          <w:rFonts w:ascii="Gotham Book" w:hAnsi="Gotham Book"/>
        </w:rPr>
        <w:t>.</w:t>
      </w:r>
      <w:r w:rsidRPr="004A3983">
        <w:rPr>
          <w:rStyle w:val="FootnoteReference"/>
          <w:rFonts w:ascii="Gotham Book" w:hAnsi="Gotham Book"/>
        </w:rPr>
        <w:footnoteReference w:id="286"/>
      </w:r>
      <w:r w:rsidRPr="004A3983">
        <w:rPr>
          <w:rFonts w:ascii="Gotham Book" w:hAnsi="Gotham Book"/>
        </w:rPr>
        <w:t xml:space="preserve"> </w:t>
      </w:r>
      <w:r w:rsidR="004E421E" w:rsidRPr="004A3983">
        <w:rPr>
          <w:rFonts w:ascii="Gotham Book" w:hAnsi="Gotham Book"/>
        </w:rPr>
        <w:t>A</w:t>
      </w:r>
      <w:r w:rsidRPr="004A3983">
        <w:rPr>
          <w:rFonts w:ascii="Gotham Book" w:hAnsi="Gotham Book"/>
        </w:rPr>
        <w:t>s a result of these legislative changes, ther</w:t>
      </w:r>
      <w:r w:rsidR="00243FA0" w:rsidRPr="004A3983">
        <w:rPr>
          <w:rFonts w:ascii="Gotham Book" w:hAnsi="Gotham Book"/>
        </w:rPr>
        <w:t>e were 250 persons living in New South Wales</w:t>
      </w:r>
      <w:r w:rsidRPr="004A3983">
        <w:rPr>
          <w:rFonts w:ascii="Gotham Book" w:hAnsi="Gotham Book"/>
        </w:rPr>
        <w:t xml:space="preserve"> who had been registered in Queensland and needed to </w:t>
      </w:r>
      <w:r w:rsidRPr="004A3983">
        <w:rPr>
          <w:rFonts w:ascii="Gotham Book" w:hAnsi="Gotham Book"/>
        </w:rPr>
        <w:lastRenderedPageBreak/>
        <w:t>have their case files reviewed and updated. This created a backlog of cases for the Registry to review, update, and notify the offenders.</w:t>
      </w:r>
      <w:r w:rsidRPr="004A3983">
        <w:rPr>
          <w:rStyle w:val="FootnoteReference"/>
          <w:rFonts w:ascii="Gotham Book" w:hAnsi="Gotham Book"/>
        </w:rPr>
        <w:footnoteReference w:id="287"/>
      </w:r>
      <w:r w:rsidR="00EA0E55" w:rsidRPr="004A3983">
        <w:rPr>
          <w:rStyle w:val="FootnoteReference"/>
          <w:rFonts w:ascii="Gotham Book" w:hAnsi="Gotham Book"/>
        </w:rPr>
        <w:t xml:space="preserve"> </w:t>
      </w:r>
    </w:p>
    <w:p w14:paraId="3D5D328F" w14:textId="7D819DCD" w:rsidR="0005260F" w:rsidRPr="004A3983" w:rsidRDefault="0005260F" w:rsidP="00AD44AE">
      <w:pPr>
        <w:pStyle w:val="Heading2"/>
        <w:spacing w:after="160"/>
        <w:ind w:right="-2"/>
      </w:pPr>
      <w:bookmarkStart w:id="301" w:name="_Ref9256167"/>
      <w:bookmarkStart w:id="302" w:name="_Toc22627788"/>
      <w:r w:rsidRPr="004A3983">
        <w:t>Additional responsibilities given to the Registry</w:t>
      </w:r>
      <w:bookmarkEnd w:id="301"/>
      <w:bookmarkEnd w:id="302"/>
    </w:p>
    <w:p w14:paraId="192AAAA5" w14:textId="75614C9B" w:rsidR="0005260F" w:rsidRPr="004A3983" w:rsidRDefault="0005260F" w:rsidP="00AD44AE">
      <w:pPr>
        <w:spacing w:after="160"/>
        <w:ind w:right="-2"/>
        <w:rPr>
          <w:rFonts w:ascii="Gotham Book" w:hAnsi="Gotham Book"/>
        </w:rPr>
      </w:pPr>
      <w:r w:rsidRPr="004A3983">
        <w:rPr>
          <w:rFonts w:ascii="Gotham Book" w:hAnsi="Gotham Book"/>
        </w:rPr>
        <w:t xml:space="preserve">The Registry has also been required by the NSW Police Force to assume additional responsibilities to its primary workload. </w:t>
      </w:r>
    </w:p>
    <w:p w14:paraId="1F6BDBF5" w14:textId="2A74070B" w:rsidR="0005260F" w:rsidRPr="004A3983" w:rsidRDefault="0005260F" w:rsidP="00AD44AE">
      <w:pPr>
        <w:spacing w:after="160"/>
        <w:ind w:right="-2"/>
        <w:rPr>
          <w:rFonts w:ascii="Gotham Book" w:hAnsi="Gotham Book"/>
        </w:rPr>
      </w:pPr>
      <w:r w:rsidRPr="004A3983">
        <w:rPr>
          <w:rFonts w:ascii="Gotham Book" w:hAnsi="Gotham Book"/>
        </w:rPr>
        <w:t xml:space="preserve">As noted in </w:t>
      </w:r>
      <w:r w:rsidR="00992992" w:rsidRPr="004A3983">
        <w:rPr>
          <w:rFonts w:ascii="Gotham Book" w:hAnsi="Gotham Book"/>
        </w:rPr>
        <w:t xml:space="preserve">Chapter </w:t>
      </w:r>
      <w:r w:rsidR="00992992" w:rsidRPr="004A3983">
        <w:rPr>
          <w:rFonts w:ascii="Gotham Book" w:hAnsi="Gotham Book"/>
        </w:rPr>
        <w:fldChar w:fldCharType="begin"/>
      </w:r>
      <w:r w:rsidR="00992992" w:rsidRPr="004A3983">
        <w:rPr>
          <w:rFonts w:ascii="Gotham Book" w:hAnsi="Gotham Book"/>
        </w:rPr>
        <w:instrText xml:space="preserve"> REF _Ref10557482 \r \h </w:instrText>
      </w:r>
      <w:r w:rsidR="003B3811" w:rsidRPr="004A3983">
        <w:rPr>
          <w:rFonts w:ascii="Gotham Book" w:hAnsi="Gotham Book"/>
        </w:rPr>
        <w:instrText xml:space="preserve"> \* MERGEFORMAT </w:instrText>
      </w:r>
      <w:r w:rsidR="00992992" w:rsidRPr="004A3983">
        <w:rPr>
          <w:rFonts w:ascii="Gotham Book" w:hAnsi="Gotham Book"/>
        </w:rPr>
      </w:r>
      <w:r w:rsidR="00992992" w:rsidRPr="004A3983">
        <w:rPr>
          <w:rFonts w:ascii="Gotham Book" w:hAnsi="Gotham Book"/>
        </w:rPr>
        <w:fldChar w:fldCharType="separate"/>
      </w:r>
      <w:r w:rsidR="00022664">
        <w:rPr>
          <w:rFonts w:ascii="Gotham Book" w:hAnsi="Gotham Book" w:hint="cs"/>
          <w:cs/>
        </w:rPr>
        <w:t>‎</w:t>
      </w:r>
      <w:r w:rsidR="00022664">
        <w:rPr>
          <w:rFonts w:ascii="Gotham Book" w:hAnsi="Gotham Book"/>
        </w:rPr>
        <w:t>2</w:t>
      </w:r>
      <w:r w:rsidR="00992992" w:rsidRPr="004A3983">
        <w:rPr>
          <w:rFonts w:ascii="Gotham Book" w:hAnsi="Gotham Book"/>
        </w:rPr>
        <w:fldChar w:fldCharType="end"/>
      </w:r>
      <w:r w:rsidRPr="004A3983">
        <w:rPr>
          <w:rFonts w:ascii="Gotham Book" w:hAnsi="Gotham Book"/>
        </w:rPr>
        <w:t xml:space="preserve">, generally once the Registry has created a case and calculated the reporting period for a registrable person, responsibility for managing that person and monitoring their reporting passes to the Police Area Command or Police District (local command) in which the person resides. However, since about 2013, the Registry has been required to </w:t>
      </w:r>
      <w:r w:rsidR="003B3811" w:rsidRPr="004A3983">
        <w:rPr>
          <w:rFonts w:ascii="Gotham Book" w:hAnsi="Gotham Book"/>
        </w:rPr>
        <w:t>manage</w:t>
      </w:r>
      <w:r w:rsidRPr="004A3983">
        <w:rPr>
          <w:rFonts w:ascii="Gotham Book" w:hAnsi="Gotham Book"/>
        </w:rPr>
        <w:t xml:space="preserve"> all registrable persons who are detained in the Villawood Immigration Detention Centre (VIDC), as these persons cannot leave the VIDC to make their reports at a local police station.</w:t>
      </w:r>
      <w:r w:rsidRPr="004A3983">
        <w:rPr>
          <w:rStyle w:val="FootnoteReference"/>
          <w:rFonts w:ascii="Gotham Book" w:hAnsi="Gotham Book"/>
        </w:rPr>
        <w:footnoteReference w:id="288"/>
      </w:r>
      <w:r w:rsidRPr="004A3983">
        <w:rPr>
          <w:rFonts w:ascii="Gotham Book" w:hAnsi="Gotham Book"/>
        </w:rPr>
        <w:t xml:space="preserve"> </w:t>
      </w:r>
      <w:r w:rsidR="00495FEA" w:rsidRPr="004A3983">
        <w:rPr>
          <w:rFonts w:ascii="Gotham Book" w:hAnsi="Gotham Book"/>
        </w:rPr>
        <w:t>In 2017</w:t>
      </w:r>
      <w:r w:rsidR="003B3811" w:rsidRPr="004A3983">
        <w:rPr>
          <w:rFonts w:ascii="Gotham Book" w:hAnsi="Gotham Book"/>
        </w:rPr>
        <w:t xml:space="preserve"> </w:t>
      </w:r>
      <w:r w:rsidR="00495FEA" w:rsidRPr="004A3983">
        <w:rPr>
          <w:rFonts w:ascii="Gotham Book" w:hAnsi="Gotham Book"/>
        </w:rPr>
        <w:t xml:space="preserve">the NSW Police Force Workforce Intelligence Unit reported </w:t>
      </w:r>
      <w:r w:rsidR="003B3811" w:rsidRPr="004A3983">
        <w:rPr>
          <w:rFonts w:ascii="Gotham Book" w:hAnsi="Gotham Book"/>
        </w:rPr>
        <w:t xml:space="preserve">that in </w:t>
      </w:r>
      <w:r w:rsidRPr="004A3983">
        <w:rPr>
          <w:rFonts w:ascii="Gotham Book" w:hAnsi="Gotham Book"/>
        </w:rPr>
        <w:t>order to facilitate the registration and reporting of these persons, a Registry officer was visiting the VIDC on average once a</w:t>
      </w:r>
      <w:r w:rsidR="003B13BE" w:rsidRPr="004A3983">
        <w:rPr>
          <w:rFonts w:ascii="Gotham Book" w:hAnsi="Gotham Book"/>
        </w:rPr>
        <w:t xml:space="preserve"> week, with an initial report</w:t>
      </w:r>
      <w:r w:rsidRPr="004A3983">
        <w:rPr>
          <w:rFonts w:ascii="Gotham Book" w:hAnsi="Gotham Book"/>
        </w:rPr>
        <w:t xml:space="preserve"> taking up to two hours.</w:t>
      </w:r>
      <w:r w:rsidRPr="004A3983">
        <w:rPr>
          <w:rStyle w:val="FootnoteReference"/>
          <w:rFonts w:ascii="Gotham Book" w:hAnsi="Gotham Book"/>
        </w:rPr>
        <w:footnoteReference w:id="289"/>
      </w:r>
      <w:r w:rsidRPr="004A3983">
        <w:rPr>
          <w:rFonts w:ascii="Gotham Book" w:hAnsi="Gotham Book"/>
        </w:rPr>
        <w:t xml:space="preserve"> </w:t>
      </w:r>
    </w:p>
    <w:p w14:paraId="055A5C45" w14:textId="064EE7AD" w:rsidR="0005260F" w:rsidRPr="004A3983" w:rsidRDefault="0005260F" w:rsidP="00AD44AE">
      <w:pPr>
        <w:spacing w:after="160"/>
        <w:ind w:right="-2"/>
        <w:rPr>
          <w:rFonts w:ascii="Gotham Book" w:hAnsi="Gotham Book"/>
        </w:rPr>
      </w:pPr>
      <w:r w:rsidRPr="004A3983">
        <w:rPr>
          <w:rFonts w:ascii="Gotham Book" w:hAnsi="Gotham Book"/>
        </w:rPr>
        <w:t xml:space="preserve">The Registry has similarly been required to assume responsibility for managing the registration and reporting of registrable persons who are held in facilities under the </w:t>
      </w:r>
      <w:r w:rsidRPr="004A3983">
        <w:rPr>
          <w:rFonts w:ascii="Gotham Book" w:hAnsi="Gotham Book"/>
          <w:i/>
        </w:rPr>
        <w:t>Mental Health (Forensic Provisions) Act 1900</w:t>
      </w:r>
      <w:r w:rsidRPr="004A3983">
        <w:rPr>
          <w:rFonts w:ascii="Gotham Book" w:hAnsi="Gotham Book"/>
        </w:rPr>
        <w:t xml:space="preserve"> (NSW).</w:t>
      </w:r>
      <w:r w:rsidRPr="004A3983">
        <w:rPr>
          <w:rStyle w:val="FootnoteReference"/>
          <w:rFonts w:ascii="Gotham Book" w:hAnsi="Gotham Book"/>
        </w:rPr>
        <w:footnoteReference w:id="290"/>
      </w:r>
      <w:r w:rsidRPr="004A3983">
        <w:rPr>
          <w:rFonts w:ascii="Gotham Book" w:hAnsi="Gotham Book"/>
        </w:rPr>
        <w:t xml:space="preserve"> There are particular difficulties involved in properly applying the CPOR Act to these persons. These are discussed in </w:t>
      </w:r>
      <w:r w:rsidR="00A213E0" w:rsidRPr="004A3983">
        <w:rPr>
          <w:rFonts w:ascii="Gotham Book" w:hAnsi="Gotham Book"/>
        </w:rPr>
        <w:t xml:space="preserve">Chapter </w:t>
      </w:r>
      <w:r w:rsidR="00A213E0" w:rsidRPr="004A3983">
        <w:rPr>
          <w:rFonts w:ascii="Gotham Book" w:hAnsi="Gotham Book"/>
        </w:rPr>
        <w:fldChar w:fldCharType="begin"/>
      </w:r>
      <w:r w:rsidR="00A213E0" w:rsidRPr="004A3983">
        <w:rPr>
          <w:rFonts w:ascii="Gotham Book" w:hAnsi="Gotham Book"/>
        </w:rPr>
        <w:instrText xml:space="preserve"> REF _Ref9350149 \r \h </w:instrText>
      </w:r>
      <w:r w:rsidR="000435FD" w:rsidRPr="004A3983">
        <w:rPr>
          <w:rFonts w:ascii="Gotham Book" w:hAnsi="Gotham Book"/>
        </w:rPr>
        <w:instrText xml:space="preserve"> \* MERGEFORMAT </w:instrText>
      </w:r>
      <w:r w:rsidR="00A213E0" w:rsidRPr="004A3983">
        <w:rPr>
          <w:rFonts w:ascii="Gotham Book" w:hAnsi="Gotham Book"/>
        </w:rPr>
      </w:r>
      <w:r w:rsidR="00A213E0" w:rsidRPr="004A3983">
        <w:rPr>
          <w:rFonts w:ascii="Gotham Book" w:hAnsi="Gotham Book"/>
        </w:rPr>
        <w:fldChar w:fldCharType="separate"/>
      </w:r>
      <w:r w:rsidR="00022664">
        <w:rPr>
          <w:rFonts w:ascii="Gotham Book" w:hAnsi="Gotham Book" w:hint="cs"/>
          <w:cs/>
        </w:rPr>
        <w:t>‎</w:t>
      </w:r>
      <w:r w:rsidR="00022664">
        <w:rPr>
          <w:rFonts w:ascii="Gotham Book" w:hAnsi="Gotham Book"/>
        </w:rPr>
        <w:t>6</w:t>
      </w:r>
      <w:r w:rsidR="00A213E0" w:rsidRPr="004A3983">
        <w:rPr>
          <w:rFonts w:ascii="Gotham Book" w:hAnsi="Gotham Book"/>
        </w:rPr>
        <w:fldChar w:fldCharType="end"/>
      </w:r>
      <w:r w:rsidR="00A213E0" w:rsidRPr="004A3983">
        <w:rPr>
          <w:rFonts w:ascii="Gotham Book" w:hAnsi="Gotham Book"/>
        </w:rPr>
        <w:t xml:space="preserve"> (section</w:t>
      </w:r>
      <w:r w:rsidR="00F90B6C" w:rsidRPr="004A3983">
        <w:rPr>
          <w:rFonts w:ascii="Gotham Book" w:hAnsi="Gotham Book"/>
        </w:rPr>
        <w:t xml:space="preserve"> </w:t>
      </w:r>
      <w:r w:rsidR="00F90B6C" w:rsidRPr="004A3983">
        <w:rPr>
          <w:rFonts w:ascii="Gotham Book" w:hAnsi="Gotham Book"/>
        </w:rPr>
        <w:fldChar w:fldCharType="begin"/>
      </w:r>
      <w:r w:rsidR="00F90B6C" w:rsidRPr="004A3983">
        <w:rPr>
          <w:rFonts w:ascii="Gotham Book" w:hAnsi="Gotham Book"/>
        </w:rPr>
        <w:instrText xml:space="preserve"> REF _Ref9436161 \r \h </w:instrText>
      </w:r>
      <w:r w:rsidR="000435FD" w:rsidRPr="004A3983">
        <w:rPr>
          <w:rFonts w:ascii="Gotham Book" w:hAnsi="Gotham Book"/>
        </w:rPr>
        <w:instrText xml:space="preserve"> \* MERGEFORMAT </w:instrText>
      </w:r>
      <w:r w:rsidR="00F90B6C" w:rsidRPr="004A3983">
        <w:rPr>
          <w:rFonts w:ascii="Gotham Book" w:hAnsi="Gotham Book"/>
        </w:rPr>
      </w:r>
      <w:r w:rsidR="00F90B6C" w:rsidRPr="004A3983">
        <w:rPr>
          <w:rFonts w:ascii="Gotham Book" w:hAnsi="Gotham Book"/>
        </w:rPr>
        <w:fldChar w:fldCharType="separate"/>
      </w:r>
      <w:r w:rsidR="00022664">
        <w:rPr>
          <w:rFonts w:ascii="Gotham Book" w:hAnsi="Gotham Book" w:hint="cs"/>
          <w:cs/>
        </w:rPr>
        <w:t>‎</w:t>
      </w:r>
      <w:r w:rsidR="00022664">
        <w:rPr>
          <w:rFonts w:ascii="Gotham Book" w:hAnsi="Gotham Book"/>
        </w:rPr>
        <w:t>6.3.6</w:t>
      </w:r>
      <w:r w:rsidR="00F90B6C" w:rsidRPr="004A3983">
        <w:rPr>
          <w:rFonts w:ascii="Gotham Book" w:hAnsi="Gotham Book"/>
        </w:rPr>
        <w:fldChar w:fldCharType="end"/>
      </w:r>
      <w:r w:rsidR="00A213E0" w:rsidRPr="004A3983">
        <w:rPr>
          <w:rFonts w:ascii="Gotham Book" w:hAnsi="Gotham Book"/>
        </w:rPr>
        <w:t>)</w:t>
      </w:r>
      <w:r w:rsidR="00F90B6C" w:rsidRPr="004A3983">
        <w:rPr>
          <w:rFonts w:ascii="Gotham Book" w:hAnsi="Gotham Book"/>
        </w:rPr>
        <w:t xml:space="preserve"> </w:t>
      </w:r>
      <w:r w:rsidRPr="004A3983">
        <w:rPr>
          <w:rFonts w:ascii="Gotham Book" w:hAnsi="Gotham Book"/>
        </w:rPr>
        <w:t xml:space="preserve">and </w:t>
      </w:r>
      <w:r w:rsidR="00A213E0" w:rsidRPr="004A3983">
        <w:rPr>
          <w:rFonts w:ascii="Gotham Book" w:hAnsi="Gotham Book"/>
        </w:rPr>
        <w:t xml:space="preserve">Chapter </w:t>
      </w:r>
      <w:r w:rsidR="00A213E0" w:rsidRPr="004A3983">
        <w:rPr>
          <w:rFonts w:ascii="Gotham Book" w:hAnsi="Gotham Book"/>
        </w:rPr>
        <w:fldChar w:fldCharType="begin"/>
      </w:r>
      <w:r w:rsidR="00A213E0" w:rsidRPr="004A3983">
        <w:rPr>
          <w:rFonts w:ascii="Gotham Book" w:hAnsi="Gotham Book"/>
        </w:rPr>
        <w:instrText xml:space="preserve"> REF _Ref9350160 \r \h </w:instrText>
      </w:r>
      <w:r w:rsidR="000435FD" w:rsidRPr="004A3983">
        <w:rPr>
          <w:rFonts w:ascii="Gotham Book" w:hAnsi="Gotham Book"/>
        </w:rPr>
        <w:instrText xml:space="preserve"> \* MERGEFORMAT </w:instrText>
      </w:r>
      <w:r w:rsidR="00A213E0" w:rsidRPr="004A3983">
        <w:rPr>
          <w:rFonts w:ascii="Gotham Book" w:hAnsi="Gotham Book"/>
        </w:rPr>
      </w:r>
      <w:r w:rsidR="00A213E0" w:rsidRPr="004A3983">
        <w:rPr>
          <w:rFonts w:ascii="Gotham Book" w:hAnsi="Gotham Book"/>
        </w:rPr>
        <w:fldChar w:fldCharType="separate"/>
      </w:r>
      <w:r w:rsidR="00022664">
        <w:rPr>
          <w:rFonts w:ascii="Gotham Book" w:hAnsi="Gotham Book" w:hint="cs"/>
          <w:cs/>
        </w:rPr>
        <w:t>‎</w:t>
      </w:r>
      <w:r w:rsidR="00022664">
        <w:rPr>
          <w:rFonts w:ascii="Gotham Book" w:hAnsi="Gotham Book"/>
        </w:rPr>
        <w:t>7</w:t>
      </w:r>
      <w:r w:rsidR="00A213E0" w:rsidRPr="004A3983">
        <w:rPr>
          <w:rFonts w:ascii="Gotham Book" w:hAnsi="Gotham Book"/>
        </w:rPr>
        <w:fldChar w:fldCharType="end"/>
      </w:r>
      <w:r w:rsidR="00A213E0" w:rsidRPr="004A3983">
        <w:rPr>
          <w:rFonts w:ascii="Gotham Book" w:hAnsi="Gotham Book"/>
        </w:rPr>
        <w:t xml:space="preserve"> (section </w:t>
      </w:r>
      <w:r w:rsidR="00F90B6C" w:rsidRPr="004A3983">
        <w:rPr>
          <w:rFonts w:ascii="Gotham Book" w:hAnsi="Gotham Book"/>
        </w:rPr>
        <w:fldChar w:fldCharType="begin"/>
      </w:r>
      <w:r w:rsidR="00F90B6C" w:rsidRPr="004A3983">
        <w:rPr>
          <w:rFonts w:ascii="Gotham Book" w:hAnsi="Gotham Book"/>
        </w:rPr>
        <w:instrText xml:space="preserve"> REF _Ref9436183 \r \h </w:instrText>
      </w:r>
      <w:r w:rsidR="000435FD" w:rsidRPr="004A3983">
        <w:rPr>
          <w:rFonts w:ascii="Gotham Book" w:hAnsi="Gotham Book"/>
        </w:rPr>
        <w:instrText xml:space="preserve"> \* MERGEFORMAT </w:instrText>
      </w:r>
      <w:r w:rsidR="00F90B6C" w:rsidRPr="004A3983">
        <w:rPr>
          <w:rFonts w:ascii="Gotham Book" w:hAnsi="Gotham Book"/>
        </w:rPr>
      </w:r>
      <w:r w:rsidR="00F90B6C" w:rsidRPr="004A3983">
        <w:rPr>
          <w:rFonts w:ascii="Gotham Book" w:hAnsi="Gotham Book"/>
        </w:rPr>
        <w:fldChar w:fldCharType="separate"/>
      </w:r>
      <w:r w:rsidR="00022664">
        <w:rPr>
          <w:rFonts w:ascii="Gotham Book" w:hAnsi="Gotham Book" w:hint="cs"/>
          <w:cs/>
        </w:rPr>
        <w:t>‎</w:t>
      </w:r>
      <w:r w:rsidR="00022664">
        <w:rPr>
          <w:rFonts w:ascii="Gotham Book" w:hAnsi="Gotham Book"/>
        </w:rPr>
        <w:t>7.3.2</w:t>
      </w:r>
      <w:r w:rsidR="00F90B6C" w:rsidRPr="004A3983">
        <w:rPr>
          <w:rFonts w:ascii="Gotham Book" w:hAnsi="Gotham Book"/>
        </w:rPr>
        <w:fldChar w:fldCharType="end"/>
      </w:r>
      <w:r w:rsidR="00A213E0" w:rsidRPr="004A3983">
        <w:rPr>
          <w:rFonts w:ascii="Gotham Book" w:hAnsi="Gotham Book"/>
        </w:rPr>
        <w:t>)</w:t>
      </w:r>
      <w:r w:rsidRPr="004A3983">
        <w:rPr>
          <w:rFonts w:ascii="Gotham Book" w:hAnsi="Gotham Book"/>
        </w:rPr>
        <w:t>.</w:t>
      </w:r>
    </w:p>
    <w:p w14:paraId="6CB4FA56" w14:textId="2FC6DC26" w:rsidR="0005260F" w:rsidRPr="004A3983" w:rsidRDefault="0005260F" w:rsidP="00AD44AE">
      <w:pPr>
        <w:spacing w:after="160"/>
        <w:ind w:right="-2"/>
        <w:rPr>
          <w:rFonts w:ascii="Gotham Book" w:hAnsi="Gotham Book"/>
        </w:rPr>
      </w:pPr>
      <w:r w:rsidRPr="004A3983">
        <w:rPr>
          <w:rFonts w:ascii="Gotham Book" w:hAnsi="Gotham Book"/>
        </w:rPr>
        <w:t>As a result, on 31 December 2018 the Registry was directly responsible for the management of 41 persons (including 11 persons assessed as ‘extreme risk’</w:t>
      </w:r>
      <w:r w:rsidR="00987EA4" w:rsidRPr="004A3983">
        <w:rPr>
          <w:rFonts w:ascii="Gotham Book" w:hAnsi="Gotham Book"/>
        </w:rPr>
        <w:t>). The Registry wa</w:t>
      </w:r>
      <w:r w:rsidRPr="004A3983">
        <w:rPr>
          <w:rFonts w:ascii="Gotham Book" w:hAnsi="Gotham Book"/>
        </w:rPr>
        <w:t>s managing more registrable persons than a number of the local commands.</w:t>
      </w:r>
      <w:r w:rsidRPr="004A3983">
        <w:rPr>
          <w:rStyle w:val="FootnoteReference"/>
          <w:rFonts w:ascii="Gotham Book" w:hAnsi="Gotham Book"/>
        </w:rPr>
        <w:footnoteReference w:id="291"/>
      </w:r>
    </w:p>
    <w:p w14:paraId="75F4AED9" w14:textId="729B58E3" w:rsidR="0005260F" w:rsidRPr="004A3983" w:rsidRDefault="0005260F" w:rsidP="00AD44AE">
      <w:pPr>
        <w:spacing w:after="160"/>
        <w:ind w:right="-2"/>
        <w:rPr>
          <w:rFonts w:ascii="Gotham Book" w:hAnsi="Gotham Book"/>
        </w:rPr>
      </w:pPr>
      <w:r w:rsidRPr="004A3983">
        <w:rPr>
          <w:rFonts w:ascii="Gotham Book" w:hAnsi="Gotham Book"/>
        </w:rPr>
        <w:t xml:space="preserve">Further, following the Commonwealth Parliament’s passage of the </w:t>
      </w:r>
      <w:r w:rsidRPr="004A3983">
        <w:rPr>
          <w:rFonts w:ascii="Gotham Book" w:hAnsi="Gotham Book"/>
          <w:i/>
        </w:rPr>
        <w:t xml:space="preserve">Passports Legislation Amendment (Overseas Travel by Child Sex Offenders) Act 2017, </w:t>
      </w:r>
      <w:r w:rsidR="00A67CDB" w:rsidRPr="004A3983">
        <w:rPr>
          <w:rFonts w:ascii="Gotham Book" w:hAnsi="Gotham Book"/>
        </w:rPr>
        <w:t>from 13 </w:t>
      </w:r>
      <w:r w:rsidRPr="004A3983">
        <w:rPr>
          <w:rFonts w:ascii="Gotham Book" w:hAnsi="Gotham Book"/>
        </w:rPr>
        <w:t>December 2017 it became an offence for a registrable p</w:t>
      </w:r>
      <w:r w:rsidR="00E3753E" w:rsidRPr="004A3983">
        <w:rPr>
          <w:rFonts w:ascii="Gotham Book" w:hAnsi="Gotham Book"/>
        </w:rPr>
        <w:t>erson who has</w:t>
      </w:r>
      <w:r w:rsidRPr="004A3983">
        <w:rPr>
          <w:rFonts w:ascii="Gotham Book" w:hAnsi="Gotham Book"/>
        </w:rPr>
        <w:t xml:space="preserve"> reporting obligations in any Australian jurisdiction to travel overseas without permission from a </w:t>
      </w:r>
      <w:r w:rsidRPr="004A3983">
        <w:rPr>
          <w:rFonts w:ascii="Gotham Book" w:hAnsi="Gotham Book"/>
        </w:rPr>
        <w:lastRenderedPageBreak/>
        <w:t>‘competent authority’.</w:t>
      </w:r>
      <w:r w:rsidRPr="004A3983">
        <w:rPr>
          <w:rStyle w:val="FootnoteReference"/>
          <w:rFonts w:ascii="Gotham Book" w:hAnsi="Gotham Book"/>
        </w:rPr>
        <w:footnoteReference w:id="292"/>
      </w:r>
      <w:r w:rsidR="000435FD" w:rsidRPr="004A3983">
        <w:rPr>
          <w:rFonts w:ascii="Gotham Book" w:hAnsi="Gotham Book"/>
        </w:rPr>
        <w:t xml:space="preserve"> In New South Wales</w:t>
      </w:r>
      <w:r w:rsidRPr="004A3983">
        <w:rPr>
          <w:rFonts w:ascii="Gotham Book" w:hAnsi="Gotham Book"/>
        </w:rPr>
        <w:t xml:space="preserve"> the NSW Police Force is the relevant competent authority. The Registry has been given responsibility for processing these applications, </w:t>
      </w:r>
      <w:r w:rsidR="00853B14" w:rsidRPr="004A3983">
        <w:rPr>
          <w:rFonts w:ascii="Gotham Book" w:hAnsi="Gotham Book"/>
        </w:rPr>
        <w:t>which</w:t>
      </w:r>
      <w:r w:rsidRPr="004A3983">
        <w:rPr>
          <w:rFonts w:ascii="Gotham Book" w:hAnsi="Gotham Book"/>
        </w:rPr>
        <w:t xml:space="preserve"> are considered at a weekly panel chaired by the Commander of the Child Abuse and Sex Crimes Squad. Betwe</w:t>
      </w:r>
      <w:r w:rsidR="00D45CD5" w:rsidRPr="004A3983">
        <w:rPr>
          <w:rFonts w:ascii="Gotham Book" w:hAnsi="Gotham Book"/>
        </w:rPr>
        <w:t xml:space="preserve">en 13 December 2017 and </w:t>
      </w:r>
      <w:r w:rsidR="008F3990" w:rsidRPr="004A3983">
        <w:rPr>
          <w:rFonts w:ascii="Gotham Book" w:hAnsi="Gotham Book"/>
        </w:rPr>
        <w:t>30 </w:t>
      </w:r>
      <w:r w:rsidR="00F31BC1" w:rsidRPr="004A3983">
        <w:rPr>
          <w:rFonts w:ascii="Gotham Book" w:hAnsi="Gotham Book"/>
        </w:rPr>
        <w:t>September 2019</w:t>
      </w:r>
      <w:r w:rsidR="00D45CD5" w:rsidRPr="004A3983">
        <w:rPr>
          <w:rFonts w:ascii="Gotham Book" w:hAnsi="Gotham Book"/>
        </w:rPr>
        <w:t xml:space="preserve"> the Registry dealt with 288</w:t>
      </w:r>
      <w:r w:rsidRPr="004A3983">
        <w:rPr>
          <w:rFonts w:ascii="Gotham Book" w:hAnsi="Gotham Book"/>
        </w:rPr>
        <w:t xml:space="preserve"> applications for international travel by registrable persons.</w:t>
      </w:r>
      <w:r w:rsidRPr="004A3983">
        <w:rPr>
          <w:rStyle w:val="FootnoteReference"/>
          <w:rFonts w:ascii="Gotham Book" w:hAnsi="Gotham Book"/>
        </w:rPr>
        <w:footnoteReference w:id="293"/>
      </w:r>
      <w:r w:rsidRPr="004A3983">
        <w:rPr>
          <w:rFonts w:ascii="Gotham Book" w:hAnsi="Gotham Book"/>
        </w:rPr>
        <w:t xml:space="preserve"> The Registry was not allocated any additional resources for this work. In contrast, the Commission was informed tha</w:t>
      </w:r>
      <w:r w:rsidR="00594AAE" w:rsidRPr="004A3983">
        <w:rPr>
          <w:rFonts w:ascii="Gotham Book" w:hAnsi="Gotham Book"/>
        </w:rPr>
        <w:t xml:space="preserve">t the Queensland Police Service and Victoria Police </w:t>
      </w:r>
      <w:r w:rsidRPr="004A3983">
        <w:rPr>
          <w:rFonts w:ascii="Gotham Book" w:hAnsi="Gotham Book"/>
        </w:rPr>
        <w:t>have allocated one and two full time staff respectively to cover this additional workload.</w:t>
      </w:r>
      <w:r w:rsidRPr="004A3983">
        <w:rPr>
          <w:rStyle w:val="FootnoteReference"/>
          <w:rFonts w:ascii="Gotham Book" w:hAnsi="Gotham Book"/>
        </w:rPr>
        <w:footnoteReference w:id="294"/>
      </w:r>
    </w:p>
    <w:p w14:paraId="01296519" w14:textId="21BE6014" w:rsidR="00F11C80" w:rsidRPr="004A3983" w:rsidRDefault="00A247B7" w:rsidP="00AD44AE">
      <w:pPr>
        <w:pStyle w:val="Heading2"/>
        <w:spacing w:after="160"/>
        <w:ind w:right="-2"/>
      </w:pPr>
      <w:bookmarkStart w:id="303" w:name="_Toc22627789"/>
      <w:r w:rsidRPr="004A3983">
        <w:t xml:space="preserve">Register </w:t>
      </w:r>
      <w:r w:rsidR="006B13B4" w:rsidRPr="004A3983">
        <w:t>w</w:t>
      </w:r>
      <w:r w:rsidR="00921C2C" w:rsidRPr="004A3983">
        <w:t>orkload overtook the r</w:t>
      </w:r>
      <w:r w:rsidR="007F64CC" w:rsidRPr="004A3983">
        <w:t>esources</w:t>
      </w:r>
      <w:r w:rsidR="00F11C80" w:rsidRPr="004A3983">
        <w:t xml:space="preserve"> of the Registry</w:t>
      </w:r>
      <w:bookmarkEnd w:id="303"/>
      <w:r w:rsidR="00F11C80" w:rsidRPr="004A3983">
        <w:t xml:space="preserve"> </w:t>
      </w:r>
    </w:p>
    <w:p w14:paraId="67179A99" w14:textId="4D90BA0A" w:rsidR="00F11C80" w:rsidRPr="004A3983" w:rsidRDefault="00F11C80" w:rsidP="003018D6">
      <w:pPr>
        <w:pStyle w:val="Quotelarge"/>
      </w:pPr>
      <w:r w:rsidRPr="004A3983">
        <w:t xml:space="preserve">'The reality is that the current structure and staffing level have not kept pace with a growing and evolving Child Protection Register’ </w:t>
      </w:r>
    </w:p>
    <w:p w14:paraId="76949E1A" w14:textId="42D2C745" w:rsidR="00F11C80" w:rsidRPr="004A3983" w:rsidRDefault="00AB1AB5" w:rsidP="003018D6">
      <w:pPr>
        <w:pStyle w:val="QuotelargeAuthor"/>
      </w:pPr>
      <w:r w:rsidRPr="004A3983">
        <w:t xml:space="preserve">- </w:t>
      </w:r>
      <w:r w:rsidR="004B0B1C" w:rsidRPr="004A3983">
        <w:t>Officer</w:t>
      </w:r>
      <w:r w:rsidR="00F11C80" w:rsidRPr="004A3983">
        <w:t xml:space="preserve">, Child Protection Registry, </w:t>
      </w:r>
      <w:r w:rsidR="00763E40" w:rsidRPr="004A3983">
        <w:t>NSW</w:t>
      </w:r>
      <w:r w:rsidR="00283B09" w:rsidRPr="004A3983">
        <w:t xml:space="preserve"> </w:t>
      </w:r>
      <w:r w:rsidR="00763E40" w:rsidRPr="004A3983">
        <w:t>P</w:t>
      </w:r>
      <w:r w:rsidR="00283B09" w:rsidRPr="004A3983">
        <w:t xml:space="preserve">olice </w:t>
      </w:r>
      <w:r w:rsidR="00763E40" w:rsidRPr="004A3983">
        <w:t>F</w:t>
      </w:r>
      <w:r w:rsidR="00283B09" w:rsidRPr="004A3983">
        <w:t>orce</w:t>
      </w:r>
      <w:r w:rsidR="00763E40" w:rsidRPr="004A3983">
        <w:t xml:space="preserve">, </w:t>
      </w:r>
      <w:r w:rsidR="00F11C80" w:rsidRPr="004A3983">
        <w:t>May 2016</w:t>
      </w:r>
      <w:r w:rsidR="00F11C80" w:rsidRPr="004A3983">
        <w:rPr>
          <w:rStyle w:val="FootnoteReference"/>
        </w:rPr>
        <w:footnoteReference w:id="295"/>
      </w:r>
    </w:p>
    <w:p w14:paraId="249AAAA4" w14:textId="3026B2E7" w:rsidR="00F11C80" w:rsidRPr="004A3983" w:rsidRDefault="00B06482" w:rsidP="00AD44AE">
      <w:pPr>
        <w:spacing w:after="160"/>
        <w:ind w:right="-2"/>
        <w:rPr>
          <w:rFonts w:ascii="Gotham Book" w:hAnsi="Gotham Book" w:cs="Arial"/>
        </w:rPr>
      </w:pPr>
      <w:r w:rsidRPr="004A3983">
        <w:rPr>
          <w:rFonts w:ascii="Gotham Book" w:hAnsi="Gotham Book" w:cs="Arial"/>
        </w:rPr>
        <w:t>Over the years t</w:t>
      </w:r>
      <w:r w:rsidR="00F11C80" w:rsidRPr="004A3983">
        <w:rPr>
          <w:rFonts w:ascii="Gotham Book" w:hAnsi="Gotham Book" w:cs="Arial"/>
        </w:rPr>
        <w:t xml:space="preserve">he number of staff </w:t>
      </w:r>
      <w:r w:rsidR="00EE7CE3" w:rsidRPr="004A3983">
        <w:rPr>
          <w:rFonts w:ascii="Gotham Book" w:hAnsi="Gotham Book" w:cs="Arial"/>
        </w:rPr>
        <w:t xml:space="preserve">the NSW Police Force has </w:t>
      </w:r>
      <w:r w:rsidR="00F11C80" w:rsidRPr="004A3983">
        <w:rPr>
          <w:rFonts w:ascii="Gotham Book" w:hAnsi="Gotham Book" w:cs="Arial"/>
        </w:rPr>
        <w:t>allocated to the Registry has not</w:t>
      </w:r>
      <w:r w:rsidRPr="004A3983">
        <w:rPr>
          <w:rFonts w:ascii="Gotham Book" w:hAnsi="Gotham Book" w:cs="Arial"/>
        </w:rPr>
        <w:t xml:space="preserve"> </w:t>
      </w:r>
      <w:r w:rsidR="00F11C80" w:rsidRPr="004A3983">
        <w:rPr>
          <w:rFonts w:ascii="Gotham Book" w:hAnsi="Gotham Book" w:cs="Arial"/>
        </w:rPr>
        <w:t xml:space="preserve">increased proportionate to the demand of its expanding workload and responsibilities. </w:t>
      </w:r>
    </w:p>
    <w:p w14:paraId="46316BEF" w14:textId="2A6F8EC7" w:rsidR="00F11C80" w:rsidRPr="004A3983" w:rsidRDefault="00F11C80" w:rsidP="00AD44AE">
      <w:pPr>
        <w:spacing w:after="160"/>
        <w:ind w:right="-2"/>
        <w:rPr>
          <w:rFonts w:ascii="Gotham Book" w:hAnsi="Gotham Book" w:cs="Arial"/>
        </w:rPr>
      </w:pPr>
      <w:r w:rsidRPr="004A3983">
        <w:rPr>
          <w:rFonts w:ascii="Gotham Book" w:hAnsi="Gotham Book" w:cs="Arial"/>
        </w:rPr>
        <w:t>The number of staff in the Registry has fluctuated since the start of the Register. From a low of just two officers in 2003, the Registry increased to 17 officers in 2012. However, there was no increase in the number of officers in the Registry between 2012 and 2015, and in 2016 the number of staff decreased to 14 officers.</w:t>
      </w:r>
      <w:r w:rsidRPr="004A3983">
        <w:rPr>
          <w:rStyle w:val="FootnoteReference"/>
          <w:rFonts w:ascii="Gotham Book" w:hAnsi="Gotham Book" w:cs="Arial"/>
        </w:rPr>
        <w:footnoteReference w:id="296"/>
      </w:r>
      <w:r w:rsidR="00927BC1">
        <w:rPr>
          <w:rFonts w:ascii="Gotham Book" w:hAnsi="Gotham Book" w:cs="Arial"/>
        </w:rPr>
        <w:t xml:space="preserve"> </w:t>
      </w:r>
      <w:r w:rsidRPr="004A3983">
        <w:rPr>
          <w:rFonts w:ascii="Gotham Book" w:hAnsi="Gotham Book" w:cs="Arial"/>
        </w:rPr>
        <w:t>This was still the size of the Registry when the Commission commenced Operation Tusket in September 2017.</w:t>
      </w:r>
      <w:r w:rsidRPr="004A3983">
        <w:rPr>
          <w:rStyle w:val="FootnoteReference"/>
          <w:rFonts w:ascii="Gotham Book" w:hAnsi="Gotham Book" w:cs="Arial"/>
        </w:rPr>
        <w:footnoteReference w:id="297"/>
      </w:r>
    </w:p>
    <w:p w14:paraId="46CCD691" w14:textId="5F38C7D2" w:rsidR="00F11C80" w:rsidRPr="004A3983" w:rsidRDefault="00EF04AB" w:rsidP="00AD44AE">
      <w:pPr>
        <w:pStyle w:val="Heading3"/>
        <w:spacing w:after="160"/>
        <w:ind w:right="-2"/>
        <w:rPr>
          <w:rFonts w:ascii="Gotham Book" w:hAnsi="Gotham Book"/>
        </w:rPr>
      </w:pPr>
      <w:bookmarkStart w:id="304" w:name="_Toc8913527"/>
      <w:bookmarkStart w:id="305" w:name="_Ref9351951"/>
      <w:bookmarkStart w:id="306" w:name="_Toc9428388"/>
      <w:bookmarkStart w:id="307" w:name="_Toc12020340"/>
      <w:bookmarkStart w:id="308" w:name="_Toc14790506"/>
      <w:bookmarkStart w:id="309" w:name="_Toc15478389"/>
      <w:bookmarkStart w:id="310" w:name="_Toc22627790"/>
      <w:r w:rsidRPr="004A3983">
        <w:rPr>
          <w:rFonts w:ascii="Gotham Book" w:hAnsi="Gotham Book"/>
        </w:rPr>
        <w:t>Internal reports warning of need for additional staff, and lack of quality control</w:t>
      </w:r>
      <w:bookmarkEnd w:id="304"/>
      <w:bookmarkEnd w:id="305"/>
      <w:bookmarkEnd w:id="306"/>
      <w:bookmarkEnd w:id="307"/>
      <w:bookmarkEnd w:id="308"/>
      <w:bookmarkEnd w:id="309"/>
      <w:bookmarkEnd w:id="310"/>
    </w:p>
    <w:p w14:paraId="5019D3D6" w14:textId="2D40397B" w:rsidR="00EF04AB" w:rsidRPr="004A3983" w:rsidRDefault="00A23E23" w:rsidP="00AD44AE">
      <w:pPr>
        <w:spacing w:after="160"/>
        <w:ind w:right="-2"/>
        <w:rPr>
          <w:rFonts w:ascii="Gotham Book" w:hAnsi="Gotham Book" w:cs="Arial"/>
        </w:rPr>
      </w:pPr>
      <w:r w:rsidRPr="004A3983">
        <w:rPr>
          <w:rFonts w:ascii="Gotham Book" w:hAnsi="Gotham Book" w:cs="Arial"/>
        </w:rPr>
        <w:t>Starting in</w:t>
      </w:r>
      <w:r w:rsidR="006762BE" w:rsidRPr="004A3983">
        <w:rPr>
          <w:rFonts w:ascii="Gotham Book" w:hAnsi="Gotham Book" w:cs="Arial"/>
        </w:rPr>
        <w:t xml:space="preserve"> 2014</w:t>
      </w:r>
      <w:r w:rsidRPr="004A3983">
        <w:rPr>
          <w:rFonts w:ascii="Gotham Book" w:hAnsi="Gotham Book" w:cs="Arial"/>
        </w:rPr>
        <w:t>,</w:t>
      </w:r>
      <w:r w:rsidR="006762BE" w:rsidRPr="004A3983">
        <w:rPr>
          <w:rFonts w:ascii="Gotham Book" w:hAnsi="Gotham Book" w:cs="Arial"/>
        </w:rPr>
        <w:t xml:space="preserve"> Registry staff made</w:t>
      </w:r>
      <w:r w:rsidR="00EF54EB" w:rsidRPr="004A3983">
        <w:rPr>
          <w:rFonts w:ascii="Gotham Book" w:hAnsi="Gotham Book" w:cs="Arial"/>
        </w:rPr>
        <w:t xml:space="preserve"> </w:t>
      </w:r>
      <w:r w:rsidR="00F141AB" w:rsidRPr="004A3983">
        <w:rPr>
          <w:rFonts w:ascii="Gotham Book" w:hAnsi="Gotham Book" w:cs="Arial"/>
        </w:rPr>
        <w:t>a</w:t>
      </w:r>
      <w:r w:rsidR="00EF54EB" w:rsidRPr="004A3983">
        <w:rPr>
          <w:rFonts w:ascii="Gotham Book" w:hAnsi="Gotham Book" w:cs="Arial"/>
        </w:rPr>
        <w:t xml:space="preserve"> series of internal reports </w:t>
      </w:r>
      <w:r w:rsidR="00EF04AB" w:rsidRPr="004A3983">
        <w:rPr>
          <w:rFonts w:ascii="Gotham Book" w:hAnsi="Gotham Book" w:cs="Arial"/>
        </w:rPr>
        <w:t xml:space="preserve">which highlighted concerns about </w:t>
      </w:r>
      <w:r w:rsidR="00EF04AB" w:rsidRPr="004A3983">
        <w:rPr>
          <w:rFonts w:ascii="Gotham Book" w:hAnsi="Gotham Book"/>
        </w:rPr>
        <w:t>systemic issues affecting the accuracy of the Register</w:t>
      </w:r>
      <w:r w:rsidR="00EF54EB" w:rsidRPr="004A3983">
        <w:rPr>
          <w:rFonts w:ascii="Gotham Book" w:hAnsi="Gotham Book"/>
        </w:rPr>
        <w:t>.</w:t>
      </w:r>
      <w:r w:rsidRPr="004A3983">
        <w:rPr>
          <w:rStyle w:val="FootnoteReference"/>
          <w:rFonts w:ascii="Gotham Book" w:hAnsi="Gotham Book"/>
        </w:rPr>
        <w:footnoteReference w:id="298"/>
      </w:r>
      <w:r w:rsidR="00EF54EB" w:rsidRPr="004A3983">
        <w:rPr>
          <w:rFonts w:ascii="Gotham Book" w:hAnsi="Gotham Book"/>
        </w:rPr>
        <w:t xml:space="preserve"> </w:t>
      </w:r>
      <w:r w:rsidR="006762BE" w:rsidRPr="004A3983">
        <w:rPr>
          <w:rFonts w:ascii="Gotham Book" w:hAnsi="Gotham Book"/>
        </w:rPr>
        <w:t xml:space="preserve">These reports included warnings that the </w:t>
      </w:r>
      <w:r w:rsidR="00EF04AB" w:rsidRPr="004A3983">
        <w:rPr>
          <w:rFonts w:ascii="Gotham Book" w:hAnsi="Gotham Book"/>
        </w:rPr>
        <w:t>Registry</w:t>
      </w:r>
      <w:r w:rsidR="006762BE" w:rsidRPr="004A3983">
        <w:rPr>
          <w:rFonts w:ascii="Gotham Book" w:hAnsi="Gotham Book"/>
        </w:rPr>
        <w:t xml:space="preserve"> was under-resourced</w:t>
      </w:r>
      <w:r w:rsidR="00EF04AB" w:rsidRPr="004A3983">
        <w:rPr>
          <w:rFonts w:ascii="Gotham Book" w:hAnsi="Gotham Book"/>
        </w:rPr>
        <w:t xml:space="preserve">. </w:t>
      </w:r>
      <w:r w:rsidR="00EF04AB" w:rsidRPr="004A3983">
        <w:rPr>
          <w:rFonts w:ascii="Gotham Book" w:hAnsi="Gotham Book" w:cs="Arial"/>
        </w:rPr>
        <w:t xml:space="preserve">Between February </w:t>
      </w:r>
      <w:r w:rsidR="00EF04AB" w:rsidRPr="004A3983">
        <w:rPr>
          <w:rFonts w:ascii="Gotham Book" w:hAnsi="Gotham Book" w:cs="Arial"/>
        </w:rPr>
        <w:lastRenderedPageBreak/>
        <w:t>2015 and June 2016 Registry staff submitted seven internal requests for additional personnel, including two ‘Requests for Budget Variations’ for the 2016-2017 and 2017-2018 financial years to fund an additional 11 and 12 positions respectively.</w:t>
      </w:r>
      <w:r w:rsidR="00EF04AB" w:rsidRPr="004A3983">
        <w:rPr>
          <w:rStyle w:val="FootnoteReference"/>
          <w:rFonts w:ascii="Gotham Book" w:hAnsi="Gotham Book" w:cs="Arial"/>
        </w:rPr>
        <w:footnoteReference w:id="299"/>
      </w:r>
      <w:r w:rsidR="00EF04AB" w:rsidRPr="004A3983">
        <w:rPr>
          <w:rFonts w:ascii="Gotham Book" w:hAnsi="Gotham Book" w:cs="Arial"/>
        </w:rPr>
        <w:t xml:space="preserve"> These reports </w:t>
      </w:r>
      <w:r w:rsidR="00FA02A8" w:rsidRPr="004A3983">
        <w:rPr>
          <w:rFonts w:ascii="Gotham Book" w:hAnsi="Gotham Book" w:cs="Arial"/>
        </w:rPr>
        <w:t xml:space="preserve">and requests </w:t>
      </w:r>
      <w:r w:rsidR="00EF04AB" w:rsidRPr="004A3983">
        <w:rPr>
          <w:rFonts w:ascii="Gotham Book" w:hAnsi="Gotham Book" w:cs="Arial"/>
        </w:rPr>
        <w:t xml:space="preserve">noted the increase in the number of persons on the Register, and the increased workload of the Registry as a result. </w:t>
      </w:r>
    </w:p>
    <w:p w14:paraId="07E869DB" w14:textId="107B5F02" w:rsidR="00EF04AB" w:rsidRPr="004A3983" w:rsidRDefault="00EF04AB" w:rsidP="00AD44AE">
      <w:pPr>
        <w:spacing w:after="160"/>
        <w:ind w:right="-2"/>
        <w:rPr>
          <w:rFonts w:ascii="Gotham Book" w:hAnsi="Gotham Book"/>
        </w:rPr>
      </w:pPr>
      <w:r w:rsidRPr="004A3983">
        <w:rPr>
          <w:rFonts w:ascii="Gotham Book" w:hAnsi="Gotham Book" w:cs="Arial"/>
        </w:rPr>
        <w:t xml:space="preserve">In a report in October 2015, the Registry Manager stated that </w:t>
      </w:r>
      <w:r w:rsidR="00DF3544" w:rsidRPr="004A3983">
        <w:rPr>
          <w:rFonts w:ascii="Gotham Book" w:hAnsi="Gotham Book" w:cs="Arial"/>
        </w:rPr>
        <w:t xml:space="preserve">due to the growth in the Register </w:t>
      </w:r>
      <w:r w:rsidRPr="004A3983">
        <w:rPr>
          <w:rFonts w:ascii="Gotham Book" w:hAnsi="Gotham Book" w:cs="Arial"/>
        </w:rPr>
        <w:t>the Registry only had capacity for ‘</w:t>
      </w:r>
      <w:r w:rsidRPr="004A3983">
        <w:rPr>
          <w:rFonts w:ascii="Gotham Book" w:hAnsi="Gotham Book"/>
        </w:rPr>
        <w:t>minimal supervisory and quality control checks’</w:t>
      </w:r>
      <w:r w:rsidR="00DF3544" w:rsidRPr="004A3983">
        <w:rPr>
          <w:rFonts w:ascii="Gotham Book" w:hAnsi="Gotham Book"/>
        </w:rPr>
        <w:t>, which</w:t>
      </w:r>
      <w:r w:rsidRPr="004A3983">
        <w:rPr>
          <w:rFonts w:ascii="Gotham Book" w:hAnsi="Gotham Book"/>
        </w:rPr>
        <w:t xml:space="preserve"> had led to registrable persons ‘not being registered correctly (if at all) and issues identified with reporting periods and obligations’.</w:t>
      </w:r>
      <w:r w:rsidRPr="004A3983">
        <w:rPr>
          <w:rStyle w:val="FootnoteReference"/>
          <w:rFonts w:ascii="Gotham Book" w:hAnsi="Gotham Book"/>
        </w:rPr>
        <w:footnoteReference w:id="300"/>
      </w:r>
      <w:r w:rsidRPr="004A3983">
        <w:rPr>
          <w:rFonts w:ascii="Gotham Book" w:hAnsi="Gotham Book"/>
        </w:rPr>
        <w:t xml:space="preserve"> The Manager stated that the Registry needed ‘proper staffing and resourcing of the unit, to enable staff to effectively perform their duties and minimise risks to the organisation and the community as a whole’.</w:t>
      </w:r>
      <w:r w:rsidRPr="004A3983">
        <w:rPr>
          <w:rStyle w:val="FootnoteReference"/>
          <w:rFonts w:ascii="Gotham Book" w:hAnsi="Gotham Book"/>
        </w:rPr>
        <w:footnoteReference w:id="301"/>
      </w:r>
      <w:r w:rsidRPr="004A3983">
        <w:rPr>
          <w:rFonts w:ascii="Gotham Book" w:hAnsi="Gotham Book"/>
        </w:rPr>
        <w:t xml:space="preserve">  He requested an independent assessment of the workload of the Registry.</w:t>
      </w:r>
    </w:p>
    <w:p w14:paraId="5E99E9D6" w14:textId="610F4468" w:rsidR="00EF04AB" w:rsidRPr="004A3983" w:rsidRDefault="00EF04AB" w:rsidP="00AD44AE">
      <w:pPr>
        <w:spacing w:after="160"/>
        <w:ind w:right="-2"/>
        <w:rPr>
          <w:rFonts w:ascii="Gotham Book" w:hAnsi="Gotham Book" w:cs="Arial"/>
        </w:rPr>
      </w:pPr>
      <w:r w:rsidRPr="004A3983">
        <w:rPr>
          <w:rFonts w:ascii="Gotham Book" w:hAnsi="Gotham Book" w:cs="Arial"/>
        </w:rPr>
        <w:t>In</w:t>
      </w:r>
      <w:r w:rsidR="000A408D" w:rsidRPr="004A3983">
        <w:rPr>
          <w:rFonts w:ascii="Gotham Book" w:hAnsi="Gotham Book" w:cs="Arial"/>
        </w:rPr>
        <w:t xml:space="preserve"> a report in May 2016 an officer</w:t>
      </w:r>
      <w:r w:rsidRPr="004A3983">
        <w:rPr>
          <w:rFonts w:ascii="Gotham Book" w:hAnsi="Gotham Book" w:cs="Arial"/>
        </w:rPr>
        <w:t xml:space="preserve"> in the Registry confirmed that due to the Registry’s workload ‘there is very little in the way of quality assurance’.</w:t>
      </w:r>
      <w:r w:rsidRPr="004A3983">
        <w:rPr>
          <w:rStyle w:val="FootnoteReference"/>
          <w:rFonts w:ascii="Gotham Book" w:hAnsi="Gotham Book" w:cs="Arial"/>
        </w:rPr>
        <w:footnoteReference w:id="302"/>
      </w:r>
      <w:r w:rsidRPr="004A3983">
        <w:rPr>
          <w:rFonts w:ascii="Gotham Book" w:hAnsi="Gotham Book" w:cs="Arial"/>
        </w:rPr>
        <w:t xml:space="preserve"> </w:t>
      </w:r>
    </w:p>
    <w:p w14:paraId="6694DA62" w14:textId="0D92B7AF" w:rsidR="00EF04AB" w:rsidRPr="004A3983" w:rsidRDefault="00EF04AB" w:rsidP="00AD44AE">
      <w:pPr>
        <w:spacing w:after="160"/>
        <w:ind w:right="-2"/>
        <w:rPr>
          <w:rFonts w:ascii="Gotham Book" w:hAnsi="Gotham Book"/>
        </w:rPr>
      </w:pPr>
      <w:r w:rsidRPr="004A3983">
        <w:rPr>
          <w:rFonts w:ascii="Gotham Book" w:hAnsi="Gotham Book" w:cs="Arial"/>
        </w:rPr>
        <w:t xml:space="preserve">In another report in June 2016 </w:t>
      </w:r>
      <w:r w:rsidRPr="004A3983">
        <w:rPr>
          <w:rFonts w:ascii="Gotham Book" w:hAnsi="Gotham Book"/>
        </w:rPr>
        <w:t>the Registry Manager noted that while there were different human and systems errors that had affected the accuracy of the Register, some for over 15 years, the ‘general concept’ underpinning the problems was ‘a lack of quality control and assurance’.</w:t>
      </w:r>
      <w:r w:rsidRPr="004A3983">
        <w:rPr>
          <w:rStyle w:val="FootnoteReference"/>
          <w:rFonts w:ascii="Gotham Book" w:hAnsi="Gotham Book"/>
        </w:rPr>
        <w:t xml:space="preserve"> </w:t>
      </w:r>
      <w:r w:rsidRPr="004A3983">
        <w:rPr>
          <w:rStyle w:val="FootnoteReference"/>
          <w:rFonts w:ascii="Gotham Book" w:hAnsi="Gotham Book"/>
        </w:rPr>
        <w:footnoteReference w:id="303"/>
      </w:r>
      <w:r w:rsidRPr="004A3983">
        <w:rPr>
          <w:rFonts w:ascii="Gotham Book" w:hAnsi="Gotham Book"/>
        </w:rPr>
        <w:t xml:space="preserve"> He noted that checks and balances had been put in place to try to address the quality control issues, but noted that ‘these issues will have the capacity to exist today if not addressed appropriately’.</w:t>
      </w:r>
      <w:r w:rsidRPr="004A3983">
        <w:rPr>
          <w:rStyle w:val="FootnoteReference"/>
          <w:rFonts w:ascii="Gotham Book" w:hAnsi="Gotham Book"/>
        </w:rPr>
        <w:footnoteReference w:id="304"/>
      </w:r>
      <w:r w:rsidRPr="004A3983">
        <w:rPr>
          <w:rFonts w:ascii="Gotham Book" w:hAnsi="Gotham Book"/>
        </w:rPr>
        <w:t xml:space="preserve"> The Registry Manager stated that ‘[w]hilst Registry staff members are currently “coping” with the quantity of workload and other demands of the Registry… the quality and consistent application of the legislation and associated processes is what is placed at risk’.</w:t>
      </w:r>
      <w:r w:rsidRPr="004A3983">
        <w:rPr>
          <w:rStyle w:val="FootnoteReference"/>
          <w:rFonts w:ascii="Gotham Book" w:hAnsi="Gotham Book"/>
        </w:rPr>
        <w:footnoteReference w:id="305"/>
      </w:r>
    </w:p>
    <w:p w14:paraId="2181E180" w14:textId="509D74DD" w:rsidR="00EF04AB" w:rsidRPr="004A3983" w:rsidRDefault="00EF04AB" w:rsidP="00AD44AE">
      <w:pPr>
        <w:spacing w:after="160"/>
        <w:ind w:right="-2"/>
        <w:rPr>
          <w:rFonts w:ascii="Gotham Book" w:hAnsi="Gotham Book" w:cs="Arial"/>
        </w:rPr>
      </w:pPr>
      <w:r w:rsidRPr="004A3983">
        <w:rPr>
          <w:rFonts w:ascii="Gotham Book" w:hAnsi="Gotham Book" w:cs="Arial"/>
        </w:rPr>
        <w:t>The Registry Manager stated that:</w:t>
      </w:r>
    </w:p>
    <w:p w14:paraId="0EB4A593" w14:textId="77777777" w:rsidR="00EF04AB" w:rsidRPr="004A3983" w:rsidRDefault="00EF04AB" w:rsidP="003018D6">
      <w:pPr>
        <w:pStyle w:val="Quotesmall1cm"/>
      </w:pPr>
      <w:r w:rsidRPr="004A3983">
        <w:t xml:space="preserve">The current workload and structure at the Registry presents a risk to the organisation…Resource allocation has not been adequate to meet increases in demand…The growth in registered sex offenders will continue to outstrip the NSWPF capacity to perform monitoring according to standards mandated in legislation. The current increase in numbers of Registrable Persons (3636 as at 31 May 2016) has outstripped the capability and capacity of the NSWPF Child Protection Registry to </w:t>
      </w:r>
      <w:r w:rsidRPr="004A3983">
        <w:lastRenderedPageBreak/>
        <w:t>ensure consistent standards of compliance and offender monitoring, resulting in children and the community being placed at risk of offending by sexual predators.</w:t>
      </w:r>
      <w:r w:rsidRPr="004A3983">
        <w:rPr>
          <w:rStyle w:val="FootnoteReference"/>
        </w:rPr>
        <w:footnoteReference w:id="306"/>
      </w:r>
      <w:r w:rsidRPr="004A3983">
        <w:t xml:space="preserve"> </w:t>
      </w:r>
    </w:p>
    <w:p w14:paraId="50E04BE7" w14:textId="79D6AC60" w:rsidR="00EF04AB" w:rsidRPr="004A3983" w:rsidRDefault="000107BC" w:rsidP="00AD44AE">
      <w:pPr>
        <w:pStyle w:val="Heading3"/>
        <w:spacing w:after="160"/>
        <w:ind w:right="-2"/>
        <w:rPr>
          <w:rFonts w:ascii="Gotham Book" w:hAnsi="Gotham Book"/>
        </w:rPr>
      </w:pPr>
      <w:bookmarkStart w:id="311" w:name="_Toc22627791"/>
      <w:bookmarkStart w:id="312" w:name="_Toc8913528"/>
      <w:bookmarkStart w:id="313" w:name="_Toc9428389"/>
      <w:bookmarkStart w:id="314" w:name="_Toc12020341"/>
      <w:bookmarkStart w:id="315" w:name="_Toc14790507"/>
      <w:bookmarkStart w:id="316" w:name="_Toc15478390"/>
      <w:r w:rsidRPr="004A3983">
        <w:rPr>
          <w:rFonts w:ascii="Gotham Book" w:hAnsi="Gotham Book"/>
        </w:rPr>
        <w:t xml:space="preserve">Workforce Intelligence Unit’s </w:t>
      </w:r>
      <w:r w:rsidR="00874EB2" w:rsidRPr="004A3983">
        <w:rPr>
          <w:rFonts w:ascii="Gotham Book" w:hAnsi="Gotham Book"/>
        </w:rPr>
        <w:t>Register Staffing</w:t>
      </w:r>
      <w:r w:rsidR="003018D6">
        <w:rPr>
          <w:rFonts w:ascii="Gotham Book" w:hAnsi="Gotham Book"/>
        </w:rPr>
        <w:t> </w:t>
      </w:r>
      <w:r w:rsidR="00874EB2" w:rsidRPr="004A3983">
        <w:rPr>
          <w:rFonts w:ascii="Gotham Book" w:hAnsi="Gotham Book"/>
        </w:rPr>
        <w:t>Review</w:t>
      </w:r>
      <w:bookmarkEnd w:id="311"/>
      <w:r w:rsidR="00CB3A56" w:rsidRPr="004A3983">
        <w:rPr>
          <w:rFonts w:ascii="Gotham Book" w:hAnsi="Gotham Book"/>
        </w:rPr>
        <w:t xml:space="preserve"> </w:t>
      </w:r>
      <w:bookmarkEnd w:id="312"/>
      <w:bookmarkEnd w:id="313"/>
      <w:bookmarkEnd w:id="314"/>
      <w:bookmarkEnd w:id="315"/>
      <w:bookmarkEnd w:id="316"/>
    </w:p>
    <w:p w14:paraId="4EA56B6E" w14:textId="3DFFD83A" w:rsidR="004B6D14" w:rsidRPr="004A3983" w:rsidRDefault="00CB3A56" w:rsidP="00AD44AE">
      <w:pPr>
        <w:spacing w:after="160"/>
        <w:ind w:right="-2"/>
        <w:rPr>
          <w:b/>
        </w:rPr>
      </w:pPr>
      <w:r w:rsidRPr="004A3983">
        <w:t>In July 2016 the NSW Police Force initiated a review of the Registry’s staffing by the</w:t>
      </w:r>
      <w:r w:rsidR="00F960B6">
        <w:t> </w:t>
      </w:r>
      <w:r w:rsidRPr="004A3983">
        <w:t xml:space="preserve">Workforce Intelligence Unit </w:t>
      </w:r>
      <w:r w:rsidR="00FA02A8" w:rsidRPr="004A3983">
        <w:t>with</w:t>
      </w:r>
      <w:r w:rsidRPr="004A3983">
        <w:t xml:space="preserve">in the Human Resources Command. That Unit conducted a comprehensive review of the Registry’s workload and submitted its report </w:t>
      </w:r>
      <w:r w:rsidRPr="004A3983">
        <w:rPr>
          <w:i/>
        </w:rPr>
        <w:t>HR Analysis</w:t>
      </w:r>
      <w:r w:rsidR="004B6D14" w:rsidRPr="004A3983">
        <w:rPr>
          <w:i/>
        </w:rPr>
        <w:t xml:space="preserve">: Child </w:t>
      </w:r>
      <w:r w:rsidRPr="004A3983">
        <w:rPr>
          <w:i/>
        </w:rPr>
        <w:t>Protection Register Staffing Review</w:t>
      </w:r>
      <w:r w:rsidRPr="004A3983">
        <w:t xml:space="preserve"> (Register Staffing Review) in July 2017.</w:t>
      </w:r>
      <w:r w:rsidRPr="004A3983">
        <w:rPr>
          <w:rStyle w:val="FootnoteReference"/>
          <w:rFonts w:ascii="Gotham Book" w:hAnsi="Gotham Book" w:cs="Arial"/>
        </w:rPr>
        <w:footnoteReference w:id="307"/>
      </w:r>
    </w:p>
    <w:p w14:paraId="7A617BD1" w14:textId="3B1747E9" w:rsidR="00CB3A56" w:rsidRPr="004A3983" w:rsidRDefault="00CB3A56" w:rsidP="00AD44AE">
      <w:pPr>
        <w:spacing w:after="160"/>
        <w:ind w:right="-2"/>
      </w:pPr>
      <w:r w:rsidRPr="004A3983">
        <w:rPr>
          <w:rFonts w:ascii="Gotham Book" w:hAnsi="Gotham Book" w:cs="Arial"/>
        </w:rPr>
        <w:t>The Workforce Intelligence Unit concluded that ‘[t]he current Registry workforce cannot effectively manage the volume of work required to administer the register.’</w:t>
      </w:r>
      <w:r w:rsidRPr="004A3983">
        <w:rPr>
          <w:rStyle w:val="FootnoteReference"/>
          <w:rFonts w:cs="Arial"/>
        </w:rPr>
        <w:footnoteReference w:id="308"/>
      </w:r>
      <w:r w:rsidRPr="004A3983">
        <w:rPr>
          <w:rFonts w:cs="Arial"/>
        </w:rPr>
        <w:t xml:space="preserve"> </w:t>
      </w:r>
      <w:r w:rsidRPr="004A3983">
        <w:rPr>
          <w:rFonts w:ascii="Gotham Book" w:hAnsi="Gotham Book" w:cs="Arial"/>
        </w:rPr>
        <w:t>It acknowledged that the Registry had ‘implemented a range of strategies to reduce risks and manage its staffing issues, but these have had minimal impact on the unit’s workforce capacity, systems issues, or level of risk’. The Workforce Intelligence Unit emphasised that the Registry ‘cannot address these issues internally, and will require external assistance and resources.’</w:t>
      </w:r>
      <w:r w:rsidRPr="004A3983">
        <w:rPr>
          <w:rStyle w:val="FootnoteReference"/>
          <w:rFonts w:ascii="Gotham Book" w:hAnsi="Gotham Book" w:cs="Arial"/>
        </w:rPr>
        <w:footnoteReference w:id="309"/>
      </w:r>
    </w:p>
    <w:p w14:paraId="60FB08CE" w14:textId="39C75638" w:rsidR="00CB3A56" w:rsidRPr="004A3983" w:rsidRDefault="00567F7A" w:rsidP="00AD44AE">
      <w:pPr>
        <w:autoSpaceDE w:val="0"/>
        <w:autoSpaceDN w:val="0"/>
        <w:adjustRightInd w:val="0"/>
        <w:spacing w:after="160"/>
        <w:ind w:right="-2"/>
        <w:rPr>
          <w:rFonts w:ascii="Gotham Book" w:hAnsi="Gotham Book" w:cs="Arial"/>
        </w:rPr>
      </w:pPr>
      <w:r w:rsidRPr="004A3983">
        <w:rPr>
          <w:rFonts w:ascii="Gotham Book" w:hAnsi="Gotham Book" w:cs="Arial"/>
        </w:rPr>
        <w:t>T</w:t>
      </w:r>
      <w:r w:rsidR="00CB3A56" w:rsidRPr="004A3983">
        <w:rPr>
          <w:rFonts w:ascii="Gotham Book" w:hAnsi="Gotham Book" w:cs="Arial"/>
        </w:rPr>
        <w:t xml:space="preserve">he Workforce Intelligence Unit </w:t>
      </w:r>
      <w:r w:rsidR="00CB3A56" w:rsidRPr="004A3983">
        <w:rPr>
          <w:rFonts w:ascii="Gotham Book" w:hAnsi="Gotham Book"/>
        </w:rPr>
        <w:t>concluded that there had been a lack of quality assurance processes in relation to the Register prior to the initiation of the CPR case review (in 2016).</w:t>
      </w:r>
      <w:r w:rsidR="00CB3A56" w:rsidRPr="004A3983">
        <w:rPr>
          <w:rStyle w:val="FootnoteReference"/>
          <w:rFonts w:ascii="Gotham Book" w:hAnsi="Gotham Book"/>
        </w:rPr>
        <w:footnoteReference w:id="310"/>
      </w:r>
      <w:r w:rsidR="0080329B">
        <w:rPr>
          <w:rFonts w:ascii="Gotham Book" w:hAnsi="Gotham Book"/>
        </w:rPr>
        <w:t xml:space="preserve"> </w:t>
      </w:r>
      <w:r w:rsidR="00CB3A56" w:rsidRPr="004A3983">
        <w:rPr>
          <w:rFonts w:ascii="Gotham Book" w:hAnsi="Gotham Book" w:cs="Arial"/>
        </w:rPr>
        <w:t>It noted that the Registry had since improved its quality assurance processes, by ensuring that all new Register cases were checked when they were created, and all Register cases were reviewed prior to being manually finalised.</w:t>
      </w:r>
      <w:r w:rsidR="00CB3A56" w:rsidRPr="004A3983">
        <w:rPr>
          <w:rStyle w:val="FootnoteReference"/>
          <w:rFonts w:ascii="Gotham Book" w:hAnsi="Gotham Book" w:cs="Arial"/>
        </w:rPr>
        <w:footnoteReference w:id="311"/>
      </w:r>
      <w:r w:rsidR="00CB3A56" w:rsidRPr="004A3983">
        <w:rPr>
          <w:rFonts w:ascii="Gotham Book" w:hAnsi="Gotham Book" w:cs="Arial"/>
        </w:rPr>
        <w:t xml:space="preserve"> However, these quality assurance processes added to the workload of the Registry officers.</w:t>
      </w:r>
      <w:r w:rsidR="00CB3A56" w:rsidRPr="004A3983">
        <w:rPr>
          <w:rStyle w:val="FootnoteReference"/>
          <w:rFonts w:ascii="Gotham Book" w:hAnsi="Gotham Book" w:cs="Arial"/>
        </w:rPr>
        <w:footnoteReference w:id="312"/>
      </w:r>
    </w:p>
    <w:p w14:paraId="6DB24C78" w14:textId="1A9D38E9" w:rsidR="00CB3A56" w:rsidRPr="004A3983" w:rsidRDefault="00CB3A56" w:rsidP="00AD44AE">
      <w:pPr>
        <w:autoSpaceDE w:val="0"/>
        <w:autoSpaceDN w:val="0"/>
        <w:adjustRightInd w:val="0"/>
        <w:spacing w:after="160"/>
        <w:ind w:right="-2"/>
        <w:rPr>
          <w:rFonts w:ascii="Gotham Book" w:hAnsi="Gotham Book" w:cs="Arial"/>
        </w:rPr>
      </w:pPr>
      <w:r w:rsidRPr="004A3983">
        <w:rPr>
          <w:rFonts w:ascii="Gotham Book" w:hAnsi="Gotham Book" w:cs="Arial"/>
        </w:rPr>
        <w:t xml:space="preserve">The Workforce Intelligence Unit made 22 recommendations to address </w:t>
      </w:r>
      <w:r w:rsidR="00554F6F" w:rsidRPr="004A3983">
        <w:rPr>
          <w:rFonts w:ascii="Gotham Book" w:hAnsi="Gotham Book" w:cs="Arial"/>
        </w:rPr>
        <w:t xml:space="preserve">the </w:t>
      </w:r>
      <w:r w:rsidRPr="004A3983">
        <w:rPr>
          <w:rFonts w:ascii="Gotham Book" w:hAnsi="Gotham Book" w:cs="Arial"/>
        </w:rPr>
        <w:t xml:space="preserve">issues facing the Registry. </w:t>
      </w:r>
      <w:r w:rsidR="00554F6F" w:rsidRPr="004A3983">
        <w:rPr>
          <w:rFonts w:ascii="Gotham Book" w:hAnsi="Gotham Book" w:cs="Arial"/>
        </w:rPr>
        <w:t>Its primary recommendation</w:t>
      </w:r>
      <w:r w:rsidRPr="004A3983">
        <w:rPr>
          <w:rFonts w:ascii="Gotham Book" w:hAnsi="Gotham Book" w:cs="Arial"/>
        </w:rPr>
        <w:t xml:space="preserve"> was that 14 additional authorised positions be added to the Registry, 11 sworn and three unsworn officers, which would bring the total number of officers in the Registry to 28.</w:t>
      </w:r>
      <w:r w:rsidRPr="004A3983">
        <w:rPr>
          <w:rStyle w:val="FootnoteReference"/>
          <w:rFonts w:ascii="Gotham Book" w:hAnsi="Gotham Book" w:cs="Arial"/>
        </w:rPr>
        <w:footnoteReference w:id="313"/>
      </w:r>
    </w:p>
    <w:p w14:paraId="026CC574" w14:textId="5035E75E" w:rsidR="00CB3A56" w:rsidRPr="004A3983" w:rsidRDefault="00CB3A56" w:rsidP="00AD44AE">
      <w:pPr>
        <w:autoSpaceDE w:val="0"/>
        <w:autoSpaceDN w:val="0"/>
        <w:adjustRightInd w:val="0"/>
        <w:spacing w:after="160"/>
        <w:ind w:right="-2"/>
        <w:rPr>
          <w:rFonts w:ascii="Gotham Book" w:hAnsi="Gotham Book" w:cs="Arial"/>
        </w:rPr>
      </w:pPr>
      <w:r w:rsidRPr="004A3983">
        <w:rPr>
          <w:rFonts w:ascii="Gotham Book" w:hAnsi="Gotham Book" w:cs="Arial"/>
        </w:rPr>
        <w:t>The Workforce Intelligence Unit stated that:</w:t>
      </w:r>
    </w:p>
    <w:p w14:paraId="1CA8C5D5" w14:textId="3EF9F36A" w:rsidR="00CB3A56" w:rsidRPr="004A3983" w:rsidRDefault="00CB3A56" w:rsidP="003018D6">
      <w:pPr>
        <w:pStyle w:val="Quotesmall1cm"/>
      </w:pPr>
      <w:r w:rsidRPr="004A3983">
        <w:t>Additional staffing for the Registry will improve the unit's capacity to address current and future workload, improve quality of work, and help minimise errors, which will lead to a decrease in overall risks. The degree to which additional resources can reduce risks varies depending on how many staff are provided, and in what roles.</w:t>
      </w:r>
      <w:r w:rsidRPr="004A3983">
        <w:rPr>
          <w:vertAlign w:val="superscript"/>
        </w:rPr>
        <w:footnoteReference w:id="314"/>
      </w:r>
      <w:r w:rsidRPr="004A3983">
        <w:rPr>
          <w:vertAlign w:val="superscript"/>
        </w:rPr>
        <w:t xml:space="preserve"> </w:t>
      </w:r>
    </w:p>
    <w:p w14:paraId="3214F057" w14:textId="1BCA02CD" w:rsidR="00CB3A56" w:rsidRPr="004A3983" w:rsidRDefault="00CB3A56" w:rsidP="00AD44AE">
      <w:pPr>
        <w:autoSpaceDE w:val="0"/>
        <w:autoSpaceDN w:val="0"/>
        <w:adjustRightInd w:val="0"/>
        <w:spacing w:after="160"/>
        <w:ind w:right="-2"/>
        <w:rPr>
          <w:rFonts w:ascii="Gotham Book" w:hAnsi="Gotham Book" w:cs="Arial"/>
        </w:rPr>
      </w:pPr>
      <w:r w:rsidRPr="004A3983">
        <w:rPr>
          <w:rFonts w:ascii="Gotham Book" w:hAnsi="Gotham Book" w:cs="Arial"/>
        </w:rPr>
        <w:lastRenderedPageBreak/>
        <w:t>A</w:t>
      </w:r>
      <w:r w:rsidR="00554F6F" w:rsidRPr="004A3983">
        <w:rPr>
          <w:rFonts w:ascii="Gotham Book" w:hAnsi="Gotham Book" w:cs="Arial"/>
        </w:rPr>
        <w:t>nother</w:t>
      </w:r>
      <w:r w:rsidRPr="004A3983">
        <w:rPr>
          <w:rFonts w:ascii="Gotham Book" w:hAnsi="Gotham Book" w:cs="Arial"/>
        </w:rPr>
        <w:t xml:space="preserve"> key recommendation in the Register Staffing Review was that ‘[a]t least one legal officer position dedicated to providing legal support to the Registry’ should be established in the Registry.</w:t>
      </w:r>
      <w:r w:rsidRPr="004A3983">
        <w:rPr>
          <w:rStyle w:val="FootnoteReference"/>
          <w:rFonts w:ascii="Gotham Book" w:hAnsi="Gotham Book" w:cs="Arial"/>
        </w:rPr>
        <w:footnoteReference w:id="315"/>
      </w:r>
      <w:r w:rsidRPr="004A3983">
        <w:rPr>
          <w:rFonts w:ascii="Gotham Book" w:hAnsi="Gotham Book" w:cs="Arial"/>
        </w:rPr>
        <w:t xml:space="preserve"> </w:t>
      </w:r>
      <w:r w:rsidR="006B09C0" w:rsidRPr="004A3983">
        <w:rPr>
          <w:rFonts w:ascii="Gotham Book" w:hAnsi="Gotham Book" w:cs="Arial"/>
        </w:rPr>
        <w:t>The Workforce Intelligence Unit</w:t>
      </w:r>
      <w:r w:rsidRPr="004A3983">
        <w:rPr>
          <w:rFonts w:ascii="Gotham Book" w:hAnsi="Gotham Book" w:cs="Arial"/>
        </w:rPr>
        <w:t xml:space="preserve"> noted that this dedicated legal officer would ‘substantially improve’ the quality of the Registry’s work by</w:t>
      </w:r>
      <w:r w:rsidR="006B09C0" w:rsidRPr="004A3983">
        <w:rPr>
          <w:rFonts w:ascii="Gotham Book" w:hAnsi="Gotham Book" w:cs="Arial"/>
        </w:rPr>
        <w:t xml:space="preserve"> breaking down the complexity of</w:t>
      </w:r>
      <w:r w:rsidRPr="004A3983">
        <w:rPr>
          <w:rFonts w:ascii="Gotham Book" w:hAnsi="Gotham Book" w:cs="Arial"/>
        </w:rPr>
        <w:t xml:space="preserve"> interpreting the CPOR Act,</w:t>
      </w:r>
      <w:r w:rsidRPr="004A3983">
        <w:rPr>
          <w:rStyle w:val="FootnoteReference"/>
          <w:rFonts w:ascii="Gotham Book" w:hAnsi="Gotham Book" w:cs="Arial"/>
        </w:rPr>
        <w:footnoteReference w:id="316"/>
      </w:r>
      <w:r w:rsidRPr="004A3983">
        <w:rPr>
          <w:rFonts w:ascii="Gotham Book" w:hAnsi="Gotham Book" w:cs="Arial"/>
        </w:rPr>
        <w:t xml:space="preserve"> and reduce the risks and likelihood of errors by assisting with quality assurance in initial registration, case creation and finalisation processes.</w:t>
      </w:r>
      <w:r w:rsidRPr="004A3983">
        <w:rPr>
          <w:rStyle w:val="FootnoteReference"/>
          <w:rFonts w:ascii="Gotham Book" w:hAnsi="Gotham Book" w:cs="Arial"/>
        </w:rPr>
        <w:footnoteReference w:id="317"/>
      </w:r>
      <w:r w:rsidRPr="004A3983">
        <w:rPr>
          <w:rFonts w:ascii="Gotham Book" w:hAnsi="Gotham Book" w:cs="Arial"/>
        </w:rPr>
        <w:t xml:space="preserve"> </w:t>
      </w:r>
    </w:p>
    <w:p w14:paraId="685500C9" w14:textId="45351F15" w:rsidR="00CB3A56" w:rsidRPr="004A3983" w:rsidRDefault="00CB3A56" w:rsidP="00AD44AE">
      <w:pPr>
        <w:autoSpaceDE w:val="0"/>
        <w:autoSpaceDN w:val="0"/>
        <w:adjustRightInd w:val="0"/>
        <w:spacing w:after="160"/>
        <w:ind w:right="-2"/>
        <w:rPr>
          <w:rFonts w:ascii="Gotham Book" w:hAnsi="Gotham Book" w:cs="Arial"/>
        </w:rPr>
      </w:pPr>
      <w:r w:rsidRPr="004A3983">
        <w:rPr>
          <w:rFonts w:ascii="Gotham Book" w:hAnsi="Gotham Book" w:cs="Arial"/>
        </w:rPr>
        <w:t>The Workforce Intelligence Unit also suggest</w:t>
      </w:r>
      <w:r w:rsidR="00C12BA2" w:rsidRPr="004A3983">
        <w:rPr>
          <w:rFonts w:ascii="Gotham Book" w:hAnsi="Gotham Book" w:cs="Arial"/>
        </w:rPr>
        <w:t>ed</w:t>
      </w:r>
      <w:r w:rsidRPr="004A3983">
        <w:rPr>
          <w:rFonts w:ascii="Gotham Book" w:hAnsi="Gotham Book" w:cs="Arial"/>
        </w:rPr>
        <w:t xml:space="preserve"> that if its recommendations were adopted, ‘a further review of the Registry after 12 months should be undertaken to assess the effectiveness of the recommendations and consider whether further action is required’.</w:t>
      </w:r>
      <w:r w:rsidRPr="004A3983">
        <w:rPr>
          <w:rStyle w:val="FootnoteReference"/>
          <w:rFonts w:ascii="Gotham Book" w:hAnsi="Gotham Book" w:cs="Arial"/>
        </w:rPr>
        <w:footnoteReference w:id="318"/>
      </w:r>
      <w:r w:rsidRPr="004A3983">
        <w:rPr>
          <w:rFonts w:ascii="Gotham Book" w:hAnsi="Gotham Book" w:cs="Arial"/>
        </w:rPr>
        <w:t xml:space="preserve"> </w:t>
      </w:r>
    </w:p>
    <w:p w14:paraId="5F986F0C" w14:textId="08FAAA17" w:rsidR="00CB3A56" w:rsidRPr="004A3983" w:rsidRDefault="00467258" w:rsidP="00AD44AE">
      <w:pPr>
        <w:pStyle w:val="Heading3"/>
        <w:spacing w:after="160"/>
        <w:ind w:right="-2"/>
      </w:pPr>
      <w:bookmarkStart w:id="317" w:name="_Toc22627792"/>
      <w:bookmarkStart w:id="318" w:name="_Toc8913529"/>
      <w:bookmarkStart w:id="319" w:name="_Ref9249967"/>
      <w:bookmarkStart w:id="320" w:name="_Toc9428390"/>
      <w:bookmarkStart w:id="321" w:name="_Toc12020342"/>
      <w:bookmarkStart w:id="322" w:name="_Toc14790508"/>
      <w:bookmarkStart w:id="323" w:name="_Toc15478391"/>
      <w:r w:rsidRPr="004A3983">
        <w:t>C</w:t>
      </w:r>
      <w:r w:rsidR="00325EB0" w:rsidRPr="004A3983">
        <w:t xml:space="preserve">onsequences of </w:t>
      </w:r>
      <w:r w:rsidR="00B31ADE" w:rsidRPr="004A3983">
        <w:t>i</w:t>
      </w:r>
      <w:r w:rsidR="00921C2C" w:rsidRPr="004A3983">
        <w:t>nadequat</w:t>
      </w:r>
      <w:r w:rsidR="00B31ADE" w:rsidRPr="004A3983">
        <w:t>e resources being allocated to the Register</w:t>
      </w:r>
      <w:bookmarkEnd w:id="317"/>
      <w:r w:rsidR="00B31ADE" w:rsidRPr="004A3983">
        <w:t xml:space="preserve"> </w:t>
      </w:r>
      <w:bookmarkEnd w:id="318"/>
      <w:bookmarkEnd w:id="319"/>
      <w:bookmarkEnd w:id="320"/>
      <w:bookmarkEnd w:id="321"/>
      <w:bookmarkEnd w:id="322"/>
      <w:bookmarkEnd w:id="323"/>
    </w:p>
    <w:p w14:paraId="01BF6C4E" w14:textId="07A854EE" w:rsidR="00325EB0" w:rsidRPr="004A3983" w:rsidRDefault="00325EB0" w:rsidP="00AD44AE">
      <w:pPr>
        <w:spacing w:after="160"/>
        <w:ind w:right="-2"/>
        <w:rPr>
          <w:rFonts w:ascii="Gotham Book" w:hAnsi="Gotham Book" w:cs="Arial"/>
        </w:rPr>
      </w:pPr>
      <w:r w:rsidRPr="004A3983">
        <w:rPr>
          <w:rFonts w:ascii="Gotham Book" w:hAnsi="Gotham Book" w:cs="Arial"/>
        </w:rPr>
        <w:t>The inadequate number of staff in the Registry has contributed to the significant error rate in Register case files. The fact that the Registry staff did not have sufficient capacity to conduct adequate quality assurance meant that errors were not identified and corrected.</w:t>
      </w:r>
      <w:r w:rsidR="00B57624" w:rsidRPr="004A3983">
        <w:rPr>
          <w:rFonts w:ascii="Gotham Book" w:hAnsi="Gotham Book" w:cs="Arial"/>
        </w:rPr>
        <w:t xml:space="preserve"> </w:t>
      </w:r>
      <w:r w:rsidRPr="004A3983">
        <w:rPr>
          <w:rFonts w:ascii="Gotham Book" w:hAnsi="Gotham Book" w:cs="Arial"/>
        </w:rPr>
        <w:t xml:space="preserve">The understaffing of the Registry has also had other consequences. </w:t>
      </w:r>
    </w:p>
    <w:p w14:paraId="476B53DB" w14:textId="3633108D" w:rsidR="00325EB0" w:rsidRPr="004A3983" w:rsidRDefault="00325EB0" w:rsidP="00AD44AE">
      <w:pPr>
        <w:pStyle w:val="Heading4"/>
        <w:ind w:right="-2"/>
      </w:pPr>
      <w:r w:rsidRPr="004A3983">
        <w:t xml:space="preserve">Limited capacity to perform and support policing strategies to assist with management of offenders </w:t>
      </w:r>
    </w:p>
    <w:p w14:paraId="3F921417" w14:textId="3EE10695" w:rsidR="00325EB0" w:rsidRPr="004A3983" w:rsidRDefault="00325EB0" w:rsidP="00AD44AE">
      <w:pPr>
        <w:spacing w:after="160"/>
        <w:ind w:right="-2"/>
        <w:rPr>
          <w:rFonts w:ascii="Gotham Book" w:hAnsi="Gotham Book" w:cs="Arial"/>
        </w:rPr>
      </w:pPr>
      <w:r w:rsidRPr="004A3983">
        <w:rPr>
          <w:rFonts w:ascii="Gotham Book" w:hAnsi="Gotham Book" w:cs="Arial"/>
        </w:rPr>
        <w:t xml:space="preserve">The </w:t>
      </w:r>
      <w:r w:rsidR="008702D6" w:rsidRPr="004A3983">
        <w:rPr>
          <w:rFonts w:ascii="Gotham Book" w:hAnsi="Gotham Book" w:cs="Arial"/>
        </w:rPr>
        <w:t>limited resources</w:t>
      </w:r>
      <w:r w:rsidRPr="004A3983">
        <w:rPr>
          <w:rFonts w:ascii="Gotham Book" w:hAnsi="Gotham Book" w:cs="Arial"/>
        </w:rPr>
        <w:t xml:space="preserve"> of the Registry has reduced its ability to undertake and assist local commands with ‘proactive’ policing strategies and other tasks relating to the management and monitoring of child sex offenders living in the community. The Registry has for a number of years had limited capacity to:</w:t>
      </w:r>
    </w:p>
    <w:p w14:paraId="07CC5637" w14:textId="01EEAA43" w:rsidR="00325EB0" w:rsidRPr="004A3983" w:rsidRDefault="00325EB0" w:rsidP="003018D6">
      <w:pPr>
        <w:pStyle w:val="ListBullet"/>
        <w:rPr>
          <w:rFonts w:cs="Arial"/>
        </w:rPr>
      </w:pPr>
      <w:r w:rsidRPr="004A3983">
        <w:rPr>
          <w:rFonts w:cs="Arial"/>
        </w:rPr>
        <w:t xml:space="preserve">Focus on tracking down registrable persons for whom the NSW Police Force does not have a current residential address (referred to as ‘Whereabouts Unknown’ persons). </w:t>
      </w:r>
      <w:r w:rsidRPr="004A3983">
        <w:t>The Register Staffing Review noted that there could be up to 20 ‘Whereabouts Unknown’ cases held by the Registry at any one time.</w:t>
      </w:r>
      <w:r w:rsidRPr="004A3983">
        <w:rPr>
          <w:rStyle w:val="FootnoteReference"/>
        </w:rPr>
        <w:footnoteReference w:id="319"/>
      </w:r>
    </w:p>
    <w:p w14:paraId="2FF7E980" w14:textId="36ECE34D" w:rsidR="00325EB0" w:rsidRPr="004A3983" w:rsidRDefault="00325EB0" w:rsidP="003018D6">
      <w:pPr>
        <w:pStyle w:val="ListBullet"/>
        <w:rPr>
          <w:rFonts w:cs="Arial"/>
        </w:rPr>
      </w:pPr>
      <w:r w:rsidRPr="004A3983">
        <w:rPr>
          <w:rFonts w:cs="Arial"/>
        </w:rPr>
        <w:t>Respond to requests from officers in local commands to support and attend home inspections under s 16C of the CPOR Act</w:t>
      </w:r>
      <w:r w:rsidRPr="004A3983">
        <w:t>.</w:t>
      </w:r>
      <w:r w:rsidRPr="004A3983">
        <w:rPr>
          <w:vertAlign w:val="superscript"/>
        </w:rPr>
        <w:footnoteReference w:id="320"/>
      </w:r>
      <w:r w:rsidRPr="004A3983">
        <w:t xml:space="preserve"> These inspections enable police to confirm information reported by registrable persons, and detect breaches of reporting </w:t>
      </w:r>
      <w:r w:rsidRPr="004A3983" w:rsidDel="00437F83">
        <w:t>obligations</w:t>
      </w:r>
      <w:r w:rsidRPr="004A3983">
        <w:t>. The potential for these powers to be exercised is an incentive for registrable persons to comply with their reporting obligations and provide accurate information.</w:t>
      </w:r>
    </w:p>
    <w:p w14:paraId="3BCBF47B" w14:textId="178C2073" w:rsidR="00325EB0" w:rsidRPr="004A3983" w:rsidRDefault="00325EB0" w:rsidP="003018D6">
      <w:pPr>
        <w:pStyle w:val="ListBullet"/>
        <w:rPr>
          <w:rFonts w:cs="Arial"/>
        </w:rPr>
      </w:pPr>
      <w:r w:rsidRPr="004A3983">
        <w:lastRenderedPageBreak/>
        <w:t>Educate and support officers in local commands to collect the DNA of registrable persons.</w:t>
      </w:r>
      <w:r w:rsidRPr="004A3983">
        <w:rPr>
          <w:rStyle w:val="FootnoteReference"/>
        </w:rPr>
        <w:footnoteReference w:id="321"/>
      </w:r>
      <w:r w:rsidRPr="004A3983">
        <w:t xml:space="preserve"> The NSW Police Force has the power to take buccal swabs and other, non-intimate forensic DNA samp</w:t>
      </w:r>
      <w:r w:rsidR="00E3753E" w:rsidRPr="004A3983">
        <w:t>les from registrable persons who have</w:t>
      </w:r>
      <w:r w:rsidRPr="004A3983">
        <w:t xml:space="preserve"> reporting obligations under the CPOR Act, if their DNA is not already in the database.</w:t>
      </w:r>
      <w:r w:rsidRPr="004A3983">
        <w:rPr>
          <w:rStyle w:val="FootnoteReference"/>
        </w:rPr>
        <w:footnoteReference w:id="322"/>
      </w:r>
      <w:r w:rsidRPr="004A3983">
        <w:t xml:space="preserve"> NSW Police Force policy requires that for all registrable persons, a DNA sample should be collected.</w:t>
      </w:r>
      <w:r w:rsidRPr="004A3983">
        <w:rPr>
          <w:vertAlign w:val="superscript"/>
        </w:rPr>
        <w:footnoteReference w:id="323"/>
      </w:r>
      <w:r w:rsidRPr="004A3983">
        <w:t xml:space="preserve"> As of 31 December 2018 there were 71 ‘untested</w:t>
      </w:r>
      <w:r w:rsidR="005E4F33" w:rsidRPr="004A3983">
        <w:t xml:space="preserve"> registrable persons’ across New South Wales</w:t>
      </w:r>
      <w:r w:rsidRPr="004A3983">
        <w:t>.</w:t>
      </w:r>
      <w:r w:rsidRPr="004A3983">
        <w:rPr>
          <w:rStyle w:val="FootnoteReference"/>
        </w:rPr>
        <w:footnoteReference w:id="324"/>
      </w:r>
    </w:p>
    <w:p w14:paraId="2AF093D0" w14:textId="4E5F72D5" w:rsidR="00325EB0" w:rsidRPr="004A3983" w:rsidRDefault="00325EB0" w:rsidP="003018D6">
      <w:pPr>
        <w:pStyle w:val="ListBullet"/>
        <w:rPr>
          <w:rFonts w:cs="Arial"/>
        </w:rPr>
      </w:pPr>
      <w:r w:rsidRPr="004A3983">
        <w:t xml:space="preserve">Educate and support officers in local commands to successfully apply for child protection prohibition orders for high risk registrable persons under the </w:t>
      </w:r>
      <w:r w:rsidRPr="004A3983">
        <w:rPr>
          <w:i/>
        </w:rPr>
        <w:t xml:space="preserve">Child Protection (Offenders Prohibition Orders) Act 2004 </w:t>
      </w:r>
      <w:r w:rsidRPr="004A3983">
        <w:t xml:space="preserve">(NSW). </w:t>
      </w:r>
      <w:r w:rsidR="000B37E3" w:rsidRPr="004A3983">
        <w:t>Child protection p</w:t>
      </w:r>
      <w:r w:rsidRPr="004A3983">
        <w:t>rohibition orders can prohibit a registrable person from associating with or contacting certain persons, being in certain locations, or engaging in specified behaviour.</w:t>
      </w:r>
      <w:r w:rsidRPr="004A3983">
        <w:rPr>
          <w:rStyle w:val="FootnoteReference"/>
        </w:rPr>
        <w:footnoteReference w:id="325"/>
      </w:r>
      <w:r w:rsidRPr="004A3983">
        <w:t xml:space="preserve"> The Register Staffing Review noted that prohibition orders were ‘effective but severely underutilised’.</w:t>
      </w:r>
      <w:r w:rsidRPr="004A3983">
        <w:rPr>
          <w:rStyle w:val="FootnoteReference"/>
        </w:rPr>
        <w:footnoteReference w:id="326"/>
      </w:r>
      <w:r w:rsidR="00DC5AAA" w:rsidRPr="004A3983">
        <w:t xml:space="preserve"> I</w:t>
      </w:r>
      <w:r w:rsidRPr="004A3983">
        <w:t xml:space="preserve">n June 2018 there were 865 extreme or high risk registrable offenders in NSW, but only 138 registrable persons were subject to </w:t>
      </w:r>
      <w:r w:rsidR="0050153A" w:rsidRPr="004A3983">
        <w:t xml:space="preserve">child protection </w:t>
      </w:r>
      <w:r w:rsidRPr="004A3983">
        <w:t>prohibition orders.</w:t>
      </w:r>
      <w:r w:rsidRPr="004A3983">
        <w:rPr>
          <w:rStyle w:val="FootnoteReference"/>
        </w:rPr>
        <w:footnoteReference w:id="327"/>
      </w:r>
    </w:p>
    <w:p w14:paraId="00543ED9" w14:textId="012C5AEE" w:rsidR="00325EB0" w:rsidRPr="004A3983" w:rsidRDefault="00325EB0" w:rsidP="003018D6">
      <w:pPr>
        <w:pStyle w:val="ListBullet"/>
        <w:rPr>
          <w:rFonts w:cs="Arial"/>
        </w:rPr>
      </w:pPr>
      <w:r w:rsidRPr="004A3983">
        <w:t>Support and participate in Child Protection Watc</w:t>
      </w:r>
      <w:r w:rsidR="000D1410" w:rsidRPr="004A3983">
        <w:t>h Teams (CPWTs). CPWTs are multi</w:t>
      </w:r>
      <w:r w:rsidRPr="004A3983">
        <w:t>-agency teams which meet to develop int</w:t>
      </w:r>
      <w:r w:rsidR="000D1410" w:rsidRPr="004A3983">
        <w:t xml:space="preserve">eragency case management plans to </w:t>
      </w:r>
      <w:r w:rsidR="000D1410" w:rsidRPr="004A3983">
        <w:rPr>
          <w:rFonts w:cs="Arial"/>
        </w:rPr>
        <w:t>minimise</w:t>
      </w:r>
      <w:r w:rsidRPr="004A3983">
        <w:rPr>
          <w:rFonts w:cs="Arial"/>
        </w:rPr>
        <w:t xml:space="preserve"> the risk that extreme or high risk registrable persons pose to the community.</w:t>
      </w:r>
      <w:r w:rsidRPr="004A3983">
        <w:rPr>
          <w:rStyle w:val="FootnoteReference"/>
          <w:rFonts w:cs="Arial"/>
        </w:rPr>
        <w:footnoteReference w:id="328"/>
      </w:r>
      <w:r w:rsidRPr="004A3983">
        <w:rPr>
          <w:rFonts w:cs="Arial"/>
        </w:rPr>
        <w:t xml:space="preserve"> The three main agencies in the CPWTs are the NSW Police Force, Corrective Services NSW, and Family and Community Services NSW</w:t>
      </w:r>
      <w:r w:rsidRPr="004A3983">
        <w:t>.</w:t>
      </w:r>
      <w:r w:rsidRPr="004A3983">
        <w:rPr>
          <w:rStyle w:val="FootnoteReference"/>
          <w:rFonts w:cs="Swiss721BT-Light"/>
        </w:rPr>
        <w:footnoteReference w:id="329"/>
      </w:r>
      <w:r w:rsidRPr="004A3983">
        <w:rPr>
          <w:rFonts w:cs="Arial"/>
        </w:rPr>
        <w:t xml:space="preserve"> Historically, </w:t>
      </w:r>
      <w:r w:rsidRPr="004A3983">
        <w:t xml:space="preserve">Registry officers were the key point of contact for the other </w:t>
      </w:r>
      <w:r w:rsidRPr="004A3983">
        <w:lastRenderedPageBreak/>
        <w:t>agencies and led the administration of the CPWTs.</w:t>
      </w:r>
      <w:r w:rsidRPr="004A3983">
        <w:rPr>
          <w:rStyle w:val="FootnoteReference"/>
        </w:rPr>
        <w:footnoteReference w:id="330"/>
      </w:r>
      <w:r w:rsidRPr="004A3983">
        <w:t xml:space="preserve"> However, in 2016 Registry officers reported that they were unable to devote the time needed to properly support the CPWTs due to increasing workload.</w:t>
      </w:r>
      <w:r w:rsidRPr="004A3983">
        <w:rPr>
          <w:rStyle w:val="FootnoteReference"/>
        </w:rPr>
        <w:footnoteReference w:id="331"/>
      </w:r>
      <w:r w:rsidRPr="004A3983">
        <w:rPr>
          <w:rFonts w:cs="Arial"/>
        </w:rPr>
        <w:t xml:space="preserve"> </w:t>
      </w:r>
      <w:r w:rsidRPr="004A3983">
        <w:t>In December 2016 approval was given for the Registry to suspend its involvement with the CPWTs so it could focus on more critical functions.</w:t>
      </w:r>
      <w:r w:rsidRPr="004A3983">
        <w:rPr>
          <w:rStyle w:val="FootnoteReference"/>
          <w:rFonts w:cs="Swiss721BT-Light"/>
        </w:rPr>
        <w:footnoteReference w:id="332"/>
      </w:r>
      <w:r w:rsidRPr="004A3983">
        <w:t xml:space="preserve"> In December 2018 the NSW Police Force informed the Commission that the ‘full capabilities’ of the CPWTs were still not enabled, and would not be until the Registry received ‘full staff allocations’ and dedicated positions were allocated </w:t>
      </w:r>
      <w:r w:rsidR="00CE7878" w:rsidRPr="004A3983">
        <w:t>to the local commands across New South Wales</w:t>
      </w:r>
      <w:r w:rsidRPr="004A3983">
        <w:t>.</w:t>
      </w:r>
      <w:r w:rsidRPr="004A3983">
        <w:rPr>
          <w:rStyle w:val="FootnoteReference"/>
          <w:rFonts w:cs="Swiss721BT-Light"/>
        </w:rPr>
        <w:footnoteReference w:id="333"/>
      </w:r>
      <w:r w:rsidRPr="004A3983">
        <w:t xml:space="preserve"> </w:t>
      </w:r>
    </w:p>
    <w:p w14:paraId="5BD1D97B" w14:textId="51D1130F" w:rsidR="00325EB0" w:rsidRPr="004A3983" w:rsidRDefault="002F2E13" w:rsidP="00AD44AE">
      <w:pPr>
        <w:pStyle w:val="Heading4"/>
        <w:ind w:right="-2"/>
      </w:pPr>
      <w:r w:rsidRPr="004A3983">
        <w:t>Inability to meet the demand by police officers for training about the Register</w:t>
      </w:r>
    </w:p>
    <w:p w14:paraId="2DDACD23" w14:textId="49B8793B" w:rsidR="002F2E13" w:rsidRPr="004A3983" w:rsidRDefault="002F2E13" w:rsidP="00AD44AE">
      <w:pPr>
        <w:spacing w:after="160"/>
        <w:ind w:right="-2"/>
        <w:rPr>
          <w:rFonts w:ascii="Gotham Book" w:hAnsi="Gotham Book"/>
        </w:rPr>
      </w:pPr>
      <w:r w:rsidRPr="004A3983">
        <w:rPr>
          <w:rFonts w:ascii="Gotham Book" w:hAnsi="Gotham Book"/>
        </w:rPr>
        <w:t xml:space="preserve">Provision of training on the CPOR Act is another important function that the Registry has not had adequate capacity to perform until very recently. </w:t>
      </w:r>
    </w:p>
    <w:p w14:paraId="1DB0A307" w14:textId="7D19EE66" w:rsidR="002F2E13" w:rsidRPr="004A3983" w:rsidRDefault="002F2E13" w:rsidP="00AD44AE">
      <w:pPr>
        <w:spacing w:after="160"/>
        <w:ind w:right="-2"/>
        <w:rPr>
          <w:rFonts w:ascii="Gotham Book" w:hAnsi="Gotham Book"/>
        </w:rPr>
      </w:pPr>
      <w:r w:rsidRPr="004A3983">
        <w:rPr>
          <w:rFonts w:ascii="Gotham Book" w:hAnsi="Gotham Book"/>
        </w:rPr>
        <w:t>The NSW Ombudsman in its review of the CPOR Act in 2005 emphasised the importance of the NSW Police Force giving officers training about the Register, and recommended that the NSW</w:t>
      </w:r>
      <w:r w:rsidR="00F02F2F" w:rsidRPr="004A3983">
        <w:rPr>
          <w:rFonts w:ascii="Gotham Book" w:hAnsi="Gotham Book"/>
        </w:rPr>
        <w:t xml:space="preserve"> </w:t>
      </w:r>
      <w:r w:rsidRPr="004A3983">
        <w:rPr>
          <w:rFonts w:ascii="Gotham Book" w:hAnsi="Gotham Book"/>
        </w:rPr>
        <w:t>P</w:t>
      </w:r>
      <w:r w:rsidR="00F02F2F" w:rsidRPr="004A3983">
        <w:rPr>
          <w:rFonts w:ascii="Gotham Book" w:hAnsi="Gotham Book"/>
        </w:rPr>
        <w:t xml:space="preserve">olice </w:t>
      </w:r>
      <w:r w:rsidRPr="004A3983">
        <w:rPr>
          <w:rFonts w:ascii="Gotham Book" w:hAnsi="Gotham Book"/>
        </w:rPr>
        <w:t>F</w:t>
      </w:r>
      <w:r w:rsidR="00F02F2F" w:rsidRPr="004A3983">
        <w:rPr>
          <w:rFonts w:ascii="Gotham Book" w:hAnsi="Gotham Book"/>
        </w:rPr>
        <w:t>orce</w:t>
      </w:r>
      <w:r w:rsidRPr="004A3983">
        <w:rPr>
          <w:rFonts w:ascii="Gotham Book" w:hAnsi="Gotham Book"/>
        </w:rPr>
        <w:t xml:space="preserve"> ‘ensure adequate training and information is available to all police officers about the Register’.</w:t>
      </w:r>
      <w:r w:rsidRPr="004A3983">
        <w:rPr>
          <w:rStyle w:val="FootnoteReference"/>
          <w:rFonts w:ascii="Gotham Book" w:hAnsi="Gotham Book"/>
        </w:rPr>
        <w:footnoteReference w:id="334"/>
      </w:r>
      <w:r w:rsidRPr="004A3983">
        <w:rPr>
          <w:rFonts w:ascii="Gotham Book" w:hAnsi="Gotham Book"/>
        </w:rPr>
        <w:t xml:space="preserve"> However, due to workload issues, the Registry has struggled to provide the training needed.</w:t>
      </w:r>
      <w:r w:rsidR="00846F8C" w:rsidRPr="004A3983">
        <w:rPr>
          <w:rFonts w:ascii="Gotham Book" w:hAnsi="Gotham Book"/>
        </w:rPr>
        <w:t xml:space="preserve"> </w:t>
      </w:r>
    </w:p>
    <w:p w14:paraId="1C6B02A3" w14:textId="17C575C5" w:rsidR="002F2E13" w:rsidRPr="004A3983" w:rsidRDefault="002F2E13" w:rsidP="00AD44AE">
      <w:pPr>
        <w:spacing w:after="160"/>
        <w:ind w:right="-2"/>
        <w:rPr>
          <w:rFonts w:ascii="Gotham Book" w:hAnsi="Gotham Book"/>
        </w:rPr>
      </w:pPr>
      <w:r w:rsidRPr="004A3983">
        <w:rPr>
          <w:rFonts w:ascii="Gotham Book" w:hAnsi="Gotham Book"/>
        </w:rPr>
        <w:t>The Workforce Intelligence Unit in its Register Staffing Review in 2017 noted that ‘officers are operating without sufficient training’, and that the Registry was unable to meet the high demand for training due to lack of capacity.</w:t>
      </w:r>
      <w:r w:rsidRPr="004A3983">
        <w:rPr>
          <w:rStyle w:val="FootnoteReference"/>
          <w:rFonts w:ascii="Gotham Book" w:hAnsi="Gotham Book"/>
        </w:rPr>
        <w:footnoteReference w:id="335"/>
      </w:r>
      <w:r w:rsidR="009A2C0A" w:rsidRPr="004A3983">
        <w:rPr>
          <w:rFonts w:ascii="Gotham Book" w:hAnsi="Gotham Book"/>
        </w:rPr>
        <w:t xml:space="preserve"> </w:t>
      </w:r>
      <w:r w:rsidRPr="004A3983">
        <w:rPr>
          <w:rFonts w:ascii="Gotham Book" w:hAnsi="Gotham Book"/>
        </w:rPr>
        <w:t>This was despite the fact that the Registry had developed two training courses, and provided training to 1,982 people between 2014 and 2017.</w:t>
      </w:r>
      <w:r w:rsidRPr="004A3983">
        <w:rPr>
          <w:rStyle w:val="FootnoteReference"/>
          <w:rFonts w:ascii="Gotham Book" w:hAnsi="Gotham Book"/>
        </w:rPr>
        <w:footnoteReference w:id="336"/>
      </w:r>
      <w:r w:rsidRPr="004A3983">
        <w:rPr>
          <w:rFonts w:ascii="Gotham Book" w:hAnsi="Gotham Book"/>
        </w:rPr>
        <w:t xml:space="preserve">  The Register Staffing Review also noted that being able to provide training on the CPOR Act to external agencies is ‘critical to the Registry’, given how heavily the Registry relies on the processes of others to </w:t>
      </w:r>
      <w:r w:rsidRPr="004A3983">
        <w:rPr>
          <w:rFonts w:ascii="Gotham Book" w:hAnsi="Gotham Book"/>
        </w:rPr>
        <w:lastRenderedPageBreak/>
        <w:t xml:space="preserve">implement the Act (this is discussed further in </w:t>
      </w:r>
      <w:r w:rsidR="00D302DA" w:rsidRPr="004A3983">
        <w:rPr>
          <w:rFonts w:ascii="Gotham Book" w:hAnsi="Gotham Book"/>
        </w:rPr>
        <w:t xml:space="preserve">Chapter </w:t>
      </w:r>
      <w:r w:rsidR="00D302DA" w:rsidRPr="004A3983">
        <w:rPr>
          <w:rFonts w:ascii="Gotham Book" w:hAnsi="Gotham Book"/>
        </w:rPr>
        <w:fldChar w:fldCharType="begin"/>
      </w:r>
      <w:r w:rsidR="00D302DA" w:rsidRPr="004A3983">
        <w:rPr>
          <w:rFonts w:ascii="Gotham Book" w:hAnsi="Gotham Book"/>
        </w:rPr>
        <w:instrText xml:space="preserve"> REF _Ref9350160 \r \h </w:instrText>
      </w:r>
      <w:r w:rsidR="00FB7F9A" w:rsidRPr="004A3983">
        <w:rPr>
          <w:rFonts w:ascii="Gotham Book" w:hAnsi="Gotham Book"/>
        </w:rPr>
        <w:instrText xml:space="preserve"> \* MERGEFORMAT </w:instrText>
      </w:r>
      <w:r w:rsidR="00D302DA" w:rsidRPr="004A3983">
        <w:rPr>
          <w:rFonts w:ascii="Gotham Book" w:hAnsi="Gotham Book"/>
        </w:rPr>
      </w:r>
      <w:r w:rsidR="00D302DA" w:rsidRPr="004A3983">
        <w:rPr>
          <w:rFonts w:ascii="Gotham Book" w:hAnsi="Gotham Book"/>
        </w:rPr>
        <w:fldChar w:fldCharType="separate"/>
      </w:r>
      <w:r w:rsidR="00022664">
        <w:rPr>
          <w:rFonts w:ascii="Gotham Book" w:hAnsi="Gotham Book" w:hint="cs"/>
          <w:cs/>
        </w:rPr>
        <w:t>‎</w:t>
      </w:r>
      <w:r w:rsidR="00022664">
        <w:rPr>
          <w:rFonts w:ascii="Gotham Book" w:hAnsi="Gotham Book"/>
        </w:rPr>
        <w:t>7</w:t>
      </w:r>
      <w:r w:rsidR="00D302DA" w:rsidRPr="004A3983">
        <w:rPr>
          <w:rFonts w:ascii="Gotham Book" w:hAnsi="Gotham Book"/>
        </w:rPr>
        <w:fldChar w:fldCharType="end"/>
      </w:r>
      <w:r w:rsidRPr="004A3983">
        <w:rPr>
          <w:rFonts w:ascii="Gotham Book" w:hAnsi="Gotham Book"/>
        </w:rPr>
        <w:t>).</w:t>
      </w:r>
      <w:r w:rsidRPr="004A3983">
        <w:rPr>
          <w:rStyle w:val="FootnoteReference"/>
          <w:rFonts w:ascii="Gotham Book" w:hAnsi="Gotham Book"/>
        </w:rPr>
        <w:footnoteReference w:id="337"/>
      </w:r>
      <w:r w:rsidR="00FB7F9A" w:rsidRPr="004A3983">
        <w:rPr>
          <w:rFonts w:ascii="Gotham Book" w:hAnsi="Gotham Book"/>
        </w:rPr>
        <w:t xml:space="preserve"> In July 2017</w:t>
      </w:r>
      <w:r w:rsidRPr="004A3983">
        <w:rPr>
          <w:rFonts w:ascii="Gotham Book" w:hAnsi="Gotham Book"/>
        </w:rPr>
        <w:t xml:space="preserve"> the Workforce Intelligence Unit recommended that </w:t>
      </w:r>
      <w:r w:rsidR="00FB7F9A" w:rsidRPr="004A3983">
        <w:rPr>
          <w:rFonts w:ascii="Gotham Book" w:hAnsi="Gotham Book"/>
        </w:rPr>
        <w:t xml:space="preserve">a full-time training officer at the level of Sergeant </w:t>
      </w:r>
      <w:r w:rsidRPr="004A3983">
        <w:rPr>
          <w:rFonts w:ascii="Gotham Book" w:hAnsi="Gotham Book"/>
        </w:rPr>
        <w:t>should be added to the Registry.</w:t>
      </w:r>
      <w:r w:rsidRPr="004A3983">
        <w:rPr>
          <w:rStyle w:val="FootnoteReference"/>
          <w:rFonts w:ascii="Gotham Book" w:hAnsi="Gotham Book"/>
        </w:rPr>
        <w:footnoteReference w:id="338"/>
      </w:r>
      <w:r w:rsidRPr="004A3983">
        <w:rPr>
          <w:rFonts w:ascii="Gotham Book" w:hAnsi="Gotham Book"/>
        </w:rPr>
        <w:t xml:space="preserve"> </w:t>
      </w:r>
    </w:p>
    <w:p w14:paraId="117F0AE1" w14:textId="147191A7" w:rsidR="002F2E13" w:rsidRPr="004A3983" w:rsidRDefault="002F2E13" w:rsidP="00AD44AE">
      <w:pPr>
        <w:pStyle w:val="Heading4"/>
        <w:ind w:right="-2"/>
      </w:pPr>
      <w:r w:rsidRPr="004A3983">
        <w:t>Impact on the welfare of Registry officers</w:t>
      </w:r>
    </w:p>
    <w:p w14:paraId="27A18ED1" w14:textId="17802C49" w:rsidR="002F2E13" w:rsidRPr="004A3983" w:rsidRDefault="002F2E13" w:rsidP="00AD44AE">
      <w:pPr>
        <w:spacing w:after="160"/>
        <w:ind w:right="-2"/>
        <w:rPr>
          <w:rFonts w:ascii="Gotham Book" w:hAnsi="Gotham Book"/>
        </w:rPr>
      </w:pPr>
      <w:r w:rsidRPr="004A3983">
        <w:rPr>
          <w:rFonts w:ascii="Gotham Book" w:hAnsi="Gotham Book"/>
        </w:rPr>
        <w:t>The fact that the workload of the Registry has grown considerably over time without a proportionate increase in staff has had a negative impact on the wellbeing of Registry staff.</w:t>
      </w:r>
    </w:p>
    <w:p w14:paraId="7BF0B673" w14:textId="77777777" w:rsidR="002F2E13" w:rsidRPr="004A3983" w:rsidRDefault="002F2E13" w:rsidP="00AD44AE">
      <w:pPr>
        <w:spacing w:after="160"/>
        <w:ind w:right="-2"/>
        <w:rPr>
          <w:rFonts w:ascii="Gotham Book" w:hAnsi="Gotham Book"/>
        </w:rPr>
      </w:pPr>
      <w:r w:rsidRPr="004A3983">
        <w:rPr>
          <w:rFonts w:ascii="Gotham Book" w:hAnsi="Gotham Book"/>
        </w:rPr>
        <w:t>In June 2016 the Registry Manager reported concerns that ‘whilst Registry staff members are currently “coping” with the quantity of workload and other demands of the Registry, the current workload and structure are beginning to take its toll on staff members.’</w:t>
      </w:r>
      <w:r w:rsidRPr="004A3983">
        <w:rPr>
          <w:rStyle w:val="FootnoteReference"/>
          <w:rFonts w:ascii="Gotham Book" w:hAnsi="Gotham Book"/>
        </w:rPr>
        <w:footnoteReference w:id="339"/>
      </w:r>
      <w:r w:rsidRPr="004A3983">
        <w:rPr>
          <w:rFonts w:ascii="Gotham Book" w:hAnsi="Gotham Book"/>
        </w:rPr>
        <w:t xml:space="preserve"> Concerns about declining staff welfare were also raised in three internal reports in 2016.</w:t>
      </w:r>
      <w:r w:rsidRPr="004A3983">
        <w:rPr>
          <w:rStyle w:val="FootnoteReference"/>
          <w:rFonts w:ascii="Gotham Book" w:hAnsi="Gotham Book"/>
        </w:rPr>
        <w:footnoteReference w:id="340"/>
      </w:r>
      <w:r w:rsidRPr="004A3983">
        <w:rPr>
          <w:rFonts w:ascii="Gotham Book" w:hAnsi="Gotham Book"/>
        </w:rPr>
        <w:t xml:space="preserve"> </w:t>
      </w:r>
    </w:p>
    <w:p w14:paraId="5C944167" w14:textId="77777777" w:rsidR="002F2E13" w:rsidRPr="004A3983" w:rsidRDefault="002F2E13" w:rsidP="00AD44AE">
      <w:pPr>
        <w:spacing w:before="240" w:after="160"/>
        <w:ind w:right="-2"/>
        <w:rPr>
          <w:rFonts w:ascii="Gotham Book" w:hAnsi="Gotham Book"/>
        </w:rPr>
      </w:pPr>
      <w:r w:rsidRPr="004A3983">
        <w:rPr>
          <w:rFonts w:ascii="Gotham Book" w:hAnsi="Gotham Book"/>
        </w:rPr>
        <w:t>In 2017 the Commander of the (then) Sex Crimes Squad submitted a number of internal reports requesting that ‘urgent consideration’ be given to recommendations in the Register Staffing Review ‘at the first available opportunity’. The Commander quoted a report from the ‘Chief Police Psychologist’ that:</w:t>
      </w:r>
    </w:p>
    <w:p w14:paraId="4BCDB5AE" w14:textId="36AC9FD9" w:rsidR="002F2E13" w:rsidRPr="004A3983" w:rsidRDefault="002F2E13" w:rsidP="003018D6">
      <w:pPr>
        <w:pStyle w:val="Quotesmall1cm"/>
      </w:pPr>
      <w:r w:rsidRPr="004A3983">
        <w:t>Police psychologists who see [Registry] personnel on a quarterly basis have raised this high workload and the impact on staff with me. The general feedback from the CPR staff over many months has been that people are not coping with the demand, and that stress levels are unhealth</w:t>
      </w:r>
      <w:r w:rsidR="00AC0BDC" w:rsidRPr="004A3983">
        <w:t>il</w:t>
      </w:r>
      <w:r w:rsidRPr="004A3983">
        <w:t>y high.</w:t>
      </w:r>
      <w:r w:rsidRPr="004A3983">
        <w:rPr>
          <w:rStyle w:val="FootnoteReference"/>
        </w:rPr>
        <w:footnoteReference w:id="341"/>
      </w:r>
      <w:r w:rsidRPr="004A3983">
        <w:t xml:space="preserve"> </w:t>
      </w:r>
    </w:p>
    <w:p w14:paraId="2DBFBCE3" w14:textId="5FD4E88D" w:rsidR="002F2E13" w:rsidRPr="004A3983" w:rsidRDefault="002F2E13" w:rsidP="00AD44AE">
      <w:pPr>
        <w:spacing w:after="160"/>
        <w:ind w:right="-2"/>
        <w:rPr>
          <w:rFonts w:ascii="Gotham Book" w:hAnsi="Gotham Book"/>
        </w:rPr>
      </w:pPr>
      <w:r w:rsidRPr="004A3983">
        <w:rPr>
          <w:rFonts w:ascii="Gotham Book" w:hAnsi="Gotham Book"/>
        </w:rPr>
        <w:t>The Workforce Intelligence Unit noted that one of the risks for the NSW Police Force identified in its Register Staffing Review was the risk to the health of Registry staff.</w:t>
      </w:r>
      <w:r w:rsidRPr="004A3983">
        <w:rPr>
          <w:rStyle w:val="FootnoteReference"/>
          <w:rFonts w:ascii="Gotham Book" w:hAnsi="Gotham Book"/>
        </w:rPr>
        <w:footnoteReference w:id="342"/>
      </w:r>
      <w:r w:rsidRPr="004A3983">
        <w:rPr>
          <w:rFonts w:ascii="Gotham Book" w:hAnsi="Gotham Book"/>
        </w:rPr>
        <w:t xml:space="preserve"> Registry staff reported that the volume of work was having a greater negative impact on their welfare, including the development of psychological injuries,</w:t>
      </w:r>
      <w:r w:rsidR="007C25CB" w:rsidRPr="004A3983">
        <w:rPr>
          <w:rFonts w:ascii="Gotham Book" w:hAnsi="Gotham Book"/>
        </w:rPr>
        <w:t xml:space="preserve"> than the nature of their work</w:t>
      </w:r>
      <w:r w:rsidRPr="004A3983">
        <w:rPr>
          <w:rFonts w:ascii="Gotham Book" w:hAnsi="Gotham Book" w:cs="Arial"/>
        </w:rPr>
        <w:t>.</w:t>
      </w:r>
      <w:r w:rsidRPr="004A3983">
        <w:rPr>
          <w:rStyle w:val="FootnoteReference"/>
          <w:rFonts w:ascii="Gotham Book" w:hAnsi="Gotham Book" w:cs="Arial"/>
        </w:rPr>
        <w:footnoteReference w:id="343"/>
      </w:r>
      <w:r w:rsidRPr="004A3983">
        <w:rPr>
          <w:rFonts w:ascii="Gotham Book" w:hAnsi="Gotham Book" w:cs="Arial"/>
        </w:rPr>
        <w:t xml:space="preserve"> </w:t>
      </w:r>
      <w:r w:rsidRPr="004A3983">
        <w:rPr>
          <w:rFonts w:ascii="Gotham Book" w:hAnsi="Gotham Book"/>
        </w:rPr>
        <w:t>The Register Staffing Review highlight</w:t>
      </w:r>
      <w:r w:rsidR="004B1270" w:rsidRPr="004A3983">
        <w:rPr>
          <w:rFonts w:ascii="Gotham Book" w:hAnsi="Gotham Book"/>
        </w:rPr>
        <w:t>ed</w:t>
      </w:r>
      <w:r w:rsidRPr="004A3983">
        <w:rPr>
          <w:rFonts w:ascii="Gotham Book" w:hAnsi="Gotham Book"/>
        </w:rPr>
        <w:t xml:space="preserve"> that the Registry </w:t>
      </w:r>
      <w:r w:rsidR="00702EB2" w:rsidRPr="004A3983">
        <w:rPr>
          <w:rFonts w:ascii="Gotham Book" w:hAnsi="Gotham Book"/>
        </w:rPr>
        <w:lastRenderedPageBreak/>
        <w:t>had</w:t>
      </w:r>
      <w:r w:rsidR="008D2504" w:rsidRPr="004A3983">
        <w:rPr>
          <w:rFonts w:ascii="Gotham Book" w:hAnsi="Gotham Book"/>
        </w:rPr>
        <w:t xml:space="preserve"> lost two s</w:t>
      </w:r>
      <w:r w:rsidRPr="004A3983">
        <w:rPr>
          <w:rFonts w:ascii="Gotham Book" w:hAnsi="Gotham Book"/>
        </w:rPr>
        <w:t>ergeants in two years due to workers compensation claims</w:t>
      </w:r>
      <w:r w:rsidR="004B1270" w:rsidRPr="004A3983">
        <w:rPr>
          <w:rFonts w:ascii="Gotham Book" w:hAnsi="Gotham Book"/>
        </w:rPr>
        <w:t>,</w:t>
      </w:r>
      <w:r w:rsidRPr="004A3983">
        <w:rPr>
          <w:rFonts w:ascii="Gotham Book" w:hAnsi="Gotham Book"/>
        </w:rPr>
        <w:t xml:space="preserve"> </w:t>
      </w:r>
      <w:r w:rsidR="00794664" w:rsidRPr="004A3983">
        <w:rPr>
          <w:rFonts w:ascii="Gotham Book" w:hAnsi="Gotham Book"/>
        </w:rPr>
        <w:t>both of whom</w:t>
      </w:r>
      <w:r w:rsidR="00603793" w:rsidRPr="004A3983">
        <w:rPr>
          <w:rFonts w:ascii="Gotham Book" w:hAnsi="Gotham Book"/>
        </w:rPr>
        <w:t xml:space="preserve"> cited workload as a reason.</w:t>
      </w:r>
      <w:r w:rsidRPr="004A3983">
        <w:rPr>
          <w:rStyle w:val="FootnoteReference"/>
          <w:rFonts w:ascii="Gotham Book" w:hAnsi="Gotham Book"/>
        </w:rPr>
        <w:footnoteReference w:id="344"/>
      </w:r>
      <w:r w:rsidRPr="004A3983">
        <w:rPr>
          <w:rFonts w:ascii="Gotham Book" w:hAnsi="Gotham Book"/>
        </w:rPr>
        <w:t xml:space="preserve"> </w:t>
      </w:r>
      <w:r w:rsidRPr="004A3983">
        <w:rPr>
          <w:rFonts w:ascii="Gotham Book" w:hAnsi="Gotham Book" w:cs="Arial"/>
        </w:rPr>
        <w:t>The Register Staffing Review warn</w:t>
      </w:r>
      <w:r w:rsidR="00702EB2" w:rsidRPr="004A3983">
        <w:rPr>
          <w:rFonts w:ascii="Gotham Book" w:hAnsi="Gotham Book" w:cs="Arial"/>
        </w:rPr>
        <w:t>ed</w:t>
      </w:r>
      <w:r w:rsidRPr="004A3983">
        <w:rPr>
          <w:rFonts w:ascii="Gotham Book" w:hAnsi="Gotham Book" w:cs="Arial"/>
        </w:rPr>
        <w:t xml:space="preserve"> that:</w:t>
      </w:r>
    </w:p>
    <w:p w14:paraId="2BFCB46F" w14:textId="0FBA08DA" w:rsidR="002F2E13" w:rsidRPr="004A3983" w:rsidRDefault="002F2E13" w:rsidP="003018D6">
      <w:pPr>
        <w:pStyle w:val="Quotesmall1cm"/>
      </w:pPr>
      <w:r w:rsidRPr="004A3983">
        <w:t>With an increasing volume of work, it is reasonable to expect there will be more staff with psychological injuries and on Worker's Compensation leave, which will impact on the Registry's ability to function, as well as impacting the welfare of its staff.</w:t>
      </w:r>
      <w:r w:rsidRPr="004A3983">
        <w:rPr>
          <w:rStyle w:val="FootnoteReference"/>
        </w:rPr>
        <w:footnoteReference w:id="345"/>
      </w:r>
    </w:p>
    <w:p w14:paraId="5BC33619" w14:textId="0C612FCC" w:rsidR="002F2E13" w:rsidRPr="004A3983" w:rsidRDefault="002F2E13" w:rsidP="00AD44AE">
      <w:pPr>
        <w:spacing w:after="160"/>
        <w:ind w:right="-2"/>
        <w:rPr>
          <w:rFonts w:ascii="Gotham Book" w:hAnsi="Gotham Book"/>
        </w:rPr>
      </w:pPr>
      <w:r w:rsidRPr="004A3983">
        <w:rPr>
          <w:rFonts w:ascii="Gotham Book" w:hAnsi="Gotham Book"/>
        </w:rPr>
        <w:t xml:space="preserve">The </w:t>
      </w:r>
      <w:r w:rsidR="004B1270" w:rsidRPr="004A3983">
        <w:rPr>
          <w:rFonts w:ascii="Gotham Book" w:hAnsi="Gotham Book"/>
        </w:rPr>
        <w:t>Workforce Intelligence Unit</w:t>
      </w:r>
      <w:r w:rsidRPr="004A3983">
        <w:rPr>
          <w:rFonts w:ascii="Gotham Book" w:hAnsi="Gotham Book"/>
        </w:rPr>
        <w:t xml:space="preserve"> also recognised that the nature of the Registry’s work can have an impact on the wellbeing of staff over time. </w:t>
      </w:r>
      <w:r w:rsidR="004B1270" w:rsidRPr="004A3983">
        <w:rPr>
          <w:rFonts w:ascii="Gotham Book" w:hAnsi="Gotham Book"/>
        </w:rPr>
        <w:t xml:space="preserve">The Unit </w:t>
      </w:r>
      <w:r w:rsidRPr="004A3983">
        <w:rPr>
          <w:rFonts w:ascii="Gotham Book" w:hAnsi="Gotham Book"/>
        </w:rPr>
        <w:t>noted that dealing with child sex offenders and ‘constant exposure to disturbing materials’ forces Registry officers to develop coping mechanisms.</w:t>
      </w:r>
      <w:r w:rsidRPr="004A3983">
        <w:rPr>
          <w:rStyle w:val="FootnoteReference"/>
          <w:rFonts w:ascii="Gotham Book" w:hAnsi="Gotham Book"/>
        </w:rPr>
        <w:footnoteReference w:id="346"/>
      </w:r>
      <w:r w:rsidRPr="004A3983">
        <w:rPr>
          <w:rFonts w:ascii="Gotham Book" w:hAnsi="Gotham Book"/>
        </w:rPr>
        <w:t xml:space="preserve"> Some staff reported that their psychological issues were manifesting in physical symptoms.</w:t>
      </w:r>
      <w:r w:rsidRPr="004A3983">
        <w:rPr>
          <w:rStyle w:val="FootnoteReference"/>
          <w:rFonts w:ascii="Gotham Book" w:hAnsi="Gotham Book"/>
        </w:rPr>
        <w:footnoteReference w:id="347"/>
      </w:r>
      <w:r w:rsidRPr="004A3983">
        <w:rPr>
          <w:rFonts w:ascii="Gotham Book" w:hAnsi="Gotham Book"/>
        </w:rPr>
        <w:t xml:space="preserve"> </w:t>
      </w:r>
    </w:p>
    <w:p w14:paraId="5BD0EE92" w14:textId="1BC61198" w:rsidR="002F2E13" w:rsidRPr="004A3983" w:rsidRDefault="002F2E13" w:rsidP="00AD44AE">
      <w:pPr>
        <w:spacing w:after="160"/>
        <w:ind w:right="-2"/>
        <w:rPr>
          <w:rFonts w:ascii="Gotham Book" w:hAnsi="Gotham Book"/>
        </w:rPr>
      </w:pPr>
      <w:r w:rsidRPr="004A3983">
        <w:rPr>
          <w:rFonts w:ascii="Gotham Book" w:hAnsi="Gotham Book"/>
        </w:rPr>
        <w:t>The commentary and recommendations in the Register Staffing Review regarding the risk</w:t>
      </w:r>
      <w:r w:rsidR="00891276" w:rsidRPr="004A3983">
        <w:rPr>
          <w:rFonts w:ascii="Gotham Book" w:hAnsi="Gotham Book"/>
        </w:rPr>
        <w:t>s</w:t>
      </w:r>
      <w:r w:rsidRPr="004A3983">
        <w:rPr>
          <w:rFonts w:ascii="Gotham Book" w:hAnsi="Gotham Book"/>
        </w:rPr>
        <w:t xml:space="preserve"> to staff wellbeing are consistent with comments from the </w:t>
      </w:r>
      <w:r w:rsidR="00891276" w:rsidRPr="004A3983">
        <w:rPr>
          <w:rFonts w:ascii="Gotham Book" w:hAnsi="Gotham Book"/>
        </w:rPr>
        <w:t xml:space="preserve">Commonwealth </w:t>
      </w:r>
      <w:r w:rsidRPr="004A3983">
        <w:rPr>
          <w:rFonts w:ascii="Gotham Book" w:hAnsi="Gotham Book"/>
        </w:rPr>
        <w:t>Royal Commission into Institutional Responses to Child Sexual Abuse. The Royal Commission emphasised that exposure to personal accounts of child sexual abuse, and particularly over long periods of time, can have a significant impact on staff, including the risk of vicarious trauma.</w:t>
      </w:r>
      <w:r w:rsidRPr="004A3983">
        <w:rPr>
          <w:rStyle w:val="FootnoteReference"/>
          <w:rFonts w:ascii="Gotham Book" w:hAnsi="Gotham Book"/>
        </w:rPr>
        <w:footnoteReference w:id="348"/>
      </w:r>
      <w:r w:rsidRPr="004A3983">
        <w:rPr>
          <w:rFonts w:ascii="Gotham Book" w:hAnsi="Gotham Book"/>
        </w:rPr>
        <w:t xml:space="preserve"> The Royal Commission viewed the risk of its own staff suffering vicarious trauma as a significant risk to </w:t>
      </w:r>
      <w:r w:rsidR="00342BCA" w:rsidRPr="004A3983">
        <w:rPr>
          <w:rFonts w:ascii="Gotham Book" w:hAnsi="Gotham Book"/>
        </w:rPr>
        <w:t>its</w:t>
      </w:r>
      <w:r w:rsidRPr="004A3983">
        <w:rPr>
          <w:rFonts w:ascii="Gotham Book" w:hAnsi="Gotham Book"/>
        </w:rPr>
        <w:t xml:space="preserve"> ability to complete its work, and therefore put in place a ‘comprehensive staff support framework’.</w:t>
      </w:r>
      <w:r w:rsidRPr="004A3983">
        <w:rPr>
          <w:rStyle w:val="FootnoteReference"/>
          <w:rFonts w:ascii="Gotham Book" w:hAnsi="Gotham Book"/>
        </w:rPr>
        <w:footnoteReference w:id="349"/>
      </w:r>
    </w:p>
    <w:p w14:paraId="1820F3F0" w14:textId="1B6970B0" w:rsidR="00E74704" w:rsidRPr="004A3983" w:rsidRDefault="00342BCA" w:rsidP="00AD44AE">
      <w:pPr>
        <w:spacing w:after="160"/>
        <w:ind w:right="-2"/>
        <w:rPr>
          <w:rFonts w:ascii="Gotham Book" w:hAnsi="Gotham Book"/>
        </w:rPr>
      </w:pPr>
      <w:r w:rsidRPr="004A3983">
        <w:rPr>
          <w:rFonts w:ascii="Gotham Book" w:hAnsi="Gotham Book"/>
        </w:rPr>
        <w:t xml:space="preserve">The Workforce Intelligence Unit </w:t>
      </w:r>
      <w:r w:rsidR="002F2E13" w:rsidRPr="004A3983">
        <w:rPr>
          <w:rFonts w:ascii="Gotham Book" w:hAnsi="Gotham Book"/>
        </w:rPr>
        <w:t>noted that the welfare of Registry staff is monitored through welfare checks with a psychologist every three months, and psychological testing.</w:t>
      </w:r>
      <w:r w:rsidR="002F2E13" w:rsidRPr="004A3983">
        <w:rPr>
          <w:rStyle w:val="FootnoteReference"/>
          <w:rFonts w:ascii="Gotham Book" w:hAnsi="Gotham Book"/>
        </w:rPr>
        <w:footnoteReference w:id="350"/>
      </w:r>
      <w:r w:rsidR="002F2E13" w:rsidRPr="004A3983">
        <w:rPr>
          <w:rFonts w:ascii="Gotham Book" w:hAnsi="Gotham Book"/>
        </w:rPr>
        <w:t xml:space="preserve"> </w:t>
      </w:r>
      <w:r w:rsidRPr="004A3983">
        <w:rPr>
          <w:rFonts w:ascii="Gotham Book" w:hAnsi="Gotham Book"/>
        </w:rPr>
        <w:t xml:space="preserve">It </w:t>
      </w:r>
      <w:r w:rsidR="002F2E13" w:rsidRPr="004A3983">
        <w:rPr>
          <w:rFonts w:ascii="Gotham Book" w:hAnsi="Gotham Book"/>
        </w:rPr>
        <w:t>recommended that to further reduce the risks to staff welfare, Registry staff be given a break from the confronting nature of their work, through the NSW Police Force adopting a similar rotation and tenure policy for the Registry as for the (then) Child Abuse Squad.</w:t>
      </w:r>
      <w:r w:rsidR="002F2E13" w:rsidRPr="004A3983">
        <w:rPr>
          <w:rStyle w:val="FootnoteReference"/>
          <w:rFonts w:ascii="Gotham Book" w:hAnsi="Gotham Book"/>
        </w:rPr>
        <w:footnoteReference w:id="351"/>
      </w:r>
      <w:r w:rsidR="002F2E13" w:rsidRPr="004A3983">
        <w:rPr>
          <w:rFonts w:ascii="Gotham Book" w:hAnsi="Gotham Book"/>
        </w:rPr>
        <w:t xml:space="preserve"> </w:t>
      </w:r>
      <w:r w:rsidR="00E74704" w:rsidRPr="004A3983">
        <w:t>It stated this would reduce the risk of negative impacts on the mental health of Registry staff caused by repeated exposure to confronting material about child sexual abuse.</w:t>
      </w:r>
      <w:r w:rsidR="00E74704" w:rsidRPr="004A3983">
        <w:rPr>
          <w:rStyle w:val="FootnoteReference"/>
          <w:rFonts w:ascii="Gotham Book" w:hAnsi="Gotham Book"/>
        </w:rPr>
        <w:footnoteReference w:id="352"/>
      </w:r>
      <w:r w:rsidR="00E74704" w:rsidRPr="004A3983">
        <w:t xml:space="preserve"> </w:t>
      </w:r>
    </w:p>
    <w:p w14:paraId="65A8B696" w14:textId="64C15979" w:rsidR="002F2E13" w:rsidRPr="004A3983" w:rsidRDefault="0044435F" w:rsidP="00007DF9">
      <w:pPr>
        <w:pStyle w:val="Heading2"/>
        <w:spacing w:after="160"/>
        <w:ind w:right="-2"/>
      </w:pPr>
      <w:bookmarkStart w:id="324" w:name="_Toc22627793"/>
      <w:bookmarkStart w:id="325" w:name="_Toc8913530"/>
      <w:bookmarkStart w:id="326" w:name="_Toc9428391"/>
      <w:bookmarkStart w:id="327" w:name="_Toc12020343"/>
      <w:bookmarkStart w:id="328" w:name="_Toc14790509"/>
      <w:bookmarkStart w:id="329" w:name="_Toc15478392"/>
      <w:r w:rsidRPr="004A3983">
        <w:t>Additional resources given to the</w:t>
      </w:r>
      <w:r w:rsidR="009A2F8F" w:rsidRPr="004A3983">
        <w:t xml:space="preserve"> Registry since </w:t>
      </w:r>
      <w:r w:rsidR="00921C2C" w:rsidRPr="004A3983">
        <w:t>Register Staffing R</w:t>
      </w:r>
      <w:r w:rsidR="00ED7577" w:rsidRPr="004A3983">
        <w:t xml:space="preserve">eview and </w:t>
      </w:r>
      <w:r w:rsidR="009224A0" w:rsidRPr="004A3983">
        <w:t>commenc</w:t>
      </w:r>
      <w:r w:rsidR="00333643">
        <w:t>e</w:t>
      </w:r>
      <w:r w:rsidR="009224A0" w:rsidRPr="004A3983">
        <w:t>ment of Operation T</w:t>
      </w:r>
      <w:r w:rsidRPr="004A3983">
        <w:t>usket</w:t>
      </w:r>
      <w:bookmarkEnd w:id="324"/>
      <w:r w:rsidRPr="004A3983">
        <w:t xml:space="preserve"> </w:t>
      </w:r>
      <w:bookmarkEnd w:id="325"/>
      <w:bookmarkEnd w:id="326"/>
      <w:bookmarkEnd w:id="327"/>
      <w:bookmarkEnd w:id="328"/>
      <w:bookmarkEnd w:id="329"/>
    </w:p>
    <w:p w14:paraId="37A623CE" w14:textId="3CEA3C3D" w:rsidR="00A11A83" w:rsidRPr="004A3983" w:rsidRDefault="009A2F8F" w:rsidP="00AD44AE">
      <w:pPr>
        <w:spacing w:after="160"/>
        <w:ind w:right="-2"/>
        <w:rPr>
          <w:rFonts w:ascii="Gotham Book" w:hAnsi="Gotham Book" w:cs="Arial"/>
        </w:rPr>
      </w:pPr>
      <w:r w:rsidRPr="004A3983">
        <w:rPr>
          <w:rFonts w:ascii="Gotham Book" w:hAnsi="Gotham Book" w:cs="Arial"/>
        </w:rPr>
        <w:t xml:space="preserve">In December 2017, the NSW Police Force restructured the State Crime Command as part of a broader re-engineering of the NSW Police Force. Through that process </w:t>
      </w:r>
      <w:r w:rsidR="0082225E" w:rsidRPr="004A3983">
        <w:rPr>
          <w:rFonts w:ascii="Gotham Book" w:hAnsi="Gotham Book" w:cs="Arial"/>
        </w:rPr>
        <w:lastRenderedPageBreak/>
        <w:t xml:space="preserve">eight sworn officer </w:t>
      </w:r>
      <w:r w:rsidR="00ED7577" w:rsidRPr="004A3983">
        <w:rPr>
          <w:rFonts w:ascii="Gotham Book" w:hAnsi="Gotham Book" w:cs="Arial"/>
        </w:rPr>
        <w:t xml:space="preserve">positions </w:t>
      </w:r>
      <w:r w:rsidRPr="004A3983">
        <w:rPr>
          <w:rFonts w:ascii="Gotham Book" w:hAnsi="Gotham Book" w:cs="Arial"/>
        </w:rPr>
        <w:t>were added to the Registry</w:t>
      </w:r>
      <w:r w:rsidR="003C528A" w:rsidRPr="004A3983">
        <w:rPr>
          <w:rFonts w:ascii="Gotham Book" w:hAnsi="Gotham Book" w:cs="Arial"/>
        </w:rPr>
        <w:t xml:space="preserve"> (out of 1</w:t>
      </w:r>
      <w:r w:rsidR="00BE0C73" w:rsidRPr="004A3983">
        <w:rPr>
          <w:rFonts w:ascii="Gotham Book" w:hAnsi="Gotham Book" w:cs="Arial"/>
        </w:rPr>
        <w:t>1 sworn positions recommended in</w:t>
      </w:r>
      <w:r w:rsidR="003C528A" w:rsidRPr="004A3983">
        <w:rPr>
          <w:rFonts w:ascii="Gotham Book" w:hAnsi="Gotham Book" w:cs="Arial"/>
        </w:rPr>
        <w:t xml:space="preserve"> the Register Staffing Review)</w:t>
      </w:r>
      <w:r w:rsidRPr="004A3983">
        <w:rPr>
          <w:rFonts w:ascii="Gotham Book" w:hAnsi="Gotham Book" w:cs="Arial"/>
        </w:rPr>
        <w:t>.</w:t>
      </w:r>
      <w:r w:rsidRPr="004A3983">
        <w:rPr>
          <w:rStyle w:val="FootnoteReference"/>
          <w:rFonts w:ascii="Gotham Book" w:hAnsi="Gotham Book" w:cs="Arial"/>
        </w:rPr>
        <w:footnoteReference w:id="353"/>
      </w:r>
      <w:r w:rsidRPr="004A3983">
        <w:rPr>
          <w:rFonts w:ascii="Gotham Book" w:hAnsi="Gotham Book" w:cs="Arial"/>
        </w:rPr>
        <w:t xml:space="preserve"> </w:t>
      </w:r>
    </w:p>
    <w:p w14:paraId="1B40837F" w14:textId="6C0EC146" w:rsidR="00A11A83" w:rsidRPr="004A3983" w:rsidRDefault="00A418C9" w:rsidP="00AD44AE">
      <w:pPr>
        <w:spacing w:after="160"/>
        <w:ind w:right="-2"/>
        <w:rPr>
          <w:rFonts w:ascii="Gotham Book" w:hAnsi="Gotham Book" w:cs="Arial"/>
        </w:rPr>
      </w:pPr>
      <w:r w:rsidRPr="004A3983">
        <w:rPr>
          <w:rFonts w:ascii="Gotham Book" w:hAnsi="Gotham Book" w:cs="Arial"/>
        </w:rPr>
        <w:t>The Commission provided an</w:t>
      </w:r>
      <w:r w:rsidR="00A11A83" w:rsidRPr="004A3983">
        <w:rPr>
          <w:rFonts w:ascii="Gotham Book" w:hAnsi="Gotham Book" w:cs="Arial"/>
        </w:rPr>
        <w:t xml:space="preserve"> </w:t>
      </w:r>
      <w:r w:rsidR="00756C7C" w:rsidRPr="004A3983">
        <w:rPr>
          <w:rFonts w:ascii="Gotham Book" w:hAnsi="Gotham Book" w:cs="Arial"/>
        </w:rPr>
        <w:t>interim report on Operation Tusket</w:t>
      </w:r>
      <w:r w:rsidR="00A11A83" w:rsidRPr="004A3983">
        <w:rPr>
          <w:rFonts w:ascii="Gotham Book" w:hAnsi="Gotham Book" w:cs="Arial"/>
        </w:rPr>
        <w:t xml:space="preserve"> to the </w:t>
      </w:r>
      <w:r w:rsidRPr="004A3983">
        <w:rPr>
          <w:rFonts w:ascii="Gotham Book" w:hAnsi="Gotham Book" w:cs="Arial"/>
        </w:rPr>
        <w:t>NSW Police Force in August 2018. In that report</w:t>
      </w:r>
      <w:r w:rsidR="00A11A83" w:rsidRPr="004A3983">
        <w:rPr>
          <w:rFonts w:ascii="Gotham Book" w:hAnsi="Gotham Book" w:cs="Arial"/>
        </w:rPr>
        <w:t xml:space="preserve"> </w:t>
      </w:r>
      <w:r w:rsidR="00871040" w:rsidRPr="004A3983">
        <w:rPr>
          <w:rFonts w:ascii="Gotham Book" w:hAnsi="Gotham Book" w:cs="Arial"/>
        </w:rPr>
        <w:t>the Commission recommended that, as a minimum, the NSW Police Force should urgently allocate to the Registry the re</w:t>
      </w:r>
      <w:r w:rsidR="008F6B4B" w:rsidRPr="004A3983">
        <w:rPr>
          <w:rFonts w:ascii="Gotham Book" w:hAnsi="Gotham Book" w:cs="Arial"/>
        </w:rPr>
        <w:t>maining positions recommended in</w:t>
      </w:r>
      <w:r w:rsidR="00871040" w:rsidRPr="004A3983">
        <w:rPr>
          <w:rFonts w:ascii="Gotham Book" w:hAnsi="Gotham Book" w:cs="Arial"/>
        </w:rPr>
        <w:t xml:space="preserve"> the Register Staffing Review, including a dedicated legal officer position. We suggested that the NSW Police Force should </w:t>
      </w:r>
      <w:r w:rsidR="001325FD" w:rsidRPr="004A3983">
        <w:rPr>
          <w:rFonts w:ascii="Gotham Book" w:hAnsi="Gotham Book" w:cs="Arial"/>
        </w:rPr>
        <w:t xml:space="preserve">also </w:t>
      </w:r>
      <w:r w:rsidR="00871040" w:rsidRPr="004A3983">
        <w:rPr>
          <w:rFonts w:ascii="Gotham Book" w:hAnsi="Gotham Book" w:cs="Arial"/>
        </w:rPr>
        <w:t xml:space="preserve">consider </w:t>
      </w:r>
      <w:r w:rsidR="001325FD" w:rsidRPr="004A3983">
        <w:rPr>
          <w:rFonts w:ascii="Gotham Book" w:hAnsi="Gotham Book" w:cs="Arial"/>
        </w:rPr>
        <w:t xml:space="preserve">the feasibility of adding more officers than recommended </w:t>
      </w:r>
      <w:r w:rsidR="008F6B4B" w:rsidRPr="004A3983">
        <w:rPr>
          <w:rFonts w:ascii="Gotham Book" w:hAnsi="Gotham Book" w:cs="Arial"/>
        </w:rPr>
        <w:t>by</w:t>
      </w:r>
      <w:r w:rsidR="001325FD" w:rsidRPr="004A3983">
        <w:rPr>
          <w:rFonts w:ascii="Gotham Book" w:hAnsi="Gotham Book" w:cs="Arial"/>
        </w:rPr>
        <w:t xml:space="preserve"> </w:t>
      </w:r>
      <w:r w:rsidR="00EB0DA6" w:rsidRPr="004A3983">
        <w:rPr>
          <w:rFonts w:ascii="Gotham Book" w:hAnsi="Gotham Book" w:cs="Arial"/>
        </w:rPr>
        <w:t xml:space="preserve">the </w:t>
      </w:r>
      <w:r w:rsidR="008F6B4B" w:rsidRPr="004A3983">
        <w:rPr>
          <w:rFonts w:ascii="Gotham Book" w:hAnsi="Gotham Book" w:cs="Arial"/>
        </w:rPr>
        <w:t xml:space="preserve">Workforce Intelligence Unit, given its </w:t>
      </w:r>
      <w:r w:rsidR="00EB0DA6" w:rsidRPr="004A3983">
        <w:rPr>
          <w:rFonts w:ascii="Gotham Book" w:hAnsi="Gotham Book" w:cs="Arial"/>
        </w:rPr>
        <w:t xml:space="preserve">findings and the fact that the Registry’s functions had been expanded since </w:t>
      </w:r>
      <w:r w:rsidR="008F6B4B" w:rsidRPr="004A3983">
        <w:rPr>
          <w:rFonts w:ascii="Gotham Book" w:hAnsi="Gotham Book" w:cs="Arial"/>
        </w:rPr>
        <w:t>its</w:t>
      </w:r>
      <w:r w:rsidR="00EB0DA6" w:rsidRPr="004A3983">
        <w:rPr>
          <w:rFonts w:ascii="Gotham Book" w:hAnsi="Gotham Book" w:cs="Arial"/>
        </w:rPr>
        <w:t xml:space="preserve"> review had been completed.</w:t>
      </w:r>
    </w:p>
    <w:p w14:paraId="7EBE8548" w14:textId="77777777" w:rsidR="00271794" w:rsidRPr="004A3983" w:rsidRDefault="00EB0DA6" w:rsidP="00AD44AE">
      <w:pPr>
        <w:spacing w:after="160"/>
        <w:ind w:right="-2"/>
        <w:rPr>
          <w:rFonts w:ascii="Gotham Book" w:hAnsi="Gotham Book" w:cs="Arial"/>
        </w:rPr>
      </w:pPr>
      <w:r w:rsidRPr="004A3983">
        <w:rPr>
          <w:rFonts w:ascii="Gotham Book" w:hAnsi="Gotham Book" w:cs="Arial"/>
        </w:rPr>
        <w:t>In its response to our interim report, in October 2018 the NSW Police Force informed the Commission that</w:t>
      </w:r>
      <w:r w:rsidR="00271794" w:rsidRPr="004A3983">
        <w:rPr>
          <w:rFonts w:ascii="Gotham Book" w:hAnsi="Gotham Book" w:cs="Arial"/>
        </w:rPr>
        <w:t>:</w:t>
      </w:r>
    </w:p>
    <w:p w14:paraId="462BA6DC" w14:textId="5DE34FA1" w:rsidR="00271794" w:rsidRPr="003018D6" w:rsidRDefault="00271794" w:rsidP="003018D6">
      <w:pPr>
        <w:pStyle w:val="ListBullet"/>
      </w:pPr>
      <w:r w:rsidRPr="004A3983">
        <w:t xml:space="preserve">seven </w:t>
      </w:r>
      <w:r w:rsidRPr="003018D6">
        <w:t>of the</w:t>
      </w:r>
      <w:r w:rsidR="00A11A83" w:rsidRPr="003018D6">
        <w:t xml:space="preserve"> </w:t>
      </w:r>
      <w:r w:rsidR="00EB0DA6" w:rsidRPr="003018D6">
        <w:t xml:space="preserve">eight sworn </w:t>
      </w:r>
      <w:r w:rsidR="00A11A83" w:rsidRPr="003018D6">
        <w:t>positions</w:t>
      </w:r>
      <w:r w:rsidR="00EB0DA6" w:rsidRPr="003018D6">
        <w:t xml:space="preserve"> </w:t>
      </w:r>
      <w:r w:rsidRPr="003018D6">
        <w:t xml:space="preserve">that had been </w:t>
      </w:r>
      <w:r w:rsidR="00EB0DA6" w:rsidRPr="003018D6">
        <w:t>added to the Registry</w:t>
      </w:r>
      <w:r w:rsidRPr="003018D6">
        <w:t xml:space="preserve"> had been filled;</w:t>
      </w:r>
    </w:p>
    <w:p w14:paraId="5E74B20F" w14:textId="078C174B" w:rsidR="00271794" w:rsidRPr="003018D6" w:rsidRDefault="00271794" w:rsidP="003018D6">
      <w:pPr>
        <w:pStyle w:val="ListBullet"/>
      </w:pPr>
      <w:r w:rsidRPr="003018D6">
        <w:t xml:space="preserve">two unsworn (administrative) officers had been added to the Registry, as recommended by the </w:t>
      </w:r>
      <w:r w:rsidR="00C710ED" w:rsidRPr="003018D6">
        <w:t>Workforce Intelligence Unit</w:t>
      </w:r>
      <w:r w:rsidR="00EE6722" w:rsidRPr="003018D6">
        <w:t>, and</w:t>
      </w:r>
    </w:p>
    <w:p w14:paraId="00E7E3D6" w14:textId="53AB1C3F" w:rsidR="00271794" w:rsidRPr="004A3983" w:rsidRDefault="00F04CCC" w:rsidP="003018D6">
      <w:pPr>
        <w:pStyle w:val="ListBullet"/>
      </w:pPr>
      <w:r w:rsidRPr="003018D6">
        <w:t>an arrangement</w:t>
      </w:r>
      <w:r w:rsidRPr="004A3983">
        <w:t xml:space="preserve"> has been</w:t>
      </w:r>
      <w:r w:rsidR="00271794" w:rsidRPr="004A3983">
        <w:t xml:space="preserve"> </w:t>
      </w:r>
      <w:r w:rsidR="004A1E57" w:rsidRPr="004A3983">
        <w:t>made with the NSW Police Force</w:t>
      </w:r>
      <w:r w:rsidR="00271794" w:rsidRPr="004A3983">
        <w:t xml:space="preserve"> Prosecutions Command to ‘loan’ a full-time legal officer to the Registry.</w:t>
      </w:r>
      <w:r w:rsidR="00271794" w:rsidRPr="004A3983">
        <w:rPr>
          <w:rStyle w:val="FootnoteReference"/>
          <w:rFonts w:cs="Arial"/>
        </w:rPr>
        <w:footnoteReference w:id="354"/>
      </w:r>
    </w:p>
    <w:p w14:paraId="24C937FB" w14:textId="7DE7C353" w:rsidR="00580EF6" w:rsidRPr="004A3983" w:rsidRDefault="00EE6722" w:rsidP="00E91736">
      <w:pPr>
        <w:spacing w:after="160"/>
        <w:ind w:right="-2"/>
        <w:rPr>
          <w:rFonts w:ascii="Gotham Book" w:hAnsi="Gotham Book" w:cs="Arial"/>
        </w:rPr>
      </w:pPr>
      <w:r w:rsidRPr="004A3983">
        <w:rPr>
          <w:rFonts w:ascii="Gotham Book" w:hAnsi="Gotham Book" w:cs="Arial"/>
        </w:rPr>
        <w:t>In December 2018 the NSW Police Force advised that</w:t>
      </w:r>
      <w:r w:rsidR="004834CF" w:rsidRPr="004A3983">
        <w:rPr>
          <w:rFonts w:ascii="Gotham Book" w:hAnsi="Gotham Book" w:cs="Arial"/>
        </w:rPr>
        <w:t>, due to the eight new sworn positions, t</w:t>
      </w:r>
      <w:r w:rsidR="009A2F8F" w:rsidRPr="004A3983">
        <w:rPr>
          <w:rFonts w:ascii="Gotham Book" w:hAnsi="Gotham Book" w:cs="Arial"/>
        </w:rPr>
        <w:t>he Registry</w:t>
      </w:r>
      <w:r w:rsidR="004834CF" w:rsidRPr="004A3983">
        <w:rPr>
          <w:rFonts w:ascii="Gotham Book" w:hAnsi="Gotham Book" w:cs="Arial"/>
        </w:rPr>
        <w:t xml:space="preserve"> has been able</w:t>
      </w:r>
      <w:r w:rsidR="009A2F8F" w:rsidRPr="004A3983">
        <w:rPr>
          <w:rFonts w:ascii="Gotham Book" w:hAnsi="Gotham Book" w:cs="Arial"/>
        </w:rPr>
        <w:t xml:space="preserve"> to create a dedicated Training Officer role, and</w:t>
      </w:r>
      <w:r w:rsidR="003018D6">
        <w:rPr>
          <w:rFonts w:ascii="Gotham Book" w:hAnsi="Gotham Book" w:cs="Arial"/>
        </w:rPr>
        <w:t> </w:t>
      </w:r>
      <w:r w:rsidR="009A2F8F" w:rsidRPr="004A3983">
        <w:rPr>
          <w:rFonts w:ascii="Gotham Book" w:hAnsi="Gotham Book" w:cs="Arial"/>
        </w:rPr>
        <w:t>an Internal Quality Assurance Officer position.</w:t>
      </w:r>
      <w:r w:rsidR="009A2F8F" w:rsidRPr="004A3983">
        <w:rPr>
          <w:rStyle w:val="FootnoteReference"/>
          <w:rFonts w:ascii="Gotham Book" w:hAnsi="Gotham Book"/>
        </w:rPr>
        <w:footnoteReference w:id="355"/>
      </w:r>
      <w:r w:rsidR="00E91736" w:rsidRPr="004A3983">
        <w:rPr>
          <w:rFonts w:ascii="Gotham Book" w:hAnsi="Gotham Book" w:cs="Arial"/>
        </w:rPr>
        <w:t xml:space="preserve"> It also advised that a forensic psychologist had been</w:t>
      </w:r>
      <w:r w:rsidR="009A2F8F" w:rsidRPr="004A3983">
        <w:rPr>
          <w:rFonts w:ascii="Gotham Book" w:hAnsi="Gotham Book" w:cs="Arial"/>
        </w:rPr>
        <w:t xml:space="preserve"> allocated to the Registry in Octob</w:t>
      </w:r>
      <w:r w:rsidR="00E91736" w:rsidRPr="004A3983">
        <w:rPr>
          <w:rFonts w:ascii="Gotham Book" w:hAnsi="Gotham Book" w:cs="Arial"/>
        </w:rPr>
        <w:t>er 2018 for a three month trial.</w:t>
      </w:r>
      <w:r w:rsidR="009A2F8F" w:rsidRPr="004A3983">
        <w:rPr>
          <w:rStyle w:val="FootnoteReference"/>
          <w:rFonts w:ascii="Gotham Book" w:hAnsi="Gotham Book" w:cs="Arial"/>
        </w:rPr>
        <w:footnoteReference w:id="356"/>
      </w:r>
    </w:p>
    <w:p w14:paraId="050336FA" w14:textId="67B80EFD" w:rsidR="00945FE6" w:rsidRPr="004A3983" w:rsidRDefault="00E7006D" w:rsidP="00E91736">
      <w:pPr>
        <w:spacing w:after="160"/>
        <w:ind w:right="-2"/>
        <w:rPr>
          <w:rFonts w:ascii="Gotham Book" w:hAnsi="Gotham Book" w:cs="Arial"/>
        </w:rPr>
      </w:pPr>
      <w:r w:rsidRPr="004A3983">
        <w:rPr>
          <w:rFonts w:ascii="Gotham Book" w:hAnsi="Gotham Book" w:cs="Arial"/>
        </w:rPr>
        <w:t>I</w:t>
      </w:r>
      <w:r w:rsidR="007A6026" w:rsidRPr="004A3983">
        <w:rPr>
          <w:rFonts w:ascii="Gotham Book" w:hAnsi="Gotham Book" w:cs="Arial"/>
        </w:rPr>
        <w:t>n its response to the</w:t>
      </w:r>
      <w:r w:rsidR="00FC4BE8" w:rsidRPr="004A3983">
        <w:rPr>
          <w:rFonts w:ascii="Gotham Book" w:hAnsi="Gotham Book" w:cs="Arial"/>
        </w:rPr>
        <w:t xml:space="preserve"> draft of this final report, </w:t>
      </w:r>
      <w:r w:rsidR="00C516D8" w:rsidRPr="004A3983">
        <w:rPr>
          <w:rFonts w:ascii="Gotham Book" w:hAnsi="Gotham Book" w:cs="Arial"/>
        </w:rPr>
        <w:t xml:space="preserve">the </w:t>
      </w:r>
      <w:r w:rsidR="00FC4BE8" w:rsidRPr="004A3983">
        <w:rPr>
          <w:rFonts w:ascii="Gotham Book" w:hAnsi="Gotham Book" w:cs="Arial"/>
        </w:rPr>
        <w:t xml:space="preserve">NSW Police Force </w:t>
      </w:r>
      <w:r w:rsidR="00C516D8" w:rsidRPr="004A3983">
        <w:rPr>
          <w:rFonts w:ascii="Gotham Book" w:hAnsi="Gotham Book" w:cs="Arial"/>
        </w:rPr>
        <w:t>informed the Commission that the remaining three sworn posit</w:t>
      </w:r>
      <w:r w:rsidR="003213AB" w:rsidRPr="004A3983">
        <w:rPr>
          <w:rFonts w:ascii="Gotham Book" w:hAnsi="Gotham Book" w:cs="Arial"/>
        </w:rPr>
        <w:t xml:space="preserve">ions recommended by the </w:t>
      </w:r>
      <w:r w:rsidR="00577271" w:rsidRPr="004A3983">
        <w:rPr>
          <w:rFonts w:ascii="Gotham Book" w:hAnsi="Gotham Book" w:cs="Arial"/>
        </w:rPr>
        <w:t>Workforce Intelligence Unit</w:t>
      </w:r>
      <w:r w:rsidR="00C516D8" w:rsidRPr="004A3983">
        <w:rPr>
          <w:rFonts w:ascii="Gotham Book" w:hAnsi="Gotham Book" w:cs="Arial"/>
        </w:rPr>
        <w:t xml:space="preserve"> had been added to the Registry</w:t>
      </w:r>
      <w:r w:rsidR="00FC4BE8" w:rsidRPr="004A3983">
        <w:rPr>
          <w:rFonts w:ascii="Gotham Book" w:hAnsi="Gotham Book" w:cs="Arial"/>
        </w:rPr>
        <w:t xml:space="preserve"> in July 2019</w:t>
      </w:r>
      <w:r w:rsidR="00C516D8" w:rsidRPr="004A3983">
        <w:rPr>
          <w:rFonts w:ascii="Gotham Book" w:hAnsi="Gotham Book" w:cs="Arial"/>
        </w:rPr>
        <w:t>.</w:t>
      </w:r>
      <w:r w:rsidR="00C516D8" w:rsidRPr="004A3983">
        <w:rPr>
          <w:rStyle w:val="FootnoteReference"/>
          <w:rFonts w:ascii="Gotham Book" w:hAnsi="Gotham Book" w:cs="Arial"/>
        </w:rPr>
        <w:footnoteReference w:id="357"/>
      </w:r>
      <w:r w:rsidR="00FC4BE8" w:rsidRPr="004A3983">
        <w:rPr>
          <w:rFonts w:ascii="Gotham Book" w:hAnsi="Gotham Book" w:cs="Arial"/>
        </w:rPr>
        <w:t xml:space="preserve"> </w:t>
      </w:r>
      <w:r w:rsidRPr="004A3983">
        <w:rPr>
          <w:rFonts w:ascii="Gotham Book" w:hAnsi="Gotham Book" w:cs="Arial"/>
        </w:rPr>
        <w:t xml:space="preserve">Two of </w:t>
      </w:r>
      <w:r w:rsidRPr="004A3983">
        <w:rPr>
          <w:rFonts w:ascii="Gotham Book" w:hAnsi="Gotham Book" w:cs="Arial"/>
        </w:rPr>
        <w:lastRenderedPageBreak/>
        <w:t>the three positions had been filled by September 2019, and it was expected the remaining position would be filled in November 2019.</w:t>
      </w:r>
      <w:r w:rsidRPr="004A3983">
        <w:rPr>
          <w:rStyle w:val="FootnoteReference"/>
          <w:rFonts w:ascii="Gotham Book" w:hAnsi="Gotham Book" w:cs="Arial"/>
        </w:rPr>
        <w:footnoteReference w:id="358"/>
      </w:r>
      <w:r w:rsidR="00945FE6" w:rsidRPr="004A3983">
        <w:rPr>
          <w:rFonts w:ascii="Gotham Book" w:hAnsi="Gotham Book" w:cs="Arial"/>
        </w:rPr>
        <w:t xml:space="preserve"> </w:t>
      </w:r>
    </w:p>
    <w:p w14:paraId="70CE7596" w14:textId="64F3A88A" w:rsidR="00560DC3" w:rsidRPr="004A3983" w:rsidRDefault="005C00AE" w:rsidP="00E91736">
      <w:pPr>
        <w:spacing w:after="160"/>
        <w:ind w:right="-2"/>
        <w:rPr>
          <w:rFonts w:ascii="Gotham Book" w:hAnsi="Gotham Book" w:cs="Arial"/>
        </w:rPr>
      </w:pPr>
      <w:r w:rsidRPr="004A3983">
        <w:rPr>
          <w:rFonts w:ascii="Gotham Book" w:hAnsi="Gotham Book" w:cs="Arial"/>
        </w:rPr>
        <w:t xml:space="preserve">Since the start of Operation Tusket </w:t>
      </w:r>
      <w:r w:rsidR="009E6B9D" w:rsidRPr="004A3983">
        <w:rPr>
          <w:rFonts w:ascii="Gotham Book" w:hAnsi="Gotham Book" w:cs="Arial"/>
        </w:rPr>
        <w:t xml:space="preserve">the </w:t>
      </w:r>
      <w:r w:rsidR="004178F1" w:rsidRPr="004A3983">
        <w:rPr>
          <w:rFonts w:ascii="Gotham Book" w:hAnsi="Gotham Book" w:cs="Arial"/>
        </w:rPr>
        <w:t xml:space="preserve">NSW Police Force </w:t>
      </w:r>
      <w:r w:rsidR="009E6B9D" w:rsidRPr="004A3983">
        <w:rPr>
          <w:rFonts w:ascii="Gotham Book" w:hAnsi="Gotham Book" w:cs="Arial"/>
        </w:rPr>
        <w:t xml:space="preserve">has </w:t>
      </w:r>
      <w:r w:rsidRPr="004A3983">
        <w:rPr>
          <w:rFonts w:ascii="Gotham Book" w:hAnsi="Gotham Book" w:cs="Arial"/>
        </w:rPr>
        <w:t xml:space="preserve">therefore </w:t>
      </w:r>
      <w:r w:rsidR="009E6B9D" w:rsidRPr="004A3983">
        <w:rPr>
          <w:rFonts w:ascii="Gotham Book" w:hAnsi="Gotham Book" w:cs="Arial"/>
        </w:rPr>
        <w:t>added</w:t>
      </w:r>
      <w:r w:rsidR="00A61E4F" w:rsidRPr="004A3983">
        <w:rPr>
          <w:rFonts w:ascii="Gotham Book" w:hAnsi="Gotham Book" w:cs="Arial"/>
        </w:rPr>
        <w:t xml:space="preserve"> a</w:t>
      </w:r>
      <w:r w:rsidRPr="004A3983">
        <w:rPr>
          <w:rFonts w:ascii="Gotham Book" w:hAnsi="Gotham Book" w:cs="Arial"/>
        </w:rPr>
        <w:t xml:space="preserve"> total of</w:t>
      </w:r>
      <w:r w:rsidR="009E6B9D" w:rsidRPr="004A3983">
        <w:rPr>
          <w:rFonts w:ascii="Gotham Book" w:hAnsi="Gotham Book" w:cs="Arial"/>
        </w:rPr>
        <w:t xml:space="preserve"> 14 officers to </w:t>
      </w:r>
      <w:r w:rsidR="00945FE6" w:rsidRPr="004A3983">
        <w:rPr>
          <w:rFonts w:ascii="Gotham Book" w:hAnsi="Gotham Book" w:cs="Arial"/>
        </w:rPr>
        <w:t>the Registry</w:t>
      </w:r>
      <w:r w:rsidR="00422A31" w:rsidRPr="004A3983">
        <w:rPr>
          <w:rFonts w:ascii="Gotham Book" w:hAnsi="Gotham Book" w:cs="Arial"/>
        </w:rPr>
        <w:t>, doubling its size to 28 officers</w:t>
      </w:r>
      <w:r w:rsidR="00945FE6" w:rsidRPr="004A3983">
        <w:rPr>
          <w:rFonts w:ascii="Gotham Book" w:hAnsi="Gotham Book" w:cs="Arial"/>
        </w:rPr>
        <w:t>.</w:t>
      </w:r>
    </w:p>
    <w:p w14:paraId="52B5CFAA" w14:textId="0AB15B6C" w:rsidR="009C5631" w:rsidRPr="004A3983" w:rsidRDefault="002C1B06" w:rsidP="00E91736">
      <w:pPr>
        <w:spacing w:after="160"/>
        <w:ind w:right="-2"/>
        <w:rPr>
          <w:rFonts w:ascii="Gotham Book" w:hAnsi="Gotham Book" w:cs="Arial"/>
        </w:rPr>
      </w:pPr>
      <w:r w:rsidRPr="004A3983">
        <w:rPr>
          <w:rFonts w:ascii="Gotham Book" w:hAnsi="Gotham Book" w:cs="Arial"/>
        </w:rPr>
        <w:t xml:space="preserve">The NSW Police Force also informed the Commission that </w:t>
      </w:r>
      <w:r w:rsidR="004C1776" w:rsidRPr="004A3983">
        <w:rPr>
          <w:rFonts w:ascii="Gotham Book" w:hAnsi="Gotham Book" w:cs="Arial"/>
        </w:rPr>
        <w:t>although it did not support the recommendation made</w:t>
      </w:r>
      <w:r w:rsidR="00EE1F0E" w:rsidRPr="004A3983">
        <w:rPr>
          <w:rFonts w:ascii="Gotham Book" w:hAnsi="Gotham Book" w:cs="Arial"/>
        </w:rPr>
        <w:t xml:space="preserve"> in</w:t>
      </w:r>
      <w:r w:rsidR="004C1776" w:rsidRPr="004A3983">
        <w:rPr>
          <w:rFonts w:ascii="Gotham Book" w:hAnsi="Gotham Book" w:cs="Arial"/>
        </w:rPr>
        <w:t xml:space="preserve"> the Register Staffing Review to adopt a </w:t>
      </w:r>
      <w:r w:rsidR="00801EA4" w:rsidRPr="004A3983">
        <w:rPr>
          <w:rFonts w:ascii="Gotham Book" w:hAnsi="Gotham Book" w:cs="Arial"/>
        </w:rPr>
        <w:t>rotation and tenure policy</w:t>
      </w:r>
      <w:r w:rsidR="004C1776" w:rsidRPr="004A3983">
        <w:rPr>
          <w:rFonts w:ascii="Gotham Book" w:hAnsi="Gotham Book" w:cs="Arial"/>
        </w:rPr>
        <w:t xml:space="preserve"> for Registry staff, it would ‘continue to support the wellbeing of Registry staff through its well-check framework, the Employee Assistance Program, Peer Support Officers, ensuring annual leave is taken and rotations considered on a case by case basis.’</w:t>
      </w:r>
      <w:r w:rsidR="004C1776" w:rsidRPr="004A3983">
        <w:rPr>
          <w:rStyle w:val="FootnoteReference"/>
          <w:rFonts w:ascii="Gotham Book" w:hAnsi="Gotham Book" w:cs="Arial"/>
        </w:rPr>
        <w:footnoteReference w:id="359"/>
      </w:r>
    </w:p>
    <w:p w14:paraId="2F973B87" w14:textId="45F1F49F" w:rsidR="009A2F8F" w:rsidRPr="004A3983" w:rsidRDefault="002A0D33" w:rsidP="00AD44AE">
      <w:pPr>
        <w:pStyle w:val="Heading2"/>
        <w:spacing w:after="160"/>
        <w:ind w:right="-2"/>
      </w:pPr>
      <w:bookmarkStart w:id="330" w:name="_Ref9250595"/>
      <w:bookmarkStart w:id="331" w:name="_Toc22627794"/>
      <w:r w:rsidRPr="004A3983">
        <w:t xml:space="preserve">Introduction of authorised </w:t>
      </w:r>
      <w:r w:rsidR="009A2F8F" w:rsidRPr="004A3983">
        <w:t>dedicated officers to manage registrable persons</w:t>
      </w:r>
      <w:bookmarkEnd w:id="330"/>
      <w:bookmarkEnd w:id="331"/>
    </w:p>
    <w:p w14:paraId="644BF10B" w14:textId="464D6F4F" w:rsidR="00EA797A" w:rsidRPr="004A3983" w:rsidRDefault="00007DF9" w:rsidP="00AD44AE">
      <w:pPr>
        <w:spacing w:after="160"/>
        <w:ind w:right="-2"/>
        <w:rPr>
          <w:rFonts w:ascii="Gotham Book" w:hAnsi="Gotham Book" w:cs="ArialMT"/>
        </w:rPr>
      </w:pPr>
      <w:r w:rsidRPr="004A3983">
        <w:rPr>
          <w:rFonts w:ascii="Gotham Book" w:hAnsi="Gotham Book"/>
        </w:rPr>
        <w:t>In January 2018 the Registry Manager reported that t</w:t>
      </w:r>
      <w:r w:rsidR="00EA797A" w:rsidRPr="004A3983">
        <w:rPr>
          <w:rFonts w:ascii="Gotham Book" w:hAnsi="Gotham Book"/>
        </w:rPr>
        <w:t xml:space="preserve">he NSW Police Force </w:t>
      </w:r>
      <w:r w:rsidRPr="004A3983">
        <w:rPr>
          <w:rFonts w:ascii="Gotham Book" w:hAnsi="Gotham Book"/>
        </w:rPr>
        <w:t>had</w:t>
      </w:r>
      <w:r w:rsidR="00EA797A" w:rsidRPr="004A3983">
        <w:rPr>
          <w:rFonts w:ascii="Gotham Book" w:hAnsi="Gotham Book"/>
        </w:rPr>
        <w:t xml:space="preserve"> no ‘corporately-endorsed model’ for how local commands should manage registrable persons.</w:t>
      </w:r>
      <w:r w:rsidR="00EA797A" w:rsidRPr="004A3983">
        <w:rPr>
          <w:rStyle w:val="FootnoteReference"/>
          <w:rFonts w:ascii="Gotham Book" w:hAnsi="Gotham Book"/>
        </w:rPr>
        <w:footnoteReference w:id="360"/>
      </w:r>
      <w:r w:rsidR="009A5D3A" w:rsidRPr="004A3983">
        <w:rPr>
          <w:rFonts w:ascii="Gotham Book" w:hAnsi="Gotham Book"/>
        </w:rPr>
        <w:t xml:space="preserve"> In particular</w:t>
      </w:r>
      <w:r w:rsidRPr="004A3983">
        <w:rPr>
          <w:rFonts w:ascii="Gotham Book" w:hAnsi="Gotham Book"/>
        </w:rPr>
        <w:t>, there we</w:t>
      </w:r>
      <w:r w:rsidR="00EA797A" w:rsidRPr="004A3983">
        <w:rPr>
          <w:rFonts w:ascii="Gotham Book" w:hAnsi="Gotham Book"/>
        </w:rPr>
        <w:t>re no positions in authorised police numbers for dedicated officers in local commands to manage registrable persons (for example, like Crime Prevention Officers or Domestic Violence Liaison Officers).</w:t>
      </w:r>
      <w:r w:rsidR="00EA797A" w:rsidRPr="004A3983">
        <w:rPr>
          <w:rStyle w:val="FootnoteReference"/>
          <w:rFonts w:ascii="Gotham Book" w:hAnsi="Gotham Book"/>
        </w:rPr>
        <w:footnoteReference w:id="361"/>
      </w:r>
      <w:r w:rsidR="00EA797A" w:rsidRPr="004A3983">
        <w:rPr>
          <w:rFonts w:ascii="Gotham Book" w:hAnsi="Gotham Book"/>
        </w:rPr>
        <w:t xml:space="preserve"> The Registry Manager noted that, as a result, there are ‘</w:t>
      </w:r>
      <w:r w:rsidR="00EA797A" w:rsidRPr="004A3983">
        <w:rPr>
          <w:rFonts w:ascii="Gotham Book" w:hAnsi="Gotham Book" w:cs="ArialMT"/>
        </w:rPr>
        <w:t>many and varied approaches utilised by [local commands] to manage the Register and monitor Registrable Persons’.</w:t>
      </w:r>
      <w:r w:rsidR="00EA797A" w:rsidRPr="004A3983">
        <w:rPr>
          <w:rStyle w:val="FootnoteReference"/>
          <w:rFonts w:ascii="Gotham Book" w:hAnsi="Gotham Book" w:cs="ArialMT"/>
        </w:rPr>
        <w:footnoteReference w:id="362"/>
      </w:r>
    </w:p>
    <w:p w14:paraId="0AF9B86E" w14:textId="7731ECC4" w:rsidR="00B524CE" w:rsidRPr="004A3983" w:rsidRDefault="00B524CE" w:rsidP="00AD44AE">
      <w:pPr>
        <w:spacing w:after="160"/>
        <w:ind w:right="-2"/>
        <w:rPr>
          <w:rFonts w:ascii="Gotham Book" w:hAnsi="Gotham Book"/>
        </w:rPr>
      </w:pPr>
      <w:r w:rsidRPr="004A3983">
        <w:rPr>
          <w:rFonts w:ascii="Gotham Book" w:hAnsi="Gotham Book"/>
        </w:rPr>
        <w:t>The establishment of dedicated positions in local commands t</w:t>
      </w:r>
      <w:r w:rsidR="001142E8" w:rsidRPr="004A3983">
        <w:rPr>
          <w:rFonts w:ascii="Gotham Book" w:hAnsi="Gotham Book"/>
        </w:rPr>
        <w:t xml:space="preserve">o manage registrable persons </w:t>
      </w:r>
      <w:r w:rsidR="00964F91" w:rsidRPr="004A3983">
        <w:rPr>
          <w:rFonts w:ascii="Gotham Book" w:hAnsi="Gotham Book"/>
        </w:rPr>
        <w:t>was</w:t>
      </w:r>
      <w:r w:rsidRPr="004A3983">
        <w:rPr>
          <w:rFonts w:ascii="Gotham Book" w:hAnsi="Gotham Book"/>
        </w:rPr>
        <w:t xml:space="preserve"> recommended by two separate NSW Police Force Worki</w:t>
      </w:r>
      <w:r w:rsidR="001B0D9C" w:rsidRPr="004A3983">
        <w:rPr>
          <w:rFonts w:ascii="Gotham Book" w:hAnsi="Gotham Book"/>
        </w:rPr>
        <w:t>ng Parties, in 2010 and in 2016.</w:t>
      </w:r>
      <w:r w:rsidR="001B0D9C" w:rsidRPr="004A3983">
        <w:rPr>
          <w:rStyle w:val="FootnoteReference"/>
          <w:rFonts w:ascii="Gotham Book" w:hAnsi="Gotham Book"/>
        </w:rPr>
        <w:footnoteReference w:id="363"/>
      </w:r>
      <w:r w:rsidRPr="004A3983">
        <w:rPr>
          <w:rFonts w:ascii="Gotham Book" w:hAnsi="Gotham Book"/>
        </w:rPr>
        <w:t xml:space="preserve"> It was supported by the Workforce Intelligence Unit in its Register Staffing Review, on the basis it would ‘improve quality of offender management and relieve pressure on the helpdesk function of the Registry’</w:t>
      </w:r>
      <w:r w:rsidR="00F913EB" w:rsidRPr="004A3983">
        <w:rPr>
          <w:rFonts w:ascii="Gotham Book" w:hAnsi="Gotham Book"/>
        </w:rPr>
        <w:t>.</w:t>
      </w:r>
      <w:r w:rsidRPr="004A3983">
        <w:rPr>
          <w:rStyle w:val="FootnoteReference"/>
          <w:rFonts w:ascii="Gotham Book" w:hAnsi="Gotham Book"/>
        </w:rPr>
        <w:footnoteReference w:id="364"/>
      </w:r>
      <w:r w:rsidRPr="004A3983">
        <w:t xml:space="preserve"> </w:t>
      </w:r>
      <w:r w:rsidR="00F913EB" w:rsidRPr="004A3983">
        <w:lastRenderedPageBreak/>
        <w:t xml:space="preserve">Dedicated positions were </w:t>
      </w:r>
      <w:r w:rsidR="00F913EB" w:rsidRPr="004A3983">
        <w:rPr>
          <w:rFonts w:ascii="Gotham Book" w:hAnsi="Gotham Book"/>
        </w:rPr>
        <w:t>also</w:t>
      </w:r>
      <w:r w:rsidR="00BE7ED4" w:rsidRPr="004A3983">
        <w:rPr>
          <w:rFonts w:ascii="Gotham Book" w:hAnsi="Gotham Book"/>
        </w:rPr>
        <w:t xml:space="preserve"> recommended</w:t>
      </w:r>
      <w:r w:rsidR="001A2EF9" w:rsidRPr="004A3983">
        <w:rPr>
          <w:rFonts w:ascii="Gotham Book" w:hAnsi="Gotham Book"/>
        </w:rPr>
        <w:t xml:space="preserve"> by the Registry Manager in his 2018 scholarship report on the management of the Register.</w:t>
      </w:r>
      <w:r w:rsidR="001A2EF9" w:rsidRPr="004A3983">
        <w:rPr>
          <w:rStyle w:val="FootnoteReference"/>
          <w:rFonts w:ascii="Gotham Book" w:hAnsi="Gotham Book"/>
        </w:rPr>
        <w:footnoteReference w:id="365"/>
      </w:r>
    </w:p>
    <w:p w14:paraId="63E5F7D1" w14:textId="77777777" w:rsidR="006F0924" w:rsidRPr="004A3983" w:rsidRDefault="00EA797A" w:rsidP="00AD44AE">
      <w:pPr>
        <w:spacing w:after="160"/>
        <w:ind w:right="-2"/>
        <w:rPr>
          <w:rFonts w:ascii="Gotham Book" w:hAnsi="Gotham Book" w:cs="Arial"/>
        </w:rPr>
      </w:pPr>
      <w:r w:rsidRPr="004A3983">
        <w:rPr>
          <w:rFonts w:ascii="Gotham Book" w:hAnsi="Gotham Book" w:cs="Arial"/>
        </w:rPr>
        <w:t>On 20 November 2018 the Premier of New South Wales</w:t>
      </w:r>
      <w:r w:rsidRPr="004A3983">
        <w:t xml:space="preserve"> </w:t>
      </w:r>
      <w:r w:rsidRPr="004A3983">
        <w:rPr>
          <w:rFonts w:ascii="Gotham Book" w:hAnsi="Gotham Book" w:cs="Arial"/>
        </w:rPr>
        <w:t>announced that the NSW Government would provide funding for an additional 1,500 police officers over four years.</w:t>
      </w:r>
      <w:r w:rsidRPr="004A3983">
        <w:rPr>
          <w:rStyle w:val="FootnoteReference"/>
          <w:rFonts w:ascii="Gotham Book" w:hAnsi="Gotham Book" w:cs="Arial"/>
        </w:rPr>
        <w:footnoteReference w:id="366"/>
      </w:r>
      <w:r w:rsidRPr="004A3983">
        <w:rPr>
          <w:rFonts w:ascii="Gotham Book" w:hAnsi="Gotham Book" w:cs="Arial"/>
        </w:rPr>
        <w:t xml:space="preserve"> The (then) Minister for Police announced that part of this funding would be used to provide an additional officer to each of the 58 police commands across the state for the specific purpose of monitoring offenders on the Register.</w:t>
      </w:r>
      <w:r w:rsidRPr="004A3983">
        <w:rPr>
          <w:rStyle w:val="FootnoteReference"/>
          <w:rFonts w:ascii="Gotham Book" w:hAnsi="Gotham Book" w:cs="Arial"/>
        </w:rPr>
        <w:footnoteReference w:id="367"/>
      </w:r>
      <w:r w:rsidRPr="004A3983">
        <w:rPr>
          <w:rFonts w:ascii="Gotham Book" w:hAnsi="Gotham Book" w:cs="Arial"/>
        </w:rPr>
        <w:t xml:space="preserve"> </w:t>
      </w:r>
    </w:p>
    <w:p w14:paraId="38E33C5E" w14:textId="2FAC6668" w:rsidR="00EA797A" w:rsidRPr="004A3983" w:rsidRDefault="00C91A7C" w:rsidP="00AD44AE">
      <w:pPr>
        <w:spacing w:after="160"/>
        <w:ind w:right="-2"/>
        <w:rPr>
          <w:rFonts w:ascii="Gotham Book" w:hAnsi="Gotham Book" w:cs="Arial"/>
        </w:rPr>
      </w:pPr>
      <w:r w:rsidRPr="004A3983">
        <w:rPr>
          <w:rFonts w:ascii="Gotham Book" w:hAnsi="Gotham Book" w:cs="Arial"/>
        </w:rPr>
        <w:t>On 30</w:t>
      </w:r>
      <w:r w:rsidR="008504C6" w:rsidRPr="004A3983">
        <w:rPr>
          <w:rFonts w:ascii="Gotham Book" w:hAnsi="Gotham Book" w:cs="Arial"/>
        </w:rPr>
        <w:t xml:space="preserve"> September 2019 t</w:t>
      </w:r>
      <w:r w:rsidR="002A12DF" w:rsidRPr="004A3983">
        <w:rPr>
          <w:rFonts w:ascii="Gotham Book" w:hAnsi="Gotham Book" w:cs="Arial"/>
        </w:rPr>
        <w:t xml:space="preserve">he NSW Commissioner of Police </w:t>
      </w:r>
      <w:r w:rsidR="006F0924" w:rsidRPr="004A3983">
        <w:rPr>
          <w:rFonts w:ascii="Gotham Book" w:hAnsi="Gotham Book" w:cs="Arial"/>
        </w:rPr>
        <w:t xml:space="preserve">advised the Commission </w:t>
      </w:r>
      <w:r w:rsidR="004A3BC4" w:rsidRPr="004A3983">
        <w:rPr>
          <w:rFonts w:ascii="Gotham Book" w:hAnsi="Gotham Book" w:cs="Arial"/>
        </w:rPr>
        <w:t>that the first allocation of 15 additional officers had</w:t>
      </w:r>
      <w:r w:rsidR="006F0924" w:rsidRPr="004A3983">
        <w:rPr>
          <w:rFonts w:ascii="Gotham Book" w:hAnsi="Gotham Book" w:cs="Arial"/>
        </w:rPr>
        <w:t xml:space="preserve"> been deployed to local commands to monitor registrable persons, </w:t>
      </w:r>
      <w:r w:rsidR="004A3BC4" w:rsidRPr="004A3983">
        <w:rPr>
          <w:rFonts w:ascii="Gotham Book" w:hAnsi="Gotham Book" w:cs="Arial"/>
        </w:rPr>
        <w:t xml:space="preserve">and that </w:t>
      </w:r>
      <w:r w:rsidR="005D491F" w:rsidRPr="004A3983">
        <w:rPr>
          <w:rFonts w:ascii="Gotham Book" w:hAnsi="Gotham Book" w:cs="Arial"/>
        </w:rPr>
        <w:t>another 33 positions would be allocated in the coming years.</w:t>
      </w:r>
      <w:r w:rsidR="005D491F" w:rsidRPr="004A3983">
        <w:rPr>
          <w:rStyle w:val="FootnoteReference"/>
          <w:rFonts w:ascii="Gotham Book" w:hAnsi="Gotham Book" w:cs="Arial"/>
        </w:rPr>
        <w:footnoteReference w:id="368"/>
      </w:r>
    </w:p>
    <w:p w14:paraId="2198DE45" w14:textId="20ABC2A5" w:rsidR="00EA797A" w:rsidRPr="004A3983" w:rsidRDefault="005D5BF4" w:rsidP="00AD44AE">
      <w:pPr>
        <w:spacing w:after="160"/>
        <w:ind w:right="-2"/>
        <w:rPr>
          <w:rFonts w:ascii="Gotham Book" w:hAnsi="Gotham Book" w:cs="Arial"/>
        </w:rPr>
      </w:pPr>
      <w:r w:rsidRPr="004A3983">
        <w:rPr>
          <w:rFonts w:ascii="Gotham Book" w:hAnsi="Gotham Book" w:cs="Arial"/>
        </w:rPr>
        <w:t>The Commission welcomes the allocation of dedicated Register officers to local commands</w:t>
      </w:r>
      <w:r w:rsidR="00EA797A" w:rsidRPr="004A3983">
        <w:rPr>
          <w:rFonts w:ascii="Gotham Book" w:hAnsi="Gotham Book" w:cs="Arial"/>
        </w:rPr>
        <w:t>. The fact that in many local commands the officers monitoring registrable persons do not specialise in the area, and therefore do not develop expertise in applying the CPOR Act</w:t>
      </w:r>
      <w:r w:rsidR="00EA797A" w:rsidRPr="004A3983">
        <w:rPr>
          <w:rFonts w:ascii="Gotham Book" w:hAnsi="Gotham Book"/>
        </w:rPr>
        <w:t>, increases the likelihood of errors being made in the registration of offenders. It also adds significantly to Registry officers’ workload, as they are frequently required to respond to requests for assistance from officers at the local level.</w:t>
      </w:r>
      <w:r w:rsidR="00EA797A" w:rsidRPr="004A3983">
        <w:rPr>
          <w:rStyle w:val="FootnoteReference"/>
          <w:rFonts w:ascii="Gotham Book" w:hAnsi="Gotham Book"/>
        </w:rPr>
        <w:footnoteReference w:id="369"/>
      </w:r>
      <w:r w:rsidR="00D61AD7" w:rsidRPr="004A3983">
        <w:rPr>
          <w:rFonts w:ascii="Gotham Book" w:hAnsi="Gotham Book" w:cs="Arial"/>
        </w:rPr>
        <w:t xml:space="preserve"> </w:t>
      </w:r>
      <w:r w:rsidR="00351866" w:rsidRPr="004A3983">
        <w:rPr>
          <w:rFonts w:ascii="Gotham Book" w:hAnsi="Gotham Book"/>
        </w:rPr>
        <w:t>Those local commands currently without a dedicated officer also have</w:t>
      </w:r>
      <w:r w:rsidR="00EA797A" w:rsidRPr="004A3983">
        <w:rPr>
          <w:rFonts w:ascii="Gotham Book" w:hAnsi="Gotham Book"/>
        </w:rPr>
        <w:t xml:space="preserve"> </w:t>
      </w:r>
      <w:r w:rsidR="00351866" w:rsidRPr="004A3983">
        <w:rPr>
          <w:rFonts w:ascii="Gotham Book" w:hAnsi="Gotham Book"/>
        </w:rPr>
        <w:t>limited capacity</w:t>
      </w:r>
      <w:r w:rsidR="00EA797A" w:rsidRPr="004A3983">
        <w:rPr>
          <w:rFonts w:ascii="Gotham Book" w:hAnsi="Gotham Book"/>
        </w:rPr>
        <w:t xml:space="preserve"> to undertake proactive activities to investigate whether registrable persons are complying with their obligations under the CPOR Act.</w:t>
      </w:r>
      <w:r w:rsidR="00EA797A" w:rsidRPr="004A3983">
        <w:rPr>
          <w:rStyle w:val="FootnoteReference"/>
          <w:rFonts w:ascii="Gotham Book" w:hAnsi="Gotham Book"/>
        </w:rPr>
        <w:footnoteReference w:id="370"/>
      </w:r>
      <w:r w:rsidR="00EA797A" w:rsidRPr="004A3983">
        <w:rPr>
          <w:rFonts w:ascii="Gotham Book" w:hAnsi="Gotham Book"/>
        </w:rPr>
        <w:t xml:space="preserve"> Reduced ability to undertake these kind of activities impacts on the accuracy of the personal information on the Register.</w:t>
      </w:r>
    </w:p>
    <w:p w14:paraId="09C5C4EB" w14:textId="7ACC3138" w:rsidR="00EA797A" w:rsidRPr="004A3983" w:rsidRDefault="00223E71" w:rsidP="00AD44AE">
      <w:pPr>
        <w:spacing w:after="160"/>
        <w:ind w:right="-2"/>
        <w:rPr>
          <w:rFonts w:ascii="Gotham Book" w:hAnsi="Gotham Book" w:cs="Arial"/>
        </w:rPr>
      </w:pPr>
      <w:r w:rsidRPr="004A3983">
        <w:rPr>
          <w:rFonts w:ascii="Gotham Book" w:hAnsi="Gotham Book"/>
        </w:rPr>
        <w:t>T</w:t>
      </w:r>
      <w:r w:rsidR="00EA797A" w:rsidRPr="004A3983">
        <w:rPr>
          <w:rFonts w:ascii="Gotham Book" w:hAnsi="Gotham Book"/>
        </w:rPr>
        <w:t>he</w:t>
      </w:r>
      <w:r w:rsidR="00EA797A" w:rsidRPr="004A3983">
        <w:rPr>
          <w:rFonts w:ascii="Gotham Book" w:hAnsi="Gotham Book" w:cs="Arial"/>
        </w:rPr>
        <w:t xml:space="preserve"> </w:t>
      </w:r>
      <w:r w:rsidR="002408A3" w:rsidRPr="004A3983">
        <w:rPr>
          <w:rFonts w:ascii="Gotham Book" w:hAnsi="Gotham Book" w:cs="Arial"/>
        </w:rPr>
        <w:t>introduction of</w:t>
      </w:r>
      <w:r w:rsidR="00EA797A" w:rsidRPr="004A3983">
        <w:rPr>
          <w:rFonts w:ascii="Gotham Book" w:hAnsi="Gotham Book" w:cs="Arial"/>
        </w:rPr>
        <w:t xml:space="preserve"> dedicated positions </w:t>
      </w:r>
      <w:r w:rsidR="000406CF" w:rsidRPr="004A3983">
        <w:rPr>
          <w:rFonts w:ascii="Gotham Book" w:hAnsi="Gotham Book" w:cs="Arial"/>
        </w:rPr>
        <w:t xml:space="preserve">in local commands </w:t>
      </w:r>
      <w:r w:rsidR="00530FD3" w:rsidRPr="004A3983">
        <w:rPr>
          <w:rFonts w:ascii="Gotham Book" w:hAnsi="Gotham Book" w:cs="Arial"/>
        </w:rPr>
        <w:t>will</w:t>
      </w:r>
      <w:r w:rsidR="00EA797A" w:rsidRPr="004A3983">
        <w:rPr>
          <w:rFonts w:ascii="Gotham Book" w:hAnsi="Gotham Book" w:cs="Arial"/>
        </w:rPr>
        <w:t xml:space="preserve"> improve the management of registrable persons in the community</w:t>
      </w:r>
      <w:r w:rsidR="00586D0A" w:rsidRPr="004A3983">
        <w:rPr>
          <w:rFonts w:ascii="Gotham Book" w:hAnsi="Gotham Book" w:cs="Arial"/>
        </w:rPr>
        <w:t>. T</w:t>
      </w:r>
      <w:r w:rsidR="00EA797A" w:rsidRPr="004A3983">
        <w:rPr>
          <w:rFonts w:ascii="Gotham Book" w:hAnsi="Gotham Book" w:cs="Arial"/>
        </w:rPr>
        <w:t>he creation of these positions</w:t>
      </w:r>
      <w:r w:rsidR="000555EA" w:rsidRPr="004A3983">
        <w:rPr>
          <w:rFonts w:ascii="Gotham Book" w:hAnsi="Gotham Book" w:cs="Arial"/>
        </w:rPr>
        <w:t xml:space="preserve"> may</w:t>
      </w:r>
      <w:r w:rsidR="00586D0A" w:rsidRPr="004A3983">
        <w:rPr>
          <w:rFonts w:ascii="Gotham Book" w:hAnsi="Gotham Book" w:cs="Arial"/>
        </w:rPr>
        <w:t>, however,</w:t>
      </w:r>
      <w:r w:rsidR="00EA797A" w:rsidRPr="004A3983">
        <w:rPr>
          <w:rFonts w:ascii="Gotham Book" w:hAnsi="Gotham Book" w:cs="Arial"/>
        </w:rPr>
        <w:t xml:space="preserve"> increase the workload of the Registry in the longer term. The Register Staffing Review noted that </w:t>
      </w:r>
      <w:r w:rsidR="00EA797A" w:rsidRPr="004A3983">
        <w:rPr>
          <w:rFonts w:ascii="Gotham Book" w:hAnsi="Gotham Book"/>
        </w:rPr>
        <w:t>having dedicated Register officers in the local commands would reduce basic enquiries to the Registry and the need for follow up to rectify basic errors.</w:t>
      </w:r>
      <w:r w:rsidR="00EA797A" w:rsidRPr="004A3983">
        <w:rPr>
          <w:rStyle w:val="FootnoteReference"/>
          <w:rFonts w:ascii="Gotham Book" w:hAnsi="Gotham Book"/>
        </w:rPr>
        <w:footnoteReference w:id="371"/>
      </w:r>
      <w:r w:rsidR="00EA797A" w:rsidRPr="004A3983">
        <w:rPr>
          <w:rFonts w:ascii="Gotham Book" w:hAnsi="Gotham Book"/>
        </w:rPr>
        <w:t xml:space="preserve"> However, it also noted that it may increase the Registry’s </w:t>
      </w:r>
      <w:r w:rsidR="00EA797A" w:rsidRPr="004A3983">
        <w:rPr>
          <w:rFonts w:ascii="Gotham Book" w:hAnsi="Gotham Book"/>
        </w:rPr>
        <w:lastRenderedPageBreak/>
        <w:t>workload, as local commands would undertake more proactive investigation activities, leading to an increase in prosecutions for failure to comply with CPOR Act reporting obligations and in applications</w:t>
      </w:r>
      <w:r w:rsidR="00F143A8" w:rsidRPr="004A3983">
        <w:rPr>
          <w:rFonts w:ascii="Gotham Book" w:hAnsi="Gotham Book"/>
        </w:rPr>
        <w:t xml:space="preserve"> for c</w:t>
      </w:r>
      <w:r w:rsidR="00EA797A" w:rsidRPr="004A3983">
        <w:rPr>
          <w:rFonts w:ascii="Gotham Book" w:hAnsi="Gotham Book"/>
        </w:rPr>
        <w:t>hild</w:t>
      </w:r>
      <w:r w:rsidR="00F143A8" w:rsidRPr="004A3983">
        <w:rPr>
          <w:rFonts w:ascii="Gotham Book" w:hAnsi="Gotham Book"/>
        </w:rPr>
        <w:t xml:space="preserve"> protection prohibition o</w:t>
      </w:r>
      <w:r w:rsidR="00EA797A" w:rsidRPr="004A3983">
        <w:rPr>
          <w:rFonts w:ascii="Gotham Book" w:hAnsi="Gotham Book"/>
        </w:rPr>
        <w:t>rders.</w:t>
      </w:r>
      <w:r w:rsidR="00EA797A" w:rsidRPr="004A3983">
        <w:rPr>
          <w:rStyle w:val="FootnoteReference"/>
          <w:rFonts w:ascii="Gotham Book" w:hAnsi="Gotham Book"/>
        </w:rPr>
        <w:footnoteReference w:id="372"/>
      </w:r>
      <w:r w:rsidR="00EA797A" w:rsidRPr="004A3983">
        <w:rPr>
          <w:rFonts w:ascii="Gotham Book" w:hAnsi="Gotham Book"/>
        </w:rPr>
        <w:t xml:space="preserve"> </w:t>
      </w:r>
    </w:p>
    <w:p w14:paraId="0112EA9B" w14:textId="301F2759" w:rsidR="00EA797A" w:rsidRPr="004A3983" w:rsidRDefault="00EA797A" w:rsidP="00AD44AE">
      <w:pPr>
        <w:spacing w:after="160"/>
        <w:ind w:right="-2"/>
        <w:rPr>
          <w:rFonts w:ascii="Gotham Book" w:hAnsi="Gotham Book"/>
        </w:rPr>
      </w:pPr>
      <w:r w:rsidRPr="004A3983">
        <w:rPr>
          <w:rFonts w:ascii="Gotham Book" w:hAnsi="Gotham Book"/>
        </w:rPr>
        <w:t>The Commission therefore considers it important that the NSW Police Force review the staffing requirements of the Registry following the implementation of dedicated Register positions in the local commands.</w:t>
      </w:r>
    </w:p>
    <w:p w14:paraId="2F444EBC" w14:textId="0CC8AC6C" w:rsidR="00EA797A" w:rsidRPr="004A3983" w:rsidRDefault="00EA797A" w:rsidP="00AD44AE">
      <w:pPr>
        <w:spacing w:after="160"/>
        <w:ind w:right="-2"/>
        <w:rPr>
          <w:rFonts w:ascii="Gotham Book" w:hAnsi="Gotham Book"/>
        </w:rPr>
      </w:pPr>
      <w:r w:rsidRPr="004A3983">
        <w:rPr>
          <w:rFonts w:ascii="Gotham Book" w:hAnsi="Gotham Book"/>
        </w:rPr>
        <w:t xml:space="preserve">The Commission </w:t>
      </w:r>
      <w:r w:rsidR="00C93A60" w:rsidRPr="004A3983">
        <w:rPr>
          <w:rFonts w:ascii="Gotham Book" w:hAnsi="Gotham Book"/>
        </w:rPr>
        <w:t xml:space="preserve">also </w:t>
      </w:r>
      <w:r w:rsidRPr="004A3983">
        <w:rPr>
          <w:rFonts w:ascii="Gotham Book" w:hAnsi="Gotham Book"/>
        </w:rPr>
        <w:t xml:space="preserve">notes that the number of registrable persons managed by local commands can vary greatly, as it depends on how many registrable persons choose to reside within each command’s area. </w:t>
      </w:r>
      <w:r w:rsidRPr="004A3983">
        <w:rPr>
          <w:rFonts w:ascii="Gotham Book" w:hAnsi="Gotham Book" w:cs="ArialMT"/>
        </w:rPr>
        <w:t>As at 31 December 2018, there were 14 commands that were responsible for managing 100 or more registrable persons each, and 21 commands managing less than 50 registrable persons (one command was only managing nine).</w:t>
      </w:r>
      <w:r w:rsidRPr="004A3983">
        <w:rPr>
          <w:rStyle w:val="FootnoteReference"/>
          <w:rFonts w:ascii="Gotham Book" w:hAnsi="Gotham Book" w:cs="ArialMT"/>
        </w:rPr>
        <w:footnoteReference w:id="373"/>
      </w:r>
      <w:r w:rsidRPr="004A3983">
        <w:rPr>
          <w:rFonts w:ascii="Gotham Book" w:hAnsi="Gotham Book" w:cs="ArialMT"/>
        </w:rPr>
        <w:t xml:space="preserve"> </w:t>
      </w:r>
    </w:p>
    <w:p w14:paraId="6A8D5876" w14:textId="1B903C7A" w:rsidR="00EA797A" w:rsidRPr="004A3983" w:rsidRDefault="00EA797A" w:rsidP="00AD44AE">
      <w:pPr>
        <w:spacing w:after="160"/>
        <w:ind w:right="-2"/>
        <w:rPr>
          <w:rFonts w:ascii="Gotham Book" w:hAnsi="Gotham Book"/>
        </w:rPr>
      </w:pPr>
      <w:r w:rsidRPr="004A3983">
        <w:rPr>
          <w:rFonts w:ascii="Gotham Book" w:hAnsi="Gotham Book" w:cs="ArialMT"/>
        </w:rPr>
        <w:t>There is a</w:t>
      </w:r>
      <w:r w:rsidR="00CC5DC4" w:rsidRPr="004A3983">
        <w:rPr>
          <w:rFonts w:ascii="Gotham Book" w:hAnsi="Gotham Book" w:cs="ArialMT"/>
        </w:rPr>
        <w:t>lso significant variation i</w:t>
      </w:r>
      <w:r w:rsidRPr="004A3983">
        <w:rPr>
          <w:rFonts w:ascii="Gotham Book" w:hAnsi="Gotham Book" w:cs="ArialMT"/>
        </w:rPr>
        <w:t>n the risk ratings for registrable persons between commands. It follows that the allocation of dedicated officers t</w:t>
      </w:r>
      <w:r w:rsidR="002408A3" w:rsidRPr="004A3983">
        <w:rPr>
          <w:rFonts w:ascii="Gotham Book" w:hAnsi="Gotham Book" w:cs="ArialMT"/>
        </w:rPr>
        <w:t>o local commands should</w:t>
      </w:r>
      <w:r w:rsidRPr="004A3983">
        <w:rPr>
          <w:rFonts w:ascii="Gotham Book" w:hAnsi="Gotham Book" w:cs="ArialMT"/>
        </w:rPr>
        <w:t xml:space="preserve"> be based on an evaluation of the specific need of each command.</w:t>
      </w:r>
      <w:r w:rsidRPr="004A3983">
        <w:rPr>
          <w:rFonts w:ascii="Gotham Book" w:hAnsi="Gotham Book"/>
        </w:rPr>
        <w:t xml:space="preserve"> A blanket approach of one officer per command is unlikely to ensure that the dedicated resources are deployed where they are most needed.</w:t>
      </w:r>
      <w:r w:rsidRPr="004A3983">
        <w:rPr>
          <w:rFonts w:cs="ArialMT"/>
        </w:rPr>
        <w:t xml:space="preserve"> </w:t>
      </w:r>
      <w:r w:rsidRPr="004A3983">
        <w:rPr>
          <w:rFonts w:ascii="Gotham Book" w:hAnsi="Gotham Book"/>
        </w:rPr>
        <w:t xml:space="preserve">The Registry Manager in his 2018 report recommended the NSW Police Force authorise one dedicated officer for </w:t>
      </w:r>
      <w:r w:rsidRPr="004A3983">
        <w:rPr>
          <w:rFonts w:ascii="Gotham Book" w:hAnsi="Gotham Book" w:cs="Arial-BoldMT"/>
          <w:bCs/>
        </w:rPr>
        <w:t>every 50 registered offenders (based on a model adopted in the UK)</w:t>
      </w:r>
      <w:r w:rsidRPr="004A3983">
        <w:rPr>
          <w:rFonts w:ascii="Gotham Book" w:hAnsi="Gotham Book" w:cs="ArialMT"/>
        </w:rPr>
        <w:t>.</w:t>
      </w:r>
      <w:r w:rsidRPr="004A3983">
        <w:rPr>
          <w:rStyle w:val="FootnoteReference"/>
          <w:rFonts w:ascii="Gotham Book" w:hAnsi="Gotham Book" w:cs="ArialMT"/>
        </w:rPr>
        <w:footnoteReference w:id="374"/>
      </w:r>
    </w:p>
    <w:p w14:paraId="18A5FEF8" w14:textId="03D29D7A" w:rsidR="00EA797A" w:rsidRPr="004A3983" w:rsidRDefault="001710A5" w:rsidP="00AD44AE">
      <w:pPr>
        <w:pStyle w:val="Heading2"/>
        <w:spacing w:after="160"/>
        <w:ind w:right="-2"/>
      </w:pPr>
      <w:bookmarkStart w:id="332" w:name="_Toc22627795"/>
      <w:r w:rsidRPr="004A3983">
        <w:t>Conclusion</w:t>
      </w:r>
      <w:r w:rsidR="00EA797A" w:rsidRPr="004A3983">
        <w:t xml:space="preserve"> and recommendation</w:t>
      </w:r>
      <w:bookmarkEnd w:id="332"/>
    </w:p>
    <w:p w14:paraId="62D25770" w14:textId="7E24394B" w:rsidR="00EA797A" w:rsidRPr="004A3983" w:rsidRDefault="00EA797A" w:rsidP="00AD44AE">
      <w:pPr>
        <w:spacing w:after="160"/>
        <w:ind w:right="-2"/>
        <w:rPr>
          <w:rFonts w:ascii="Gotham Book" w:hAnsi="Gotham Book" w:cs="Arial"/>
        </w:rPr>
      </w:pPr>
      <w:r w:rsidRPr="004A3983">
        <w:t xml:space="preserve">The </w:t>
      </w:r>
      <w:r w:rsidRPr="004A3983">
        <w:rPr>
          <w:rFonts w:ascii="Gotham Book" w:hAnsi="Gotham Book" w:cs="Arial"/>
        </w:rPr>
        <w:t xml:space="preserve">Commission welcomes the additional resources the NSW Police Force has allocated to the Registry </w:t>
      </w:r>
      <w:r w:rsidR="005E3D97" w:rsidRPr="004A3983">
        <w:rPr>
          <w:rFonts w:ascii="Gotham Book" w:hAnsi="Gotham Book" w:cs="Arial"/>
        </w:rPr>
        <w:t>during the course of</w:t>
      </w:r>
      <w:r w:rsidRPr="004A3983">
        <w:rPr>
          <w:rFonts w:ascii="Gotham Book" w:hAnsi="Gotham Book" w:cs="Arial"/>
        </w:rPr>
        <w:t xml:space="preserve"> Operation Tusket, and the </w:t>
      </w:r>
      <w:r w:rsidR="005E3D97" w:rsidRPr="004A3983">
        <w:rPr>
          <w:rFonts w:ascii="Gotham Book" w:hAnsi="Gotham Book" w:cs="Arial"/>
        </w:rPr>
        <w:t xml:space="preserve">first allocation </w:t>
      </w:r>
      <w:r w:rsidRPr="004A3983">
        <w:rPr>
          <w:rFonts w:ascii="Gotham Book" w:hAnsi="Gotham Book" w:cs="Arial"/>
        </w:rPr>
        <w:t xml:space="preserve">of </w:t>
      </w:r>
      <w:r w:rsidR="005C722F" w:rsidRPr="004A3983">
        <w:rPr>
          <w:rFonts w:ascii="Gotham Book" w:hAnsi="Gotham Book" w:cs="Arial"/>
        </w:rPr>
        <w:t>dedicated positions</w:t>
      </w:r>
      <w:r w:rsidR="005E3D97" w:rsidRPr="004A3983">
        <w:rPr>
          <w:rFonts w:ascii="Gotham Book" w:hAnsi="Gotham Book" w:cs="Arial"/>
        </w:rPr>
        <w:t xml:space="preserve"> to</w:t>
      </w:r>
      <w:r w:rsidRPr="004A3983">
        <w:rPr>
          <w:rFonts w:ascii="Gotham Book" w:hAnsi="Gotham Book" w:cs="Arial"/>
        </w:rPr>
        <w:t xml:space="preserve"> local commands. These improvements will help to </w:t>
      </w:r>
      <w:r w:rsidR="00FB5194" w:rsidRPr="004A3983">
        <w:rPr>
          <w:rFonts w:ascii="Gotham Book" w:hAnsi="Gotham Book" w:cs="Arial"/>
        </w:rPr>
        <w:t xml:space="preserve">significantly </w:t>
      </w:r>
      <w:r w:rsidRPr="004A3983">
        <w:rPr>
          <w:rFonts w:ascii="Gotham Book" w:hAnsi="Gotham Book" w:cs="Arial"/>
        </w:rPr>
        <w:t>reduce the risk of errors in the Register, increase the Registry’s capacity to engage in and support proactive investigation activities, and reduce the risk</w:t>
      </w:r>
      <w:r w:rsidR="0057283E" w:rsidRPr="004A3983">
        <w:rPr>
          <w:rFonts w:ascii="Gotham Book" w:hAnsi="Gotham Book" w:cs="Arial"/>
        </w:rPr>
        <w:t>s</w:t>
      </w:r>
      <w:r w:rsidRPr="004A3983">
        <w:rPr>
          <w:rFonts w:ascii="Gotham Book" w:hAnsi="Gotham Book" w:cs="Arial"/>
        </w:rPr>
        <w:t xml:space="preserve"> to the wellbeing of Registry staff.</w:t>
      </w:r>
    </w:p>
    <w:p w14:paraId="073462BC" w14:textId="46FB2E26" w:rsidR="006763DA" w:rsidRPr="004A3983" w:rsidRDefault="006763DA" w:rsidP="006763DA">
      <w:pPr>
        <w:spacing w:after="160"/>
        <w:ind w:right="-2"/>
        <w:rPr>
          <w:rFonts w:ascii="Gotham Book" w:hAnsi="Gotham Book"/>
        </w:rPr>
      </w:pPr>
      <w:r w:rsidRPr="004A3983">
        <w:rPr>
          <w:rFonts w:ascii="Gotham Book" w:hAnsi="Gotham Book" w:cs="Times New Roman"/>
        </w:rPr>
        <w:t>The NSW Police Force has not</w:t>
      </w:r>
      <w:r w:rsidR="00E6662B" w:rsidRPr="004A3983">
        <w:rPr>
          <w:rFonts w:ascii="Gotham Book" w:hAnsi="Gotham Book" w:cs="Times New Roman"/>
        </w:rPr>
        <w:t>, however,</w:t>
      </w:r>
      <w:r w:rsidRPr="004A3983">
        <w:rPr>
          <w:rFonts w:ascii="Gotham Book" w:hAnsi="Gotham Book" w:cs="Times New Roman"/>
        </w:rPr>
        <w:t xml:space="preserve"> created a dedicated legal officer position within the Registry, d</w:t>
      </w:r>
      <w:r w:rsidR="000A2444" w:rsidRPr="004A3983">
        <w:rPr>
          <w:rFonts w:ascii="Gotham Book" w:hAnsi="Gotham Book" w:cs="Times New Roman"/>
        </w:rPr>
        <w:t>espite this being recommended by</w:t>
      </w:r>
      <w:r w:rsidRPr="004A3983">
        <w:rPr>
          <w:rFonts w:ascii="Gotham Book" w:hAnsi="Gotham Book" w:cs="Times New Roman"/>
        </w:rPr>
        <w:t xml:space="preserve"> the </w:t>
      </w:r>
      <w:r w:rsidR="0018042A" w:rsidRPr="004A3983">
        <w:rPr>
          <w:rFonts w:ascii="Gotham Book" w:hAnsi="Gotham Book" w:cs="Times New Roman"/>
        </w:rPr>
        <w:t>Workforce Intelligence Unit</w:t>
      </w:r>
      <w:r w:rsidRPr="004A3983">
        <w:rPr>
          <w:rFonts w:ascii="Gotham Book" w:hAnsi="Gotham Book" w:cs="Times New Roman"/>
        </w:rPr>
        <w:t xml:space="preserve">, by the Registry Manager in his 2018 report, and </w:t>
      </w:r>
      <w:r w:rsidR="0018042A" w:rsidRPr="004A3983">
        <w:rPr>
          <w:rFonts w:ascii="Gotham Book" w:hAnsi="Gotham Book" w:cs="Times New Roman"/>
        </w:rPr>
        <w:t>by the Commission in its</w:t>
      </w:r>
      <w:r w:rsidRPr="004A3983">
        <w:rPr>
          <w:rFonts w:ascii="Gotham Book" w:hAnsi="Gotham Book" w:cs="Times New Roman"/>
        </w:rPr>
        <w:t xml:space="preserve"> interim report</w:t>
      </w:r>
      <w:r w:rsidR="004110D3" w:rsidRPr="004A3983">
        <w:rPr>
          <w:rFonts w:ascii="Gotham Book" w:hAnsi="Gotham Book" w:cs="Times New Roman"/>
        </w:rPr>
        <w:t xml:space="preserve"> on the investigation</w:t>
      </w:r>
      <w:r w:rsidRPr="004A3983">
        <w:rPr>
          <w:rFonts w:ascii="Gotham Book" w:hAnsi="Gotham Book" w:cs="Arial"/>
        </w:rPr>
        <w:t>.</w:t>
      </w:r>
      <w:r w:rsidRPr="004A3983">
        <w:rPr>
          <w:rStyle w:val="FootnoteReference"/>
          <w:rFonts w:ascii="Gotham Book" w:hAnsi="Gotham Book" w:cs="Arial"/>
        </w:rPr>
        <w:footnoteReference w:id="375"/>
      </w:r>
      <w:r w:rsidRPr="004A3983">
        <w:rPr>
          <w:rFonts w:ascii="Gotham Book" w:hAnsi="Gotham Book" w:cs="Arial"/>
        </w:rPr>
        <w:t xml:space="preserve"> The Commission does not consider that the loan of a </w:t>
      </w:r>
      <w:r w:rsidRPr="004A3983">
        <w:rPr>
          <w:rFonts w:ascii="Gotham Book" w:hAnsi="Gotham Book" w:cs="Arial"/>
        </w:rPr>
        <w:lastRenderedPageBreak/>
        <w:t xml:space="preserve">legal officer from the Prosecutions Command is adequate to ensure that Registry staff have continual access to expert legal advice on an ongoing basis. </w:t>
      </w:r>
      <w:r w:rsidRPr="004A3983">
        <w:rPr>
          <w:rFonts w:ascii="Gotham Book" w:hAnsi="Gotham Book" w:cs="Times New Roman"/>
        </w:rPr>
        <w:t xml:space="preserve">In Chapter </w:t>
      </w:r>
      <w:r w:rsidRPr="004A3983">
        <w:rPr>
          <w:rFonts w:ascii="Gotham Book" w:hAnsi="Gotham Book" w:cs="Times New Roman"/>
        </w:rPr>
        <w:fldChar w:fldCharType="begin"/>
      </w:r>
      <w:r w:rsidRPr="004A3983">
        <w:rPr>
          <w:rFonts w:ascii="Gotham Book" w:hAnsi="Gotham Book" w:cs="Times New Roman"/>
        </w:rPr>
        <w:instrText xml:space="preserve"> REF _Ref9350149 \r \h </w:instrText>
      </w:r>
      <w:r w:rsidR="00EC67B4" w:rsidRPr="004A3983">
        <w:rPr>
          <w:rFonts w:ascii="Gotham Book" w:hAnsi="Gotham Book" w:cs="Times New Roman"/>
        </w:rPr>
        <w:instrText xml:space="preserve"> \* MERGEFORMAT </w:instrText>
      </w:r>
      <w:r w:rsidRPr="004A3983">
        <w:rPr>
          <w:rFonts w:ascii="Gotham Book" w:hAnsi="Gotham Book" w:cs="Times New Roman"/>
        </w:rPr>
      </w:r>
      <w:r w:rsidRPr="004A3983">
        <w:rPr>
          <w:rFonts w:ascii="Gotham Book" w:hAnsi="Gotham Book" w:cs="Times New Roman"/>
        </w:rPr>
        <w:fldChar w:fldCharType="separate"/>
      </w:r>
      <w:r w:rsidR="00022664">
        <w:rPr>
          <w:rFonts w:ascii="Gotham Book" w:hAnsi="Gotham Book" w:cs="Times New Roman" w:hint="cs"/>
          <w:cs/>
        </w:rPr>
        <w:t>‎</w:t>
      </w:r>
      <w:r w:rsidR="00022664">
        <w:rPr>
          <w:rFonts w:ascii="Gotham Book" w:hAnsi="Gotham Book" w:cs="Times New Roman"/>
        </w:rPr>
        <w:t>6</w:t>
      </w:r>
      <w:r w:rsidRPr="004A3983">
        <w:rPr>
          <w:rFonts w:ascii="Gotham Book" w:hAnsi="Gotham Book" w:cs="Times New Roman"/>
        </w:rPr>
        <w:fldChar w:fldCharType="end"/>
      </w:r>
      <w:r w:rsidRPr="004A3983">
        <w:rPr>
          <w:rFonts w:ascii="Gotham Book" w:hAnsi="Gotham Book" w:cs="Times New Roman"/>
        </w:rPr>
        <w:t xml:space="preserve"> we recommend </w:t>
      </w:r>
      <w:r w:rsidRPr="004A3983">
        <w:rPr>
          <w:rFonts w:ascii="Gotham Book" w:hAnsi="Gotham Book"/>
        </w:rPr>
        <w:t>the NSW Police Force establish at least one legal officer position within the Registry that is dedicated solely to supporting Registry staff, and fill that position as a matter of priority.</w:t>
      </w:r>
      <w:r w:rsidRPr="004A3983">
        <w:rPr>
          <w:rStyle w:val="FootnoteReference"/>
          <w:rFonts w:ascii="Gotham Book" w:hAnsi="Gotham Book"/>
        </w:rPr>
        <w:footnoteReference w:id="376"/>
      </w:r>
    </w:p>
    <w:p w14:paraId="59E37368" w14:textId="17EACF6B" w:rsidR="00255742" w:rsidRPr="004A3983" w:rsidRDefault="006763DA" w:rsidP="00AD44AE">
      <w:pPr>
        <w:spacing w:after="160"/>
        <w:ind w:right="-2"/>
        <w:rPr>
          <w:rFonts w:ascii="Gotham Book" w:hAnsi="Gotham Book"/>
        </w:rPr>
      </w:pPr>
      <w:r w:rsidRPr="004A3983">
        <w:rPr>
          <w:rFonts w:ascii="Gotham Book" w:hAnsi="Gotham Book" w:cs="Arial"/>
        </w:rPr>
        <w:t>Th</w:t>
      </w:r>
      <w:r w:rsidR="00174176" w:rsidRPr="004A3983">
        <w:rPr>
          <w:rFonts w:ascii="Gotham Book" w:hAnsi="Gotham Book" w:cs="Arial"/>
        </w:rPr>
        <w:t>e Commission also emphasises that</w:t>
      </w:r>
      <w:r w:rsidR="003B7DD8" w:rsidRPr="004A3983">
        <w:rPr>
          <w:rFonts w:ascii="Gotham Book" w:hAnsi="Gotham Book" w:cs="Arial"/>
        </w:rPr>
        <w:t xml:space="preserve"> the</w:t>
      </w:r>
      <w:r w:rsidR="00EA797A" w:rsidRPr="004A3983">
        <w:rPr>
          <w:rFonts w:ascii="Gotham Book" w:hAnsi="Gotham Book" w:cs="Arial"/>
        </w:rPr>
        <w:t xml:space="preserve"> recommendations made by the Workforce Intelligence Unit in its Re</w:t>
      </w:r>
      <w:r w:rsidR="00E05F56" w:rsidRPr="004A3983">
        <w:rPr>
          <w:rFonts w:ascii="Gotham Book" w:hAnsi="Gotham Book" w:cs="Arial"/>
        </w:rPr>
        <w:t xml:space="preserve">gister Staffing Review </w:t>
      </w:r>
      <w:r w:rsidR="00EA797A" w:rsidRPr="004A3983">
        <w:rPr>
          <w:rFonts w:ascii="Gotham Book" w:hAnsi="Gotham Book" w:cs="Arial"/>
        </w:rPr>
        <w:t xml:space="preserve">were the minimum </w:t>
      </w:r>
      <w:r w:rsidR="00E75E04" w:rsidRPr="004A3983">
        <w:rPr>
          <w:rFonts w:ascii="Gotham Book" w:hAnsi="Gotham Book" w:cs="Arial"/>
        </w:rPr>
        <w:t xml:space="preserve">staff </w:t>
      </w:r>
      <w:r w:rsidR="00EA797A" w:rsidRPr="004A3983">
        <w:rPr>
          <w:rFonts w:ascii="Gotham Book" w:hAnsi="Gotham Book" w:cs="Arial"/>
        </w:rPr>
        <w:t xml:space="preserve">required to address the error and risk associated with the Register </w:t>
      </w:r>
      <w:r w:rsidR="00EA797A" w:rsidRPr="003018D6">
        <w:rPr>
          <w:rStyle w:val="Bold"/>
        </w:rPr>
        <w:t>in July 2017</w:t>
      </w:r>
      <w:r w:rsidR="00EA797A" w:rsidRPr="004A3983">
        <w:rPr>
          <w:rFonts w:ascii="Gotham Book" w:hAnsi="Gotham Book" w:cs="Arial"/>
        </w:rPr>
        <w:t xml:space="preserve">. </w:t>
      </w:r>
      <w:r w:rsidR="00301EA1" w:rsidRPr="004A3983">
        <w:rPr>
          <w:rFonts w:ascii="Gotham Book" w:hAnsi="Gotham Book" w:cs="Arial"/>
        </w:rPr>
        <w:t xml:space="preserve">Those </w:t>
      </w:r>
      <w:r w:rsidR="00EA797A" w:rsidRPr="004A3983">
        <w:rPr>
          <w:rFonts w:ascii="Gotham Book" w:hAnsi="Gotham Book" w:cs="Arial"/>
        </w:rPr>
        <w:t xml:space="preserve">recommendations are now outdated. The minimum of 14 officers recommended by the </w:t>
      </w:r>
      <w:r w:rsidR="003645A9" w:rsidRPr="004A3983">
        <w:rPr>
          <w:rFonts w:ascii="Gotham Book" w:hAnsi="Gotham Book" w:cs="Arial"/>
        </w:rPr>
        <w:t>Workforce Intelligence Unit</w:t>
      </w:r>
      <w:r w:rsidR="00EA797A" w:rsidRPr="004A3983">
        <w:rPr>
          <w:rFonts w:ascii="Gotham Book" w:hAnsi="Gotham Book" w:cs="Arial"/>
        </w:rPr>
        <w:t xml:space="preserve"> was based on the </w:t>
      </w:r>
      <w:r w:rsidR="004139D3" w:rsidRPr="004A3983">
        <w:rPr>
          <w:rFonts w:ascii="Gotham Book" w:hAnsi="Gotham Book" w:cs="Arial"/>
        </w:rPr>
        <w:t>size of the Register two</w:t>
      </w:r>
      <w:r w:rsidR="00F75593" w:rsidRPr="004A3983">
        <w:rPr>
          <w:rFonts w:ascii="Gotham Book" w:hAnsi="Gotham Book" w:cs="Arial"/>
        </w:rPr>
        <w:t xml:space="preserve"> and a half</w:t>
      </w:r>
      <w:r w:rsidR="00EA797A" w:rsidRPr="004A3983">
        <w:rPr>
          <w:rFonts w:ascii="Gotham Book" w:hAnsi="Gotham Book" w:cs="Arial"/>
        </w:rPr>
        <w:t xml:space="preserve"> years ago, in April 2017.</w:t>
      </w:r>
      <w:r w:rsidR="00EA797A" w:rsidRPr="004A3983">
        <w:rPr>
          <w:rStyle w:val="FootnoteReference"/>
          <w:rFonts w:ascii="Gotham Book" w:hAnsi="Gotham Book" w:cs="Arial"/>
        </w:rPr>
        <w:footnoteReference w:id="377"/>
      </w:r>
      <w:r w:rsidR="00EA797A" w:rsidRPr="004A3983">
        <w:rPr>
          <w:rFonts w:ascii="Gotham Book" w:hAnsi="Gotham Book" w:cs="Arial"/>
        </w:rPr>
        <w:t xml:space="preserve"> Since that time, the Register has grown from 3,775 curre</w:t>
      </w:r>
      <w:r w:rsidR="00E10A9C" w:rsidRPr="004A3983">
        <w:rPr>
          <w:rFonts w:ascii="Gotham Book" w:hAnsi="Gotham Book" w:cs="Arial"/>
        </w:rPr>
        <w:t>ntly registered persons to 4,344 as at 31 August 2019</w:t>
      </w:r>
      <w:r w:rsidR="00EA797A" w:rsidRPr="004A3983">
        <w:rPr>
          <w:rFonts w:ascii="Gotham Book" w:hAnsi="Gotham Book" w:cs="Arial"/>
        </w:rPr>
        <w:t>.</w:t>
      </w:r>
      <w:r w:rsidR="00EA797A" w:rsidRPr="004A3983">
        <w:rPr>
          <w:rStyle w:val="FootnoteReference"/>
          <w:rFonts w:ascii="Gotham Book" w:hAnsi="Gotham Book" w:cs="Arial"/>
        </w:rPr>
        <w:footnoteReference w:id="378"/>
      </w:r>
      <w:r w:rsidR="00EA797A" w:rsidRPr="004A3983">
        <w:rPr>
          <w:rFonts w:ascii="Gotham Book" w:hAnsi="Gotham Book" w:cs="Arial"/>
        </w:rPr>
        <w:t xml:space="preserve"> In addition, the Registry has been given a significant new workload in relation to the processing of applications for registrable persons who wish to travel overseas</w:t>
      </w:r>
      <w:r w:rsidR="00EA797A" w:rsidRPr="004A3983">
        <w:rPr>
          <w:rFonts w:ascii="Gotham Book" w:hAnsi="Gotham Book"/>
        </w:rPr>
        <w:t>.</w:t>
      </w:r>
      <w:r w:rsidR="00EA797A" w:rsidRPr="004A3983">
        <w:rPr>
          <w:rStyle w:val="FootnoteReference"/>
          <w:rFonts w:ascii="Gotham Book" w:hAnsi="Gotham Book"/>
        </w:rPr>
        <w:footnoteReference w:id="379"/>
      </w:r>
      <w:r w:rsidR="00EA797A" w:rsidRPr="004A3983">
        <w:rPr>
          <w:rFonts w:ascii="Gotham Book" w:hAnsi="Gotham Book"/>
        </w:rPr>
        <w:t xml:space="preserve"> </w:t>
      </w:r>
    </w:p>
    <w:p w14:paraId="0E2176BE" w14:textId="05CF4370" w:rsidR="00EA797A" w:rsidRPr="004A3983" w:rsidRDefault="00EC67B4" w:rsidP="00AD44AE">
      <w:pPr>
        <w:spacing w:after="160"/>
        <w:ind w:right="-2"/>
        <w:rPr>
          <w:rFonts w:ascii="Gotham Book" w:hAnsi="Gotham Book"/>
        </w:rPr>
      </w:pPr>
      <w:r w:rsidRPr="004A3983">
        <w:rPr>
          <w:rFonts w:ascii="Gotham Book" w:hAnsi="Gotham Book"/>
        </w:rPr>
        <w:t>Also, t</w:t>
      </w:r>
      <w:r w:rsidR="00206670" w:rsidRPr="004A3983">
        <w:rPr>
          <w:rFonts w:ascii="Gotham Book" w:hAnsi="Gotham Book"/>
        </w:rPr>
        <w:t>he Workforce Intelligence Unit stated that the addition of the 14 staff in July 2017 was expected to make a ‘minimal’ impact on the Registry’s capacity to undertake proactive policing strategies (such as those discussed in section 5.4.3.1).</w:t>
      </w:r>
      <w:r w:rsidR="00206670" w:rsidRPr="004A3983">
        <w:rPr>
          <w:rStyle w:val="FootnoteReference"/>
          <w:rFonts w:ascii="Gotham Book" w:hAnsi="Gotham Book"/>
        </w:rPr>
        <w:footnoteReference w:id="380"/>
      </w:r>
    </w:p>
    <w:p w14:paraId="2672401B" w14:textId="795F1172" w:rsidR="005044E7" w:rsidRPr="004A3983" w:rsidRDefault="005044E7" w:rsidP="00AD44AE">
      <w:pPr>
        <w:spacing w:after="160"/>
        <w:ind w:right="-2"/>
        <w:rPr>
          <w:rFonts w:ascii="Gotham Book" w:hAnsi="Gotham Book"/>
        </w:rPr>
      </w:pPr>
      <w:r w:rsidRPr="004A3983">
        <w:rPr>
          <w:rFonts w:ascii="Gotham Book" w:hAnsi="Gotham Book"/>
        </w:rPr>
        <w:t>Given the increase in the number of persons on the Register and the functions of the Registry since the Register Staffing Review, the NSW Police Force should consider allocation of addit</w:t>
      </w:r>
      <w:r w:rsidR="008917D0" w:rsidRPr="004A3983">
        <w:rPr>
          <w:rFonts w:ascii="Gotham Book" w:hAnsi="Gotham Book"/>
        </w:rPr>
        <w:t>ional positions to the Registry</w:t>
      </w:r>
      <w:r w:rsidRPr="004A3983">
        <w:rPr>
          <w:rFonts w:ascii="Gotham Book" w:hAnsi="Gotham Book"/>
        </w:rPr>
        <w:t>. The Register Staffing Review included a</w:t>
      </w:r>
      <w:r w:rsidR="00611C99" w:rsidRPr="004A3983">
        <w:rPr>
          <w:rFonts w:ascii="Gotham Book" w:hAnsi="Gotham Book"/>
        </w:rPr>
        <w:t>n</w:t>
      </w:r>
      <w:r w:rsidRPr="004A3983">
        <w:rPr>
          <w:rFonts w:ascii="Gotham Book" w:hAnsi="Gotham Book"/>
        </w:rPr>
        <w:t xml:space="preserve"> </w:t>
      </w:r>
      <w:r w:rsidR="003B7DD8" w:rsidRPr="004A3983">
        <w:rPr>
          <w:rFonts w:ascii="Gotham Book" w:hAnsi="Gotham Book"/>
        </w:rPr>
        <w:t xml:space="preserve">‘Option B’ </w:t>
      </w:r>
      <w:r w:rsidRPr="004A3983">
        <w:rPr>
          <w:rFonts w:ascii="Gotham Book" w:hAnsi="Gotham Book"/>
        </w:rPr>
        <w:t xml:space="preserve">staffing </w:t>
      </w:r>
      <w:r w:rsidR="00611C99" w:rsidRPr="004A3983">
        <w:rPr>
          <w:rFonts w:ascii="Gotham Book" w:hAnsi="Gotham Book" w:cs="Arial"/>
        </w:rPr>
        <w:t>model</w:t>
      </w:r>
      <w:r w:rsidR="003B7DD8" w:rsidRPr="004A3983">
        <w:rPr>
          <w:rFonts w:ascii="Gotham Book" w:hAnsi="Gotham Book"/>
        </w:rPr>
        <w:t xml:space="preserve"> </w:t>
      </w:r>
      <w:r w:rsidRPr="004A3983">
        <w:rPr>
          <w:rFonts w:ascii="Gotham Book" w:hAnsi="Gotham Book"/>
        </w:rPr>
        <w:t xml:space="preserve">that would </w:t>
      </w:r>
      <w:r w:rsidR="00611C99" w:rsidRPr="004A3983">
        <w:rPr>
          <w:rFonts w:ascii="Gotham Book" w:hAnsi="Gotham Book"/>
        </w:rPr>
        <w:t>allocate</w:t>
      </w:r>
      <w:r w:rsidR="007C7F82" w:rsidRPr="004A3983">
        <w:rPr>
          <w:rFonts w:ascii="Gotham Book" w:hAnsi="Gotham Book"/>
        </w:rPr>
        <w:t>, on top of the</w:t>
      </w:r>
      <w:r w:rsidR="00997A78" w:rsidRPr="004A3983">
        <w:rPr>
          <w:rFonts w:ascii="Gotham Book" w:hAnsi="Gotham Book"/>
        </w:rPr>
        <w:t xml:space="preserve"> </w:t>
      </w:r>
      <w:r w:rsidR="00A522A1" w:rsidRPr="004A3983">
        <w:rPr>
          <w:rFonts w:ascii="Gotham Book" w:hAnsi="Gotham Book"/>
        </w:rPr>
        <w:t>(</w:t>
      </w:r>
      <w:r w:rsidR="00997A78" w:rsidRPr="004A3983">
        <w:rPr>
          <w:rFonts w:ascii="Gotham Book" w:hAnsi="Gotham Book"/>
        </w:rPr>
        <w:t>recommended</w:t>
      </w:r>
      <w:r w:rsidR="00A522A1" w:rsidRPr="004A3983">
        <w:rPr>
          <w:rFonts w:ascii="Gotham Book" w:hAnsi="Gotham Book"/>
        </w:rPr>
        <w:t>)</w:t>
      </w:r>
      <w:r w:rsidR="007C7F82" w:rsidRPr="004A3983">
        <w:rPr>
          <w:rFonts w:ascii="Gotham Book" w:hAnsi="Gotham Book"/>
        </w:rPr>
        <w:t xml:space="preserve"> 14 officers</w:t>
      </w:r>
      <w:r w:rsidR="00244E02" w:rsidRPr="004A3983">
        <w:rPr>
          <w:rFonts w:ascii="Gotham Book" w:hAnsi="Gotham Book"/>
        </w:rPr>
        <w:t>, an</w:t>
      </w:r>
      <w:r w:rsidR="007C7F82" w:rsidRPr="004A3983">
        <w:rPr>
          <w:rFonts w:ascii="Gotham Book" w:hAnsi="Gotham Book"/>
        </w:rPr>
        <w:t xml:space="preserve"> </w:t>
      </w:r>
      <w:r w:rsidR="00611C99" w:rsidRPr="004A3983">
        <w:rPr>
          <w:rFonts w:ascii="Gotham Book" w:hAnsi="Gotham Book"/>
        </w:rPr>
        <w:t xml:space="preserve">additional sworn officer and </w:t>
      </w:r>
      <w:r w:rsidR="007C7F82" w:rsidRPr="004A3983">
        <w:rPr>
          <w:rFonts w:ascii="Gotham Book" w:hAnsi="Gotham Book"/>
        </w:rPr>
        <w:t>six additional unsworn officers</w:t>
      </w:r>
      <w:r w:rsidR="00244E02" w:rsidRPr="004A3983">
        <w:rPr>
          <w:rFonts w:ascii="Gotham Book" w:hAnsi="Gotham Book"/>
        </w:rPr>
        <w:t>.</w:t>
      </w:r>
      <w:r w:rsidR="00244E02" w:rsidRPr="004A3983">
        <w:rPr>
          <w:rStyle w:val="FootnoteReference"/>
          <w:rFonts w:ascii="Gotham Book" w:hAnsi="Gotham Book"/>
        </w:rPr>
        <w:footnoteReference w:id="381"/>
      </w:r>
      <w:r w:rsidR="00244E02" w:rsidRPr="004A3983">
        <w:rPr>
          <w:rFonts w:ascii="Gotham Book" w:hAnsi="Gotham Book"/>
        </w:rPr>
        <w:t xml:space="preserve">  T</w:t>
      </w:r>
      <w:r w:rsidRPr="004A3983">
        <w:rPr>
          <w:rFonts w:ascii="Gotham Book" w:hAnsi="Gotham Book"/>
        </w:rPr>
        <w:t xml:space="preserve">he Commission suggests </w:t>
      </w:r>
      <w:r w:rsidR="00244E02" w:rsidRPr="004A3983">
        <w:rPr>
          <w:rFonts w:ascii="Gotham Book" w:hAnsi="Gotham Book"/>
        </w:rPr>
        <w:t xml:space="preserve">this option </w:t>
      </w:r>
      <w:r w:rsidRPr="004A3983">
        <w:rPr>
          <w:rFonts w:ascii="Gotham Book" w:hAnsi="Gotham Book"/>
        </w:rPr>
        <w:t>should be considered by the NSW Police Force.</w:t>
      </w:r>
      <w:r w:rsidR="00EC67B4" w:rsidRPr="004A3983">
        <w:rPr>
          <w:rFonts w:ascii="Gotham Book" w:hAnsi="Gotham Book"/>
        </w:rPr>
        <w:t xml:space="preserve"> The Workforce Intelligence Unit </w:t>
      </w:r>
      <w:r w:rsidR="003B7DD8" w:rsidRPr="004A3983">
        <w:rPr>
          <w:rFonts w:ascii="Gotham Book" w:hAnsi="Gotham Book"/>
        </w:rPr>
        <w:t>stated that ‘[i]f the organisation wishes to respond to the risks outlined in this report, as well as providing the Registry more capacity to be proactive in mitigating risks, then Option B would be recommended for consideration.’</w:t>
      </w:r>
      <w:r w:rsidR="003B7DD8" w:rsidRPr="004A3983">
        <w:rPr>
          <w:rStyle w:val="FootnoteReference"/>
          <w:rFonts w:ascii="Gotham Book" w:hAnsi="Gotham Book"/>
        </w:rPr>
        <w:footnoteReference w:id="382"/>
      </w:r>
    </w:p>
    <w:p w14:paraId="4BC816CF" w14:textId="6961AC3A" w:rsidR="00E7006D" w:rsidRPr="004A3983" w:rsidRDefault="00A517D8" w:rsidP="004D76C9">
      <w:pPr>
        <w:spacing w:after="160"/>
        <w:ind w:right="-2"/>
        <w:rPr>
          <w:rFonts w:ascii="Gotham Book" w:hAnsi="Gotham Book" w:cs="Arial"/>
        </w:rPr>
      </w:pPr>
      <w:r w:rsidRPr="004A3983">
        <w:rPr>
          <w:rFonts w:ascii="Gotham Book" w:hAnsi="Gotham Book" w:cs="Arial"/>
        </w:rPr>
        <w:t>The</w:t>
      </w:r>
      <w:r w:rsidR="00E7006D" w:rsidRPr="004A3983">
        <w:rPr>
          <w:rFonts w:ascii="Gotham Book" w:hAnsi="Gotham Book" w:cs="Arial"/>
        </w:rPr>
        <w:t xml:space="preserve"> Workforce Intelligence Unit </w:t>
      </w:r>
      <w:r w:rsidRPr="004A3983">
        <w:rPr>
          <w:rFonts w:ascii="Gotham Book" w:hAnsi="Gotham Book" w:cs="Arial"/>
        </w:rPr>
        <w:t xml:space="preserve">also </w:t>
      </w:r>
      <w:r w:rsidR="00E7006D" w:rsidRPr="004A3983">
        <w:rPr>
          <w:rFonts w:ascii="Gotham Book" w:hAnsi="Gotham Book" w:cs="Arial"/>
        </w:rPr>
        <w:t xml:space="preserve">noted that </w:t>
      </w:r>
      <w:r w:rsidRPr="004A3983">
        <w:rPr>
          <w:rFonts w:ascii="Gotham Book" w:hAnsi="Gotham Book" w:cs="Arial"/>
        </w:rPr>
        <w:t xml:space="preserve">the </w:t>
      </w:r>
      <w:r w:rsidR="00E7006D" w:rsidRPr="004A3983">
        <w:rPr>
          <w:rFonts w:ascii="Gotham Book" w:hAnsi="Gotham Book" w:cs="Arial"/>
        </w:rPr>
        <w:t xml:space="preserve">Registry in 2017 had ‘the lowest number of staff compared to every other state, but with a similar number of </w:t>
      </w:r>
      <w:r w:rsidR="00E7006D" w:rsidRPr="004A3983">
        <w:rPr>
          <w:rFonts w:ascii="Gotham Book" w:hAnsi="Gotham Book" w:cs="Arial"/>
        </w:rPr>
        <w:lastRenderedPageBreak/>
        <w:t>offenders on the Register’.</w:t>
      </w:r>
      <w:r w:rsidR="00E7006D" w:rsidRPr="004A3983">
        <w:rPr>
          <w:rStyle w:val="FootnoteReference"/>
          <w:rFonts w:ascii="Gotham Book" w:hAnsi="Gotham Book" w:cs="Arial"/>
        </w:rPr>
        <w:footnoteReference w:id="383"/>
      </w:r>
      <w:r w:rsidR="00E7006D" w:rsidRPr="004A3983">
        <w:rPr>
          <w:rFonts w:ascii="Gotham Book" w:hAnsi="Gotham Book" w:cs="Arial"/>
        </w:rPr>
        <w:t xml:space="preserve"> In 2017 the Sex Offenders Registry unit within Victoria Police had 45 positions, but only around 8 per cent more persons on their register than N</w:t>
      </w:r>
      <w:r w:rsidR="00BA3555" w:rsidRPr="004A3983">
        <w:rPr>
          <w:rFonts w:ascii="Gotham Book" w:hAnsi="Gotham Book" w:cs="Arial"/>
        </w:rPr>
        <w:t xml:space="preserve">ew </w:t>
      </w:r>
      <w:r w:rsidR="00E7006D" w:rsidRPr="004A3983">
        <w:rPr>
          <w:rFonts w:ascii="Gotham Book" w:hAnsi="Gotham Book" w:cs="Arial"/>
        </w:rPr>
        <w:t>S</w:t>
      </w:r>
      <w:r w:rsidR="00BA3555" w:rsidRPr="004A3983">
        <w:rPr>
          <w:rFonts w:ascii="Gotham Book" w:hAnsi="Gotham Book" w:cs="Arial"/>
        </w:rPr>
        <w:t xml:space="preserve">outh </w:t>
      </w:r>
      <w:r w:rsidR="00E7006D" w:rsidRPr="004A3983">
        <w:rPr>
          <w:rFonts w:ascii="Gotham Book" w:hAnsi="Gotham Book" w:cs="Arial"/>
        </w:rPr>
        <w:t>W</w:t>
      </w:r>
      <w:r w:rsidR="00BA3555" w:rsidRPr="004A3983">
        <w:rPr>
          <w:rFonts w:ascii="Gotham Book" w:hAnsi="Gotham Book" w:cs="Arial"/>
        </w:rPr>
        <w:t>ales</w:t>
      </w:r>
      <w:r w:rsidR="00E7006D" w:rsidRPr="004A3983">
        <w:rPr>
          <w:rFonts w:ascii="Gotham Book" w:hAnsi="Gotham Book" w:cs="Arial"/>
        </w:rPr>
        <w:t>.</w:t>
      </w:r>
      <w:r w:rsidR="00E7006D" w:rsidRPr="004A3983">
        <w:rPr>
          <w:rStyle w:val="FootnoteReference"/>
          <w:rFonts w:ascii="Gotham Book" w:hAnsi="Gotham Book" w:cs="Arial"/>
        </w:rPr>
        <w:footnoteReference w:id="384"/>
      </w:r>
      <w:r w:rsidR="00A73DCA">
        <w:rPr>
          <w:rFonts w:ascii="Gotham Book" w:hAnsi="Gotham Book" w:cs="Arial"/>
        </w:rPr>
        <w:t xml:space="preserve"> </w:t>
      </w:r>
      <w:r w:rsidR="00CA3423" w:rsidRPr="004A3983">
        <w:rPr>
          <w:rFonts w:ascii="Gotham Book" w:hAnsi="Gotham Book" w:cs="Arial"/>
        </w:rPr>
        <w:t>The Registry in New South Wales</w:t>
      </w:r>
      <w:r w:rsidR="000022AC" w:rsidRPr="004A3983">
        <w:rPr>
          <w:rFonts w:ascii="Gotham Book" w:hAnsi="Gotham Book" w:cs="Arial"/>
        </w:rPr>
        <w:t xml:space="preserve"> currently has 28 positions. </w:t>
      </w:r>
    </w:p>
    <w:p w14:paraId="3B2E798E" w14:textId="01805E0B" w:rsidR="00EA797A" w:rsidRPr="004A3983" w:rsidRDefault="00EA797A" w:rsidP="000022AC">
      <w:pPr>
        <w:spacing w:after="160"/>
        <w:ind w:right="-2"/>
        <w:rPr>
          <w:rFonts w:ascii="Gotham Book" w:hAnsi="Gotham Book"/>
        </w:rPr>
      </w:pPr>
      <w:r w:rsidRPr="004A3983">
        <w:rPr>
          <w:rFonts w:ascii="Gotham Book" w:hAnsi="Gotham Book"/>
        </w:rPr>
        <w:t xml:space="preserve">The workload of the Registry will continue to increase as the number of persons convicted of </w:t>
      </w:r>
      <w:r w:rsidR="009E31F5" w:rsidRPr="004A3983">
        <w:rPr>
          <w:rFonts w:ascii="Gotham Book" w:hAnsi="Gotham Book"/>
        </w:rPr>
        <w:t>registrable</w:t>
      </w:r>
      <w:r w:rsidRPr="004A3983">
        <w:rPr>
          <w:rFonts w:ascii="Gotham Book" w:hAnsi="Gotham Book"/>
        </w:rPr>
        <w:t xml:space="preserve"> </w:t>
      </w:r>
      <w:r w:rsidR="00372AD7" w:rsidRPr="004A3983">
        <w:rPr>
          <w:rFonts w:ascii="Gotham Book" w:hAnsi="Gotham Book"/>
        </w:rPr>
        <w:t xml:space="preserve">offences </w:t>
      </w:r>
      <w:r w:rsidRPr="004A3983">
        <w:rPr>
          <w:rFonts w:ascii="Gotham Book" w:hAnsi="Gotham Book"/>
        </w:rPr>
        <w:t>each year continues to trend upwards. The establishment of authorised dedicated Register positions in the local commands will also have an impact on the Registry’s workload.</w:t>
      </w:r>
      <w:r w:rsidR="000022AC" w:rsidRPr="004A3983">
        <w:rPr>
          <w:rFonts w:ascii="Gotham Book" w:hAnsi="Gotham Book"/>
        </w:rPr>
        <w:t xml:space="preserve"> </w:t>
      </w:r>
      <w:r w:rsidRPr="004A3983">
        <w:rPr>
          <w:rFonts w:ascii="Gotham Book" w:hAnsi="Gotham Book"/>
        </w:rPr>
        <w:t>The Registry’s workload ma</w:t>
      </w:r>
      <w:r w:rsidR="00FF3721">
        <w:rPr>
          <w:rFonts w:ascii="Gotham Book" w:hAnsi="Gotham Book"/>
        </w:rPr>
        <w:t>y also be significantly affected</w:t>
      </w:r>
      <w:r w:rsidRPr="004A3983">
        <w:rPr>
          <w:rFonts w:ascii="Gotham Book" w:hAnsi="Gotham Book"/>
        </w:rPr>
        <w:t xml:space="preserve"> in the future by factors beyond the control of the NSW Police Force, such as changes in the statutory framework which ‘widen the net’ of the Register, amendments to statutory offender registration schemes in other jurisdictions, or the creation of additional statutory functions. </w:t>
      </w:r>
    </w:p>
    <w:p w14:paraId="00FA177A" w14:textId="77777777" w:rsidR="00EA797A" w:rsidRPr="004A3983" w:rsidRDefault="00EA797A" w:rsidP="00AD44AE">
      <w:pPr>
        <w:spacing w:after="160"/>
        <w:ind w:right="-2"/>
        <w:rPr>
          <w:rFonts w:ascii="Gotham Book" w:hAnsi="Gotham Book"/>
        </w:rPr>
      </w:pPr>
      <w:r w:rsidRPr="004A3983">
        <w:rPr>
          <w:rFonts w:ascii="Gotham Book" w:hAnsi="Gotham Book"/>
        </w:rPr>
        <w:t xml:space="preserve">For these reasons, the Commission recommends that the NSW Police Force adopt a responsive resourcing model for the Registry, which ensures that the resourcing of the Registry keeps pace with increases in the volume and complexity of its workload. </w:t>
      </w:r>
    </w:p>
    <w:p w14:paraId="20EB6BEE" w14:textId="795FF2E2" w:rsidR="00EA797A" w:rsidRPr="004A3983" w:rsidRDefault="00BC2B99" w:rsidP="00753693">
      <w:pPr>
        <w:pStyle w:val="RecommendationHeadings"/>
        <w:spacing w:after="160"/>
        <w:ind w:right="-2"/>
      </w:pPr>
      <w:bookmarkStart w:id="333" w:name="_Toc22277339"/>
      <w:r w:rsidRPr="004A3983">
        <w:rPr>
          <w:b/>
        </w:rPr>
        <w:t>A</w:t>
      </w:r>
      <w:r w:rsidR="00EA797A" w:rsidRPr="004A3983">
        <w:rPr>
          <w:b/>
        </w:rPr>
        <w:t xml:space="preserve">dopt </w:t>
      </w:r>
      <w:r w:rsidR="00941147" w:rsidRPr="004A3983">
        <w:rPr>
          <w:b/>
        </w:rPr>
        <w:t xml:space="preserve">a </w:t>
      </w:r>
      <w:r w:rsidR="00EA797A" w:rsidRPr="004A3983">
        <w:rPr>
          <w:b/>
        </w:rPr>
        <w:t>responsive model of resourcing</w:t>
      </w:r>
      <w:r w:rsidR="00B8678C" w:rsidRPr="004A3983">
        <w:rPr>
          <w:b/>
        </w:rPr>
        <w:t xml:space="preserve"> for the Child Protection Registry</w:t>
      </w:r>
      <w:r w:rsidR="008A4634" w:rsidRPr="004A3983">
        <w:t xml:space="preserve">. </w:t>
      </w:r>
      <w:r w:rsidR="003F2E00" w:rsidRPr="004A3983">
        <w:t>The NSW Police Force ensure</w:t>
      </w:r>
      <w:r w:rsidR="00EA797A" w:rsidRPr="004A3983">
        <w:t xml:space="preserve"> tha</w:t>
      </w:r>
      <w:r w:rsidR="00B8678C" w:rsidRPr="004A3983">
        <w:t>t the resourcing of the Registry</w:t>
      </w:r>
      <w:r w:rsidR="00EA797A" w:rsidRPr="004A3983">
        <w:t xml:space="preserve"> is reviewed at least every two years, and that staffing is maintained at a level sufficient to perform statutory functions under the CPOR Act efficiently and accurately.</w:t>
      </w:r>
      <w:bookmarkEnd w:id="333"/>
      <w:r w:rsidR="00EA797A" w:rsidRPr="004A3983">
        <w:t xml:space="preserve">  </w:t>
      </w:r>
    </w:p>
    <w:p w14:paraId="6B353862" w14:textId="60CBE46F" w:rsidR="005E3D97" w:rsidRPr="004A3983" w:rsidRDefault="005E1F30" w:rsidP="00753693">
      <w:pPr>
        <w:spacing w:after="160"/>
      </w:pPr>
      <w:r w:rsidRPr="003018D6">
        <w:rPr>
          <w:rStyle w:val="Bold"/>
        </w:rPr>
        <w:t>NSW Police Force response to Recommendation 2:</w:t>
      </w:r>
      <w:r w:rsidRPr="004A3983">
        <w:t xml:space="preserve"> </w:t>
      </w:r>
      <w:r w:rsidR="00FD5B04" w:rsidRPr="004A3983">
        <w:t>The NSW Police Force has stated that it supports this recommendation ‘to the extent that the NSWPF agrees to</w:t>
      </w:r>
      <w:r w:rsidR="003018D6">
        <w:t> </w:t>
      </w:r>
      <w:r w:rsidR="00FD5B04" w:rsidRPr="004A3983">
        <w:t>conduct a review of the resourcing of the Registry every two years in order to consider the optimal staffing level based on its responsibilities and risks.’</w:t>
      </w:r>
      <w:r w:rsidR="00FD5B04" w:rsidRPr="004A3983">
        <w:rPr>
          <w:rStyle w:val="FootnoteReference"/>
        </w:rPr>
        <w:footnoteReference w:id="385"/>
      </w:r>
      <w:r w:rsidR="00FD5B04" w:rsidRPr="004A3983">
        <w:t xml:space="preserve"> </w:t>
      </w:r>
    </w:p>
    <w:p w14:paraId="2B96EF03" w14:textId="77777777" w:rsidR="00371776" w:rsidRDefault="00371776" w:rsidP="00AD44AE">
      <w:pPr>
        <w:autoSpaceDE w:val="0"/>
        <w:autoSpaceDN w:val="0"/>
        <w:adjustRightInd w:val="0"/>
        <w:spacing w:after="160"/>
        <w:ind w:right="-2"/>
        <w:rPr>
          <w:rFonts w:cs="Arial"/>
          <w:sz w:val="18"/>
          <w:szCs w:val="18"/>
        </w:rPr>
      </w:pPr>
    </w:p>
    <w:p w14:paraId="43E31464" w14:textId="3F3D3E97" w:rsidR="003018D6" w:rsidRPr="004A3983" w:rsidRDefault="003018D6" w:rsidP="00AD44AE">
      <w:pPr>
        <w:autoSpaceDE w:val="0"/>
        <w:autoSpaceDN w:val="0"/>
        <w:adjustRightInd w:val="0"/>
        <w:spacing w:after="160"/>
        <w:ind w:right="-2"/>
        <w:rPr>
          <w:rFonts w:cs="Arial"/>
          <w:sz w:val="18"/>
          <w:szCs w:val="18"/>
        </w:rPr>
        <w:sectPr w:rsidR="003018D6" w:rsidRPr="004A3983" w:rsidSect="00C36AFD">
          <w:pgSz w:w="11906" w:h="16838"/>
          <w:pgMar w:top="720" w:right="1276" w:bottom="1418" w:left="1276" w:header="709" w:footer="567" w:gutter="0"/>
          <w:cols w:space="708"/>
          <w:titlePg/>
          <w:docGrid w:linePitch="360"/>
        </w:sectPr>
      </w:pPr>
    </w:p>
    <w:p w14:paraId="01C2F940" w14:textId="77777777" w:rsidR="00B20BE6" w:rsidRPr="004A3983" w:rsidRDefault="00B20BE6" w:rsidP="00F03C93">
      <w:pPr>
        <w:autoSpaceDE w:val="0"/>
        <w:autoSpaceDN w:val="0"/>
        <w:adjustRightInd w:val="0"/>
        <w:spacing w:after="160"/>
        <w:ind w:right="260"/>
        <w:rPr>
          <w:rFonts w:cs="Arial"/>
          <w:sz w:val="18"/>
          <w:szCs w:val="18"/>
        </w:rPr>
      </w:pPr>
    </w:p>
    <w:p w14:paraId="111013EE" w14:textId="77777777" w:rsidR="008B1CB3" w:rsidRPr="004A3983" w:rsidRDefault="008B1CB3" w:rsidP="001C3982">
      <w:pPr>
        <w:pStyle w:val="Heading1"/>
        <w:framePr w:wrap="around"/>
      </w:pPr>
      <w:r w:rsidRPr="004A3983">
        <w:br w:type="page"/>
      </w:r>
      <w:r w:rsidRPr="004A3983">
        <w:br/>
      </w:r>
      <w:bookmarkStart w:id="334" w:name="_Ref9350149"/>
      <w:bookmarkStart w:id="335" w:name="_Toc22627796"/>
      <w:r w:rsidRPr="004A3983">
        <w:t xml:space="preserve">Problems with the </w:t>
      </w:r>
      <w:r w:rsidRPr="00233D69">
        <w:rPr>
          <w:rStyle w:val="Italic"/>
          <w:color w:val="FFFFFF" w:themeColor="background1"/>
        </w:rPr>
        <w:t>Child Protection (Offenders Registration) Act 2000</w:t>
      </w:r>
      <w:r w:rsidRPr="00233D69">
        <w:rPr>
          <w:color w:val="FFFFFF" w:themeColor="background1"/>
        </w:rPr>
        <w:t xml:space="preserve"> </w:t>
      </w:r>
      <w:r w:rsidRPr="004A3983">
        <w:t>(NSW)</w:t>
      </w:r>
      <w:bookmarkEnd w:id="334"/>
      <w:bookmarkEnd w:id="335"/>
      <w:r w:rsidRPr="004A3983">
        <w:t xml:space="preserve"> </w:t>
      </w:r>
    </w:p>
    <w:p w14:paraId="60E331A6" w14:textId="6140A2AF" w:rsidR="002C1153" w:rsidRPr="004A3983" w:rsidRDefault="002C1153" w:rsidP="00F03C93">
      <w:pPr>
        <w:spacing w:after="160"/>
        <w:ind w:right="260"/>
      </w:pPr>
      <w:r w:rsidRPr="004A3983">
        <w:br w:type="page"/>
      </w:r>
    </w:p>
    <w:p w14:paraId="07AE0F22" w14:textId="70F9A736" w:rsidR="00B20BE6" w:rsidRPr="00233D69" w:rsidRDefault="002C1153" w:rsidP="00233D69">
      <w:pPr>
        <w:pStyle w:val="Quotelarge"/>
      </w:pPr>
      <w:r w:rsidRPr="00233D69">
        <w:lastRenderedPageBreak/>
        <w:t>‘[The] complex and ambiguous legislative framework…creates a degree of risk that cannot be entirely mitigated. The current legislation does not permit an easy administrative solution that can reliably remove the inherent risk.’</w:t>
      </w:r>
    </w:p>
    <w:p w14:paraId="5C778A18" w14:textId="7CD55BC9" w:rsidR="002C1153" w:rsidRPr="004A3983" w:rsidRDefault="00233D69" w:rsidP="00233D69">
      <w:pPr>
        <w:pStyle w:val="QuotelargeAuthor"/>
      </w:pPr>
      <w:r>
        <w:t xml:space="preserve"> – </w:t>
      </w:r>
      <w:r w:rsidR="002C1153" w:rsidRPr="004A3983">
        <w:t>NSW Commissioner of Police, October 2018</w:t>
      </w:r>
      <w:r w:rsidR="002C1153" w:rsidRPr="004A3983">
        <w:rPr>
          <w:rStyle w:val="FootnoteReference"/>
        </w:rPr>
        <w:footnoteReference w:id="386"/>
      </w:r>
    </w:p>
    <w:p w14:paraId="6EED5123" w14:textId="1D7C934F" w:rsidR="002C1153" w:rsidRPr="004A3983" w:rsidRDefault="00E440A7" w:rsidP="00E15D0F">
      <w:pPr>
        <w:pStyle w:val="Heading2"/>
        <w:spacing w:after="160"/>
        <w:ind w:right="-2"/>
      </w:pPr>
      <w:bookmarkStart w:id="336" w:name="_Toc22627797"/>
      <w:r w:rsidRPr="004A3983">
        <w:t>Introduction</w:t>
      </w:r>
      <w:bookmarkEnd w:id="336"/>
    </w:p>
    <w:p w14:paraId="7BDB6657" w14:textId="4756CEF9" w:rsidR="00E35DA0" w:rsidRPr="004A3983" w:rsidRDefault="00E35DA0" w:rsidP="00E15D0F">
      <w:pPr>
        <w:spacing w:after="160"/>
        <w:ind w:right="-2"/>
        <w:rPr>
          <w:rFonts w:ascii="Gotham Book" w:hAnsi="Gotham Book"/>
        </w:rPr>
      </w:pPr>
      <w:r w:rsidRPr="004A3983">
        <w:rPr>
          <w:rFonts w:ascii="Gotham Book" w:hAnsi="Gotham Book"/>
        </w:rPr>
        <w:t>The NSW Police Force and the Commission agree that the CPOR Act as currently drafted is so complex and ambiguous in important respects that it creates an inherent risk of errors in the Child Protection Register (the Register) that the NSW Police Force cannot mitigate.</w:t>
      </w:r>
      <w:r w:rsidRPr="004A3983">
        <w:rPr>
          <w:rStyle w:val="FootnoteReference"/>
          <w:rFonts w:ascii="Gotham Book" w:hAnsi="Gotham Book"/>
        </w:rPr>
        <w:footnoteReference w:id="387"/>
      </w:r>
      <w:r w:rsidRPr="004A3983">
        <w:rPr>
          <w:rFonts w:ascii="Gotham Book" w:hAnsi="Gotham Book"/>
        </w:rPr>
        <w:t xml:space="preserve"> </w:t>
      </w:r>
    </w:p>
    <w:p w14:paraId="23999C9B" w14:textId="201F4CAD" w:rsidR="00E35DA0" w:rsidRPr="004A3983" w:rsidRDefault="00E35DA0" w:rsidP="00E15D0F">
      <w:pPr>
        <w:spacing w:after="160"/>
        <w:ind w:right="-2"/>
        <w:rPr>
          <w:rFonts w:ascii="Gotham Book" w:hAnsi="Gotham Book"/>
        </w:rPr>
      </w:pPr>
      <w:r w:rsidRPr="004A3983">
        <w:rPr>
          <w:rFonts w:ascii="Gotham Book" w:hAnsi="Gotham Book" w:cs="Arial"/>
        </w:rPr>
        <w:t xml:space="preserve">The </w:t>
      </w:r>
      <w:r w:rsidRPr="004A3983">
        <w:rPr>
          <w:rFonts w:ascii="Gotham Book" w:hAnsi="Gotham Book"/>
          <w:i/>
        </w:rPr>
        <w:t xml:space="preserve">Child Protection (Offenders Registration) Act 2000 </w:t>
      </w:r>
      <w:r w:rsidRPr="004A3983">
        <w:rPr>
          <w:rFonts w:ascii="Gotham Book" w:hAnsi="Gotham Book"/>
        </w:rPr>
        <w:t>(NSW)</w:t>
      </w:r>
      <w:r w:rsidRPr="004A3983">
        <w:rPr>
          <w:rFonts w:ascii="Gotham Book" w:hAnsi="Gotham Book"/>
          <w:i/>
        </w:rPr>
        <w:t xml:space="preserve"> </w:t>
      </w:r>
      <w:r w:rsidRPr="004A3983">
        <w:rPr>
          <w:rFonts w:ascii="Gotham Book" w:hAnsi="Gotham Book"/>
        </w:rPr>
        <w:t>(</w:t>
      </w:r>
      <w:r w:rsidR="004119C1" w:rsidRPr="004A3983">
        <w:rPr>
          <w:rFonts w:ascii="Gotham Book" w:hAnsi="Gotham Book"/>
        </w:rPr>
        <w:t xml:space="preserve">the </w:t>
      </w:r>
      <w:r w:rsidRPr="004A3983">
        <w:rPr>
          <w:rFonts w:ascii="Gotham Book" w:hAnsi="Gotham Book"/>
        </w:rPr>
        <w:t>CPOR Act)</w:t>
      </w:r>
      <w:r w:rsidRPr="004A3983">
        <w:rPr>
          <w:rFonts w:ascii="Gotham Book" w:hAnsi="Gotham Book" w:cs="Arial"/>
        </w:rPr>
        <w:t xml:space="preserve"> is the</w:t>
      </w:r>
      <w:r w:rsidR="00233D69">
        <w:rPr>
          <w:rFonts w:ascii="Gotham Book" w:hAnsi="Gotham Book" w:cs="Arial"/>
        </w:rPr>
        <w:t> </w:t>
      </w:r>
      <w:r w:rsidRPr="004A3983">
        <w:rPr>
          <w:rFonts w:ascii="Gotham Book" w:hAnsi="Gotham Book" w:cs="Arial"/>
        </w:rPr>
        <w:t>oldest statutory scheme for the mandatory registration of child sex offenders in Australia.</w:t>
      </w:r>
      <w:r w:rsidRPr="004A3983">
        <w:rPr>
          <w:rStyle w:val="FootnoteReference"/>
          <w:rFonts w:ascii="Gotham Book" w:hAnsi="Gotham Book"/>
        </w:rPr>
        <w:footnoteReference w:id="388"/>
      </w:r>
      <w:r w:rsidRPr="004A3983">
        <w:rPr>
          <w:rFonts w:ascii="Gotham Book" w:hAnsi="Gotham Book"/>
        </w:rPr>
        <w:t xml:space="preserve"> It commenced in October 2001, and has been amended 41 times. </w:t>
      </w:r>
    </w:p>
    <w:p w14:paraId="116069D1" w14:textId="050EE751" w:rsidR="00E35DA0" w:rsidRPr="004A3983" w:rsidRDefault="00AE7B10" w:rsidP="00E15D0F">
      <w:pPr>
        <w:spacing w:after="160"/>
        <w:ind w:right="-2"/>
        <w:rPr>
          <w:rFonts w:ascii="Gotham Book" w:hAnsi="Gotham Book"/>
        </w:rPr>
      </w:pPr>
      <w:r w:rsidRPr="004A3983">
        <w:rPr>
          <w:rFonts w:ascii="Gotham Book" w:hAnsi="Gotham Book"/>
        </w:rPr>
        <w:t xml:space="preserve">The NSW Commissioner of Police has stated that </w:t>
      </w:r>
      <w:r w:rsidR="005E7375" w:rsidRPr="004A3983">
        <w:rPr>
          <w:rFonts w:ascii="Gotham Book" w:hAnsi="Gotham Book"/>
        </w:rPr>
        <w:t xml:space="preserve">the CPOR Act </w:t>
      </w:r>
      <w:r w:rsidR="00A635C3" w:rsidRPr="004A3983">
        <w:rPr>
          <w:rFonts w:ascii="Gotham Book" w:hAnsi="Gotham Book"/>
        </w:rPr>
        <w:t>‘</w:t>
      </w:r>
      <w:r w:rsidRPr="004A3983">
        <w:rPr>
          <w:rFonts w:ascii="Gotham Book" w:hAnsi="Gotham Book"/>
        </w:rPr>
        <w:t>has been enormously challenging for the NSWPF to administer’.</w:t>
      </w:r>
      <w:r w:rsidRPr="004A3983">
        <w:rPr>
          <w:rStyle w:val="FootnoteReference"/>
          <w:rFonts w:ascii="Gotham Book" w:hAnsi="Gotham Book"/>
        </w:rPr>
        <w:footnoteReference w:id="389"/>
      </w:r>
      <w:r w:rsidRPr="004A3983">
        <w:rPr>
          <w:rFonts w:ascii="Gotham Book" w:hAnsi="Gotham Book"/>
        </w:rPr>
        <w:t xml:space="preserve"> </w:t>
      </w:r>
      <w:r w:rsidR="00E35DA0" w:rsidRPr="004A3983">
        <w:rPr>
          <w:rFonts w:ascii="Gotham Book" w:hAnsi="Gotham Book"/>
        </w:rPr>
        <w:t xml:space="preserve">As part of Operation Tusket, the Commission analysed the provisions of the CPOR Act, and identified a number of significant problems </w:t>
      </w:r>
      <w:r w:rsidR="00B87D32" w:rsidRPr="004A3983">
        <w:rPr>
          <w:rFonts w:ascii="Gotham Book" w:hAnsi="Gotham Book"/>
        </w:rPr>
        <w:t>with the way the Act is drafted</w:t>
      </w:r>
      <w:r w:rsidR="00E35DA0" w:rsidRPr="004A3983">
        <w:rPr>
          <w:rFonts w:ascii="Gotham Book" w:hAnsi="Gotham Book"/>
        </w:rPr>
        <w:t xml:space="preserve"> which make it difficult to apply. </w:t>
      </w:r>
      <w:r w:rsidR="003B3FB4" w:rsidRPr="004A3983">
        <w:rPr>
          <w:rFonts w:ascii="Gotham Book" w:hAnsi="Gotham Book"/>
        </w:rPr>
        <w:t>We provided a</w:t>
      </w:r>
      <w:r w:rsidR="00E35DA0" w:rsidRPr="004A3983">
        <w:rPr>
          <w:rFonts w:ascii="Gotham Book" w:hAnsi="Gotham Book"/>
        </w:rPr>
        <w:t xml:space="preserve"> technical analysis of these problems to the NSW Police Force</w:t>
      </w:r>
      <w:r w:rsidR="004211B4" w:rsidRPr="004A3983">
        <w:rPr>
          <w:rFonts w:ascii="Gotham Book" w:hAnsi="Gotham Book"/>
        </w:rPr>
        <w:t xml:space="preserve"> in August 2018, and conducted a consultation with relevant officers</w:t>
      </w:r>
      <w:r w:rsidR="001A41E4" w:rsidRPr="004A3983">
        <w:rPr>
          <w:rFonts w:ascii="Gotham Book" w:hAnsi="Gotham Book"/>
        </w:rPr>
        <w:t xml:space="preserve"> in October 2018</w:t>
      </w:r>
      <w:r w:rsidR="00E35DA0" w:rsidRPr="004A3983">
        <w:rPr>
          <w:rFonts w:ascii="Gotham Book" w:hAnsi="Gotham Book"/>
        </w:rPr>
        <w:t xml:space="preserve">. The Commission’s final analysis of the problems with the CPOR Act, incorporating feedback from the NSW Police Force, is contained in </w:t>
      </w:r>
      <w:r w:rsidR="00C76F7C" w:rsidRPr="004A3983">
        <w:rPr>
          <w:rFonts w:ascii="Gotham Book" w:hAnsi="Gotham Book"/>
        </w:rPr>
        <w:t>Appendix 2</w:t>
      </w:r>
      <w:r w:rsidR="00E35DA0" w:rsidRPr="004A3983">
        <w:rPr>
          <w:rFonts w:ascii="Gotham Book" w:hAnsi="Gotham Book"/>
        </w:rPr>
        <w:t>. In that Appendix we identify more than 20 problems with th</w:t>
      </w:r>
      <w:r w:rsidR="00283FCF" w:rsidRPr="004A3983">
        <w:rPr>
          <w:rFonts w:ascii="Gotham Book" w:hAnsi="Gotham Book"/>
        </w:rPr>
        <w:t xml:space="preserve">e Act. This chapter contains a summary </w:t>
      </w:r>
      <w:r w:rsidR="00E35DA0" w:rsidRPr="004A3983">
        <w:rPr>
          <w:rFonts w:ascii="Gotham Book" w:hAnsi="Gotham Book"/>
        </w:rPr>
        <w:t xml:space="preserve">of the type of problems identified. </w:t>
      </w:r>
    </w:p>
    <w:p w14:paraId="7BA03EA3" w14:textId="183F1C01" w:rsidR="00E35DA0" w:rsidRPr="004A3983" w:rsidRDefault="00E35DA0" w:rsidP="00E15D0F">
      <w:pPr>
        <w:spacing w:after="160"/>
        <w:ind w:right="-2"/>
        <w:rPr>
          <w:rFonts w:ascii="Gotham Book" w:hAnsi="Gotham Book"/>
        </w:rPr>
      </w:pPr>
      <w:r w:rsidRPr="004A3983">
        <w:rPr>
          <w:rFonts w:ascii="Gotham Book" w:hAnsi="Gotham Book"/>
        </w:rPr>
        <w:t xml:space="preserve">The </w:t>
      </w:r>
      <w:r w:rsidR="000D256C" w:rsidRPr="004A3983">
        <w:rPr>
          <w:rFonts w:ascii="Gotham Book" w:hAnsi="Gotham Book"/>
        </w:rPr>
        <w:t xml:space="preserve">NSW </w:t>
      </w:r>
      <w:r w:rsidRPr="004A3983">
        <w:rPr>
          <w:rFonts w:ascii="Gotham Book" w:hAnsi="Gotham Book"/>
        </w:rPr>
        <w:t xml:space="preserve">Commissioner </w:t>
      </w:r>
      <w:r w:rsidR="00F02F2F" w:rsidRPr="004A3983">
        <w:rPr>
          <w:rFonts w:ascii="Gotham Book" w:hAnsi="Gotham Book"/>
        </w:rPr>
        <w:t xml:space="preserve">of </w:t>
      </w:r>
      <w:r w:rsidR="000D256C" w:rsidRPr="004A3983">
        <w:rPr>
          <w:rFonts w:ascii="Gotham Book" w:hAnsi="Gotham Book"/>
        </w:rPr>
        <w:t>Police</w:t>
      </w:r>
      <w:r w:rsidR="00F02F2F" w:rsidRPr="004A3983">
        <w:rPr>
          <w:rFonts w:ascii="Gotham Book" w:hAnsi="Gotham Book"/>
        </w:rPr>
        <w:t xml:space="preserve"> </w:t>
      </w:r>
      <w:r w:rsidRPr="004A3983">
        <w:rPr>
          <w:rFonts w:ascii="Gotham Book" w:hAnsi="Gotham Book"/>
        </w:rPr>
        <w:t>has stated that it is ‘critically important’ that the Commission’s analysis of the problems with the CPOR Act is considered in any public debate about the appropriate response to this report.</w:t>
      </w:r>
      <w:r w:rsidRPr="004A3983">
        <w:rPr>
          <w:rStyle w:val="FootnoteReference"/>
          <w:rFonts w:ascii="Gotham Book" w:hAnsi="Gotham Book"/>
        </w:rPr>
        <w:footnoteReference w:id="390"/>
      </w:r>
      <w:r w:rsidRPr="004A3983">
        <w:rPr>
          <w:rFonts w:ascii="Gotham Book" w:hAnsi="Gotham Book"/>
        </w:rPr>
        <w:t xml:space="preserve"> The long list of problems with the legal framework which the NSW Police Force Child Protection Registry (the Registry) must apply ‘provides significant </w:t>
      </w:r>
      <w:r w:rsidRPr="004A3983">
        <w:rPr>
          <w:rFonts w:ascii="Gotham Book" w:hAnsi="Gotham Book" w:cs="Arial"/>
        </w:rPr>
        <w:t>context and explains many of the issues experienced within the Registry on a day to day basis’.</w:t>
      </w:r>
      <w:r w:rsidRPr="004A3983">
        <w:rPr>
          <w:rStyle w:val="FootnoteReference"/>
          <w:rFonts w:ascii="Gotham Book" w:hAnsi="Gotham Book" w:cs="Arial"/>
        </w:rPr>
        <w:footnoteReference w:id="391"/>
      </w:r>
      <w:r w:rsidRPr="004A3983">
        <w:rPr>
          <w:rFonts w:cs="Arial"/>
        </w:rPr>
        <w:t xml:space="preserve"> </w:t>
      </w:r>
    </w:p>
    <w:p w14:paraId="263AE477" w14:textId="499E3419" w:rsidR="00E35DA0" w:rsidRPr="004A3983" w:rsidRDefault="00E35DA0" w:rsidP="00E15D0F">
      <w:pPr>
        <w:spacing w:after="160"/>
        <w:ind w:right="-2"/>
        <w:rPr>
          <w:rFonts w:ascii="Gotham Book" w:hAnsi="Gotham Book" w:cs="Arial"/>
        </w:rPr>
      </w:pPr>
      <w:r w:rsidRPr="004A3983">
        <w:rPr>
          <w:rFonts w:ascii="Gotham Book" w:hAnsi="Gotham Book" w:cs="Arial"/>
        </w:rPr>
        <w:t xml:space="preserve">The way the CPOR Act is drafted creates such difficulties for those responsible for applying the Act that it undermines the Act’s object of ensuring that registrable persons are monitored and comply with their obligations. Without substantial reform of the framework of the CPOR Act, the risk </w:t>
      </w:r>
      <w:r w:rsidR="006410D5" w:rsidRPr="004A3983">
        <w:rPr>
          <w:rFonts w:ascii="Gotham Book" w:hAnsi="Gotham Book" w:cs="Arial"/>
        </w:rPr>
        <w:t>of</w:t>
      </w:r>
      <w:r w:rsidR="00163164" w:rsidRPr="004A3983">
        <w:rPr>
          <w:rFonts w:ascii="Gotham Book" w:hAnsi="Gotham Book" w:cs="Arial"/>
        </w:rPr>
        <w:t xml:space="preserve"> </w:t>
      </w:r>
      <w:r w:rsidRPr="004A3983">
        <w:rPr>
          <w:rFonts w:ascii="Gotham Book" w:hAnsi="Gotham Book" w:cs="Arial"/>
        </w:rPr>
        <w:t xml:space="preserve">the types of errors and consequences </w:t>
      </w:r>
      <w:r w:rsidR="00163164" w:rsidRPr="004A3983">
        <w:rPr>
          <w:rFonts w:ascii="Gotham Book" w:hAnsi="Gotham Book" w:cs="Arial"/>
        </w:rPr>
        <w:t xml:space="preserve">outlined in </w:t>
      </w:r>
      <w:r w:rsidR="00DD0F8E" w:rsidRPr="004A3983">
        <w:rPr>
          <w:rFonts w:ascii="Gotham Book" w:hAnsi="Gotham Book" w:cs="Arial"/>
        </w:rPr>
        <w:t>Chapter</w:t>
      </w:r>
      <w:r w:rsidR="00EC51C3" w:rsidRPr="004A3983">
        <w:rPr>
          <w:rFonts w:ascii="Gotham Book" w:hAnsi="Gotham Book" w:cs="Arial"/>
        </w:rPr>
        <w:t xml:space="preserve"> 3 of </w:t>
      </w:r>
      <w:r w:rsidR="00163164" w:rsidRPr="004A3983">
        <w:rPr>
          <w:rFonts w:ascii="Gotham Book" w:hAnsi="Gotham Book" w:cs="Arial"/>
        </w:rPr>
        <w:t>this report</w:t>
      </w:r>
      <w:r w:rsidRPr="004A3983">
        <w:rPr>
          <w:rFonts w:ascii="Gotham Book" w:hAnsi="Gotham Book" w:cs="Arial"/>
        </w:rPr>
        <w:t xml:space="preserve"> </w:t>
      </w:r>
      <w:r w:rsidR="00163164" w:rsidRPr="004A3983">
        <w:rPr>
          <w:rFonts w:ascii="Gotham Book" w:hAnsi="Gotham Book" w:cs="Arial"/>
        </w:rPr>
        <w:t>will continue</w:t>
      </w:r>
      <w:r w:rsidRPr="004A3983">
        <w:rPr>
          <w:rFonts w:ascii="Gotham Book" w:hAnsi="Gotham Book" w:cs="Arial"/>
        </w:rPr>
        <w:t>.</w:t>
      </w:r>
    </w:p>
    <w:p w14:paraId="194F8B77" w14:textId="77777777" w:rsidR="00357537" w:rsidRPr="004A3983" w:rsidRDefault="00357537" w:rsidP="00357537">
      <w:pPr>
        <w:spacing w:after="160"/>
        <w:ind w:right="-2"/>
        <w:rPr>
          <w:rFonts w:ascii="Gotham Book" w:hAnsi="Gotham Book" w:cs="Arial"/>
        </w:rPr>
      </w:pPr>
      <w:r w:rsidRPr="004A3983">
        <w:rPr>
          <w:rFonts w:ascii="Gotham Book" w:hAnsi="Gotham Book" w:cs="Arial"/>
        </w:rPr>
        <w:lastRenderedPageBreak/>
        <w:t xml:space="preserve">The Commission and the NSW Police Force agree that there is an urgent need for comprehensive reform of the CPOR Act. </w:t>
      </w:r>
    </w:p>
    <w:p w14:paraId="1B111A1F" w14:textId="4CC051FA" w:rsidR="00E35DA0" w:rsidRPr="004A3983" w:rsidRDefault="00E35DA0" w:rsidP="00E15D0F">
      <w:pPr>
        <w:spacing w:after="160"/>
        <w:ind w:right="-2"/>
        <w:rPr>
          <w:rFonts w:ascii="Gotham Book" w:hAnsi="Gotham Book" w:cs="Arial"/>
        </w:rPr>
      </w:pPr>
      <w:r w:rsidRPr="004A3983">
        <w:rPr>
          <w:rFonts w:ascii="Gotham Book" w:hAnsi="Gotham Book" w:cs="Arial"/>
        </w:rPr>
        <w:t xml:space="preserve">The Commission </w:t>
      </w:r>
      <w:r w:rsidR="00980D82" w:rsidRPr="004A3983">
        <w:rPr>
          <w:rFonts w:ascii="Gotham Book" w:hAnsi="Gotham Book" w:cs="Arial"/>
        </w:rPr>
        <w:t>recommend</w:t>
      </w:r>
      <w:r w:rsidR="002971AA" w:rsidRPr="004A3983">
        <w:rPr>
          <w:rFonts w:ascii="Gotham Book" w:hAnsi="Gotham Book" w:cs="Arial"/>
        </w:rPr>
        <w:t>s</w:t>
      </w:r>
      <w:r w:rsidR="00353BEA" w:rsidRPr="004A3983">
        <w:rPr>
          <w:rFonts w:ascii="Gotham Book" w:hAnsi="Gotham Book" w:cs="Arial"/>
        </w:rPr>
        <w:t xml:space="preserve"> that the Attorney-General</w:t>
      </w:r>
      <w:r w:rsidRPr="004A3983">
        <w:rPr>
          <w:rFonts w:ascii="Gotham Book" w:hAnsi="Gotham Book" w:cs="Arial"/>
        </w:rPr>
        <w:t xml:space="preserve"> </w:t>
      </w:r>
      <w:r w:rsidR="003A0CA5" w:rsidRPr="004A3983">
        <w:rPr>
          <w:rFonts w:ascii="Gotham Book" w:hAnsi="Gotham Book" w:cs="Arial"/>
        </w:rPr>
        <w:t xml:space="preserve">urgently </w:t>
      </w:r>
      <w:r w:rsidRPr="004A3983">
        <w:rPr>
          <w:rFonts w:ascii="Gotham Book" w:hAnsi="Gotham Book" w:cs="Arial"/>
        </w:rPr>
        <w:t>refer the CPOR Act to the NSW La</w:t>
      </w:r>
      <w:r w:rsidR="00353BEA" w:rsidRPr="004A3983">
        <w:rPr>
          <w:rFonts w:ascii="Gotham Book" w:hAnsi="Gotham Book" w:cs="Arial"/>
        </w:rPr>
        <w:t xml:space="preserve">w Reform Commission for comprehensive </w:t>
      </w:r>
      <w:r w:rsidRPr="004A3983">
        <w:rPr>
          <w:rFonts w:ascii="Gotham Book" w:hAnsi="Gotham Book" w:cs="Arial"/>
        </w:rPr>
        <w:t>review</w:t>
      </w:r>
      <w:r w:rsidR="003A0CA5" w:rsidRPr="004A3983">
        <w:rPr>
          <w:rFonts w:ascii="Gotham Book" w:hAnsi="Gotham Book" w:cs="Arial"/>
        </w:rPr>
        <w:t>, to be comp</w:t>
      </w:r>
      <w:r w:rsidR="006526C5" w:rsidRPr="004A3983">
        <w:rPr>
          <w:rFonts w:ascii="Gotham Book" w:hAnsi="Gotham Book" w:cs="Arial"/>
        </w:rPr>
        <w:t>l</w:t>
      </w:r>
      <w:r w:rsidR="003A0CA5" w:rsidRPr="004A3983">
        <w:rPr>
          <w:rFonts w:ascii="Gotham Book" w:hAnsi="Gotham Book" w:cs="Arial"/>
        </w:rPr>
        <w:t xml:space="preserve">eted within </w:t>
      </w:r>
      <w:r w:rsidR="00B5035F" w:rsidRPr="004A3983">
        <w:rPr>
          <w:rFonts w:ascii="Gotham Book" w:hAnsi="Gotham Book" w:cs="Arial"/>
        </w:rPr>
        <w:t>six</w:t>
      </w:r>
      <w:r w:rsidR="003A0CA5" w:rsidRPr="004A3983">
        <w:rPr>
          <w:rFonts w:ascii="Gotham Book" w:hAnsi="Gotham Book" w:cs="Arial"/>
        </w:rPr>
        <w:t xml:space="preserve"> months.</w:t>
      </w:r>
    </w:p>
    <w:p w14:paraId="7A23E423" w14:textId="20758EFD" w:rsidR="00E35DA0" w:rsidRPr="004A3983" w:rsidRDefault="00E35DA0" w:rsidP="00E15D0F">
      <w:pPr>
        <w:spacing w:after="160"/>
        <w:ind w:right="-2"/>
        <w:rPr>
          <w:rFonts w:ascii="Gotham Book" w:hAnsi="Gotham Book" w:cs="Arial"/>
        </w:rPr>
      </w:pPr>
      <w:r w:rsidRPr="004A3983">
        <w:rPr>
          <w:rFonts w:ascii="Gotham Book" w:hAnsi="Gotham Book" w:cs="Arial"/>
        </w:rPr>
        <w:t xml:space="preserve">In this chapter we also make recommendations for a statutory review mechanism, and that the NSW Police Force provides individuals with the basis for decisions made under the CPOR Act, to improve accountability. We also recommend that the NSW Police Force urgently </w:t>
      </w:r>
      <w:r w:rsidR="002B2BAC" w:rsidRPr="004A3983">
        <w:rPr>
          <w:rFonts w:ascii="Gotham Book" w:hAnsi="Gotham Book" w:cs="Arial"/>
        </w:rPr>
        <w:t>establish</w:t>
      </w:r>
      <w:r w:rsidRPr="004A3983">
        <w:rPr>
          <w:rFonts w:ascii="Gotham Book" w:hAnsi="Gotham Book" w:cs="Arial"/>
        </w:rPr>
        <w:t xml:space="preserve"> at least</w:t>
      </w:r>
      <w:r w:rsidR="002B2BAC" w:rsidRPr="004A3983">
        <w:rPr>
          <w:rFonts w:ascii="Gotham Book" w:hAnsi="Gotham Book" w:cs="Arial"/>
        </w:rPr>
        <w:t xml:space="preserve"> one dedicated legal officer within</w:t>
      </w:r>
      <w:r w:rsidRPr="004A3983">
        <w:rPr>
          <w:rFonts w:ascii="Gotham Book" w:hAnsi="Gotham Book" w:cs="Arial"/>
        </w:rPr>
        <w:t xml:space="preserve"> the Registry. </w:t>
      </w:r>
    </w:p>
    <w:p w14:paraId="6C734720" w14:textId="22498F93" w:rsidR="00E440A7" w:rsidRPr="004A3983" w:rsidRDefault="00CD7C3A" w:rsidP="00E15D0F">
      <w:pPr>
        <w:pStyle w:val="Heading2"/>
        <w:spacing w:after="160"/>
        <w:ind w:right="-2"/>
      </w:pPr>
      <w:bookmarkStart w:id="337" w:name="_Toc22627798"/>
      <w:r w:rsidRPr="004A3983">
        <w:t>Commission</w:t>
      </w:r>
      <w:r w:rsidR="00EB7D6A" w:rsidRPr="004A3983">
        <w:t>’s</w:t>
      </w:r>
      <w:r w:rsidR="00B604E6" w:rsidRPr="004A3983">
        <w:t xml:space="preserve"> analysis of the CPOR Act</w:t>
      </w:r>
      <w:bookmarkEnd w:id="337"/>
    </w:p>
    <w:p w14:paraId="2AABE320" w14:textId="61F4D047" w:rsidR="00B604E6" w:rsidRPr="004A3983" w:rsidRDefault="00B604E6" w:rsidP="00E15D0F">
      <w:pPr>
        <w:spacing w:after="160"/>
        <w:ind w:right="-2"/>
        <w:rPr>
          <w:rFonts w:ascii="Gotham Book" w:hAnsi="Gotham Book" w:cs="Arial"/>
        </w:rPr>
      </w:pPr>
      <w:r w:rsidRPr="004A3983">
        <w:rPr>
          <w:rFonts w:ascii="Gotham Book" w:hAnsi="Gotham Book" w:cs="Arial"/>
        </w:rPr>
        <w:t xml:space="preserve">In </w:t>
      </w:r>
      <w:r w:rsidR="000E4F3C" w:rsidRPr="004A3983">
        <w:rPr>
          <w:rFonts w:ascii="Gotham Book" w:hAnsi="Gotham Book" w:cs="Arial"/>
        </w:rPr>
        <w:t>Operation Tusket</w:t>
      </w:r>
      <w:r w:rsidRPr="004A3983">
        <w:rPr>
          <w:rFonts w:ascii="Gotham Book" w:hAnsi="Gotham Book" w:cs="Arial"/>
        </w:rPr>
        <w:t xml:space="preserve"> the Commission identified a number of problems with the way key provisions in the CPOR Act were drafted, which made it difficult</w:t>
      </w:r>
      <w:r w:rsidR="000E4F3C" w:rsidRPr="004A3983">
        <w:rPr>
          <w:rFonts w:ascii="Gotham Book" w:hAnsi="Gotham Book" w:cs="Arial"/>
        </w:rPr>
        <w:t xml:space="preserve"> in certain cases</w:t>
      </w:r>
      <w:r w:rsidRPr="004A3983">
        <w:rPr>
          <w:rFonts w:ascii="Gotham Book" w:hAnsi="Gotham Book" w:cs="Arial"/>
        </w:rPr>
        <w:t xml:space="preserve"> to determine how those provisions should be applied. The difficulty of interpreting and applying the CPOR Act appeared to the Commission to be a significant contributing factor to the </w:t>
      </w:r>
      <w:r w:rsidR="00947AFC" w:rsidRPr="004A3983">
        <w:rPr>
          <w:rFonts w:ascii="Gotham Book" w:hAnsi="Gotham Book" w:cs="Arial"/>
        </w:rPr>
        <w:t>incorrect decisions the NSW Police Force made in its administration of</w:t>
      </w:r>
      <w:r w:rsidRPr="004A3983">
        <w:rPr>
          <w:rFonts w:ascii="Gotham Book" w:hAnsi="Gotham Book" w:cs="Arial"/>
        </w:rPr>
        <w:t xml:space="preserve"> the Register.</w:t>
      </w:r>
    </w:p>
    <w:p w14:paraId="52F0DA25" w14:textId="3822037D" w:rsidR="00B604E6" w:rsidRPr="004A3983" w:rsidRDefault="00B604E6" w:rsidP="00E15D0F">
      <w:pPr>
        <w:spacing w:after="160"/>
        <w:ind w:right="-2"/>
        <w:rPr>
          <w:rFonts w:ascii="Gotham Book" w:hAnsi="Gotham Book" w:cs="Arial"/>
        </w:rPr>
      </w:pPr>
      <w:r w:rsidRPr="004A3983">
        <w:rPr>
          <w:rFonts w:ascii="Gotham Book" w:hAnsi="Gotham Book" w:cs="Arial"/>
        </w:rPr>
        <w:t>The Commission therefore decided to undertake a comprehensive analysis of the CPOR A</w:t>
      </w:r>
      <w:r w:rsidR="000D467F" w:rsidRPr="004A3983">
        <w:rPr>
          <w:rFonts w:ascii="Gotham Book" w:hAnsi="Gotham Book" w:cs="Arial"/>
        </w:rPr>
        <w:t>ct</w:t>
      </w:r>
      <w:r w:rsidRPr="004A3983">
        <w:rPr>
          <w:rFonts w:ascii="Gotham Book" w:hAnsi="Gotham Book" w:cs="Arial"/>
        </w:rPr>
        <w:t>, informed by our consultations with officers in th</w:t>
      </w:r>
      <w:r w:rsidR="00E03A05" w:rsidRPr="004A3983">
        <w:rPr>
          <w:rFonts w:ascii="Gotham Book" w:hAnsi="Gotham Book" w:cs="Arial"/>
        </w:rPr>
        <w:t xml:space="preserve">e Registry and our review of </w:t>
      </w:r>
      <w:r w:rsidRPr="004A3983">
        <w:rPr>
          <w:rFonts w:ascii="Gotham Book" w:hAnsi="Gotham Book" w:cs="Arial"/>
        </w:rPr>
        <w:t>Register case files in which errors had been made.</w:t>
      </w:r>
    </w:p>
    <w:p w14:paraId="7CED976D" w14:textId="6A09D54C" w:rsidR="00B604E6" w:rsidRPr="004A3983" w:rsidRDefault="00B604E6" w:rsidP="00E15D0F">
      <w:pPr>
        <w:spacing w:after="160"/>
        <w:ind w:right="-2"/>
        <w:rPr>
          <w:rFonts w:ascii="Gotham Book" w:hAnsi="Gotham Book" w:cs="Arial"/>
        </w:rPr>
      </w:pPr>
      <w:r w:rsidRPr="004A3983">
        <w:rPr>
          <w:rFonts w:ascii="Gotham Book" w:hAnsi="Gotham Book" w:cs="Arial"/>
        </w:rPr>
        <w:t xml:space="preserve">The Commission’s final analysis of the CPOR Act is set out in full in </w:t>
      </w:r>
      <w:r w:rsidR="004326BD" w:rsidRPr="004A3983">
        <w:rPr>
          <w:rFonts w:ascii="Gotham Book" w:hAnsi="Gotham Book" w:cs="Arial"/>
        </w:rPr>
        <w:t>Appendix 2</w:t>
      </w:r>
      <w:r w:rsidR="000D467F" w:rsidRPr="004A3983">
        <w:rPr>
          <w:rFonts w:ascii="Gotham Book" w:hAnsi="Gotham Book" w:cs="Arial"/>
        </w:rPr>
        <w:t>. That appendix</w:t>
      </w:r>
      <w:r w:rsidRPr="004A3983">
        <w:rPr>
          <w:rFonts w:ascii="Gotham Book" w:hAnsi="Gotham Book" w:cs="Arial"/>
        </w:rPr>
        <w:t xml:space="preserve"> includes the Commission’s conclusions </w:t>
      </w:r>
      <w:r w:rsidR="00451F7A" w:rsidRPr="004A3983">
        <w:rPr>
          <w:rFonts w:ascii="Gotham Book" w:hAnsi="Gotham Book" w:cs="Arial"/>
        </w:rPr>
        <w:t>about</w:t>
      </w:r>
      <w:r w:rsidRPr="004A3983">
        <w:rPr>
          <w:rFonts w:ascii="Gotham Book" w:hAnsi="Gotham Book" w:cs="Arial"/>
        </w:rPr>
        <w:t xml:space="preserve"> the provisions which must be redrafted if errors in the Register are to be avoided.</w:t>
      </w:r>
    </w:p>
    <w:p w14:paraId="6583C7F7" w14:textId="0BA49DC0" w:rsidR="00B604E6" w:rsidRPr="004A3983" w:rsidRDefault="00B604E6" w:rsidP="00E15D0F">
      <w:pPr>
        <w:pStyle w:val="Heading2"/>
        <w:spacing w:after="160"/>
        <w:ind w:right="-2"/>
      </w:pPr>
      <w:bookmarkStart w:id="338" w:name="_Toc22627799"/>
      <w:r w:rsidRPr="004A3983">
        <w:t>Overview of problems with the CPOR Act</w:t>
      </w:r>
      <w:bookmarkEnd w:id="338"/>
    </w:p>
    <w:p w14:paraId="011E880D" w14:textId="44AD0B63" w:rsidR="00BC0819" w:rsidRPr="004A3983" w:rsidRDefault="00BC0819" w:rsidP="00A65CE9">
      <w:pPr>
        <w:spacing w:after="160"/>
        <w:rPr>
          <w:rFonts w:ascii="Gotham Book" w:hAnsi="Gotham Book"/>
        </w:rPr>
      </w:pPr>
      <w:r w:rsidRPr="004A3983">
        <w:rPr>
          <w:rFonts w:ascii="Gotham Book" w:hAnsi="Gotham Book"/>
        </w:rPr>
        <w:t xml:space="preserve">The key elements of the CPOR Act are set out in </w:t>
      </w:r>
      <w:r w:rsidR="00121E99" w:rsidRPr="004A3983">
        <w:rPr>
          <w:rFonts w:ascii="Gotham Book" w:hAnsi="Gotham Book"/>
        </w:rPr>
        <w:t xml:space="preserve">Chapter </w:t>
      </w:r>
      <w:r w:rsidR="00121E99" w:rsidRPr="004A3983">
        <w:rPr>
          <w:rFonts w:ascii="Gotham Book" w:hAnsi="Gotham Book"/>
        </w:rPr>
        <w:fldChar w:fldCharType="begin"/>
      </w:r>
      <w:r w:rsidR="00121E99" w:rsidRPr="004A3983">
        <w:rPr>
          <w:rFonts w:ascii="Gotham Book" w:hAnsi="Gotham Book"/>
        </w:rPr>
        <w:instrText xml:space="preserve"> REF _Ref10559782 \r \h </w:instrText>
      </w:r>
      <w:r w:rsidR="007A7AFF" w:rsidRPr="004A3983">
        <w:rPr>
          <w:rFonts w:ascii="Gotham Book" w:hAnsi="Gotham Book"/>
        </w:rPr>
        <w:instrText xml:space="preserve"> \* MERGEFORMAT </w:instrText>
      </w:r>
      <w:r w:rsidR="00121E99" w:rsidRPr="004A3983">
        <w:rPr>
          <w:rFonts w:ascii="Gotham Book" w:hAnsi="Gotham Book"/>
        </w:rPr>
      </w:r>
      <w:r w:rsidR="00121E99" w:rsidRPr="004A3983">
        <w:rPr>
          <w:rFonts w:ascii="Gotham Book" w:hAnsi="Gotham Book"/>
        </w:rPr>
        <w:fldChar w:fldCharType="separate"/>
      </w:r>
      <w:r w:rsidR="00022664">
        <w:rPr>
          <w:rFonts w:ascii="Gotham Book" w:hAnsi="Gotham Book" w:hint="cs"/>
          <w:cs/>
        </w:rPr>
        <w:t>‎</w:t>
      </w:r>
      <w:r w:rsidR="00022664">
        <w:rPr>
          <w:rFonts w:ascii="Gotham Book" w:hAnsi="Gotham Book"/>
        </w:rPr>
        <w:t>2</w:t>
      </w:r>
      <w:r w:rsidR="00121E99" w:rsidRPr="004A3983">
        <w:rPr>
          <w:rFonts w:ascii="Gotham Book" w:hAnsi="Gotham Book"/>
        </w:rPr>
        <w:fldChar w:fldCharType="end"/>
      </w:r>
      <w:r w:rsidRPr="004A3983">
        <w:rPr>
          <w:rFonts w:ascii="Gotham Book" w:hAnsi="Gotham Book"/>
        </w:rPr>
        <w:t>.</w:t>
      </w:r>
      <w:r w:rsidRPr="004A3983">
        <w:rPr>
          <w:rFonts w:ascii="Gotham Book" w:hAnsi="Gotham Book" w:cs="Arial"/>
        </w:rPr>
        <w:t xml:space="preserve"> In summary, in</w:t>
      </w:r>
      <w:r w:rsidRPr="004A3983">
        <w:rPr>
          <w:rFonts w:ascii="Gotham Book" w:hAnsi="Gotham Book"/>
        </w:rPr>
        <w:t xml:space="preserve"> order to implement the CPOR Act, the NSW Police Force must be able to:</w:t>
      </w:r>
    </w:p>
    <w:p w14:paraId="0B560356" w14:textId="77777777" w:rsidR="00BC0819" w:rsidRPr="00233D69" w:rsidRDefault="00BC0819" w:rsidP="00233D69">
      <w:pPr>
        <w:pStyle w:val="ListNumber"/>
      </w:pPr>
      <w:r w:rsidRPr="00233D69">
        <w:t>identify when a person has been convicted of a ‘registrable offence’ (including in a different jurisdiction);</w:t>
      </w:r>
    </w:p>
    <w:p w14:paraId="7DCABEF3" w14:textId="77777777" w:rsidR="00BC0819" w:rsidRPr="00233D69" w:rsidRDefault="00BC0819" w:rsidP="00233D69">
      <w:pPr>
        <w:pStyle w:val="ListNumber"/>
      </w:pPr>
      <w:r w:rsidRPr="00233D69">
        <w:t>determine if the offender is a ‘registrable person’ in the particular circumstances, or whether an exception to registration applies;</w:t>
      </w:r>
    </w:p>
    <w:p w14:paraId="660C6B45" w14:textId="6F15A46E" w:rsidR="00BC0819" w:rsidRPr="00233D69" w:rsidRDefault="00BC0819" w:rsidP="00233D69">
      <w:pPr>
        <w:pStyle w:val="ListNumber"/>
      </w:pPr>
      <w:r w:rsidRPr="00233D69">
        <w:t xml:space="preserve">calculate how long the registrable person is required to make reports of their personal information to the </w:t>
      </w:r>
      <w:r w:rsidR="00DC0947" w:rsidRPr="00233D69">
        <w:t>NSW Police Force</w:t>
      </w:r>
      <w:r w:rsidRPr="00233D69">
        <w:t xml:space="preserve"> (ie their ‘reporting period’);</w:t>
      </w:r>
    </w:p>
    <w:p w14:paraId="057C2963" w14:textId="119D6624" w:rsidR="00BC0819" w:rsidRPr="00233D69" w:rsidRDefault="00BC0819" w:rsidP="00233D69">
      <w:pPr>
        <w:pStyle w:val="ListNumber"/>
      </w:pPr>
      <w:r w:rsidRPr="00233D69">
        <w:t xml:space="preserve">identify the </w:t>
      </w:r>
      <w:r w:rsidR="00520D83" w:rsidRPr="00233D69">
        <w:t xml:space="preserve">different </w:t>
      </w:r>
      <w:r w:rsidRPr="00233D69">
        <w:t>timeframes within which the registrable person is required to report changes to their personal information, and therefore when they will be liable to pr</w:t>
      </w:r>
      <w:r w:rsidR="00A77AE1" w:rsidRPr="00233D69">
        <w:t>osecution for failure to comply,</w:t>
      </w:r>
      <w:r w:rsidRPr="00233D69">
        <w:t xml:space="preserve"> and</w:t>
      </w:r>
    </w:p>
    <w:p w14:paraId="1797F4DC" w14:textId="584DD47C" w:rsidR="00BC0819" w:rsidRPr="004A3983" w:rsidRDefault="00BC0819" w:rsidP="00233D69">
      <w:pPr>
        <w:pStyle w:val="ListNumber"/>
      </w:pPr>
      <w:r w:rsidRPr="00233D69">
        <w:t>identify when, and for how long, the registrable person’s reporting obligations need to be suspended</w:t>
      </w:r>
      <w:r w:rsidRPr="004A3983">
        <w:t xml:space="preserve"> and/or extended for periods during which the person was in government custody, travelling, or in breach of their reporting obligations.</w:t>
      </w:r>
    </w:p>
    <w:p w14:paraId="3B995013" w14:textId="040DD32C" w:rsidR="00BC0819" w:rsidRPr="004A3983" w:rsidRDefault="00BC0819" w:rsidP="00E15D0F">
      <w:pPr>
        <w:spacing w:after="160"/>
        <w:ind w:right="-2"/>
        <w:rPr>
          <w:rFonts w:ascii="Gotham Book" w:hAnsi="Gotham Book"/>
        </w:rPr>
      </w:pPr>
      <w:r w:rsidRPr="004A3983">
        <w:rPr>
          <w:rFonts w:ascii="Gotham Book" w:hAnsi="Gotham Book" w:cs="Arial"/>
        </w:rPr>
        <w:t>The Commission identified more than 20 specific problems with the curr</w:t>
      </w:r>
      <w:r w:rsidR="00240284" w:rsidRPr="004A3983">
        <w:rPr>
          <w:rFonts w:ascii="Gotham Book" w:hAnsi="Gotham Book" w:cs="Arial"/>
        </w:rPr>
        <w:t>ent provisions in the CPOR Act</w:t>
      </w:r>
      <w:r w:rsidRPr="004A3983">
        <w:rPr>
          <w:rFonts w:ascii="Gotham Book" w:hAnsi="Gotham Book" w:cs="Arial"/>
        </w:rPr>
        <w:t xml:space="preserve">. These problems can affect each of the five levels of </w:t>
      </w:r>
      <w:r w:rsidRPr="004A3983">
        <w:rPr>
          <w:rFonts w:ascii="Gotham Book" w:hAnsi="Gotham Book" w:cs="Arial"/>
        </w:rPr>
        <w:lastRenderedPageBreak/>
        <w:t xml:space="preserve">decision-making listed above. </w:t>
      </w:r>
      <w:r w:rsidRPr="004A3983">
        <w:rPr>
          <w:rFonts w:ascii="Gotham Book" w:hAnsi="Gotham Book"/>
        </w:rPr>
        <w:t>Given the current provisions in the CPOR Act, it is inevitable that the NSW Police F</w:t>
      </w:r>
      <w:r w:rsidR="00A96470" w:rsidRPr="004A3983">
        <w:rPr>
          <w:rFonts w:ascii="Gotham Book" w:hAnsi="Gotham Book"/>
        </w:rPr>
        <w:t>orce</w:t>
      </w:r>
      <w:r w:rsidRPr="004A3983">
        <w:rPr>
          <w:rFonts w:ascii="Gotham Book" w:hAnsi="Gotham Book"/>
        </w:rPr>
        <w:t xml:space="preserve"> will make errors in administering the Register. </w:t>
      </w:r>
    </w:p>
    <w:p w14:paraId="541A7CCF" w14:textId="6A0CCBF5" w:rsidR="00E720BB" w:rsidRPr="004A3983" w:rsidRDefault="00240284" w:rsidP="00E15D0F">
      <w:pPr>
        <w:spacing w:after="160"/>
        <w:ind w:right="-2"/>
        <w:rPr>
          <w:rFonts w:ascii="Gotham Book" w:hAnsi="Gotham Book"/>
        </w:rPr>
      </w:pPr>
      <w:r w:rsidRPr="004A3983">
        <w:rPr>
          <w:rFonts w:ascii="Gotham Book" w:hAnsi="Gotham Book"/>
        </w:rPr>
        <w:t>The</w:t>
      </w:r>
      <w:r w:rsidR="00E720BB" w:rsidRPr="004A3983">
        <w:rPr>
          <w:rFonts w:ascii="Gotham Book" w:hAnsi="Gotham Book"/>
        </w:rPr>
        <w:t xml:space="preserve"> discussion </w:t>
      </w:r>
      <w:r w:rsidRPr="004A3983">
        <w:rPr>
          <w:rFonts w:ascii="Gotham Book" w:hAnsi="Gotham Book"/>
        </w:rPr>
        <w:t xml:space="preserve">below summarises </w:t>
      </w:r>
      <w:r w:rsidR="00E720BB" w:rsidRPr="004A3983">
        <w:rPr>
          <w:rFonts w:ascii="Gotham Book" w:hAnsi="Gotham Book"/>
        </w:rPr>
        <w:t xml:space="preserve">some of the </w:t>
      </w:r>
      <w:r w:rsidRPr="004A3983">
        <w:rPr>
          <w:rFonts w:ascii="Gotham Book" w:hAnsi="Gotham Book"/>
        </w:rPr>
        <w:t xml:space="preserve">main </w:t>
      </w:r>
      <w:r w:rsidR="00E720BB" w:rsidRPr="004A3983">
        <w:rPr>
          <w:rFonts w:ascii="Gotham Book" w:hAnsi="Gotham Book"/>
        </w:rPr>
        <w:t xml:space="preserve">problems the Commission has identified. </w:t>
      </w:r>
      <w:r w:rsidRPr="004A3983">
        <w:rPr>
          <w:rFonts w:ascii="Gotham Book" w:hAnsi="Gotham Book"/>
        </w:rPr>
        <w:t xml:space="preserve">Appendix 2 includes </w:t>
      </w:r>
      <w:r w:rsidR="00E720BB" w:rsidRPr="004A3983">
        <w:rPr>
          <w:rFonts w:ascii="Gotham Book" w:hAnsi="Gotham Book"/>
        </w:rPr>
        <w:t xml:space="preserve">detailed legal analysis of </w:t>
      </w:r>
      <w:r w:rsidRPr="004A3983">
        <w:rPr>
          <w:rFonts w:ascii="Gotham Book" w:hAnsi="Gotham Book"/>
        </w:rPr>
        <w:t>each of these problems</w:t>
      </w:r>
      <w:r w:rsidR="004F3927" w:rsidRPr="004A3983">
        <w:rPr>
          <w:rFonts w:ascii="Gotham Book" w:hAnsi="Gotham Book"/>
        </w:rPr>
        <w:t xml:space="preserve">, </w:t>
      </w:r>
      <w:r w:rsidR="00061458" w:rsidRPr="004A3983">
        <w:rPr>
          <w:rFonts w:ascii="Gotham Book" w:hAnsi="Gotham Book"/>
        </w:rPr>
        <w:t>as well as</w:t>
      </w:r>
      <w:r w:rsidR="004F3927" w:rsidRPr="004A3983">
        <w:rPr>
          <w:rFonts w:ascii="Gotham Book" w:hAnsi="Gotham Book"/>
        </w:rPr>
        <w:t xml:space="preserve"> practical examples.</w:t>
      </w:r>
    </w:p>
    <w:p w14:paraId="1468983A" w14:textId="7F3EE6A8" w:rsidR="00B604E6" w:rsidRPr="004A3983" w:rsidRDefault="00E720BB" w:rsidP="00E15D0F">
      <w:pPr>
        <w:pStyle w:val="Heading3"/>
        <w:spacing w:after="160"/>
        <w:ind w:right="-2"/>
      </w:pPr>
      <w:bookmarkStart w:id="339" w:name="_Toc8913539"/>
      <w:bookmarkStart w:id="340" w:name="_Ref9274272"/>
      <w:bookmarkStart w:id="341" w:name="_Toc9428400"/>
      <w:bookmarkStart w:id="342" w:name="_Ref9849957"/>
      <w:bookmarkStart w:id="343" w:name="_Ref10560128"/>
      <w:bookmarkStart w:id="344" w:name="_Toc12020352"/>
      <w:bookmarkStart w:id="345" w:name="_Toc14790518"/>
      <w:bookmarkStart w:id="346" w:name="_Toc15478401"/>
      <w:bookmarkStart w:id="347" w:name="_Toc22627800"/>
      <w:r w:rsidRPr="004A3983">
        <w:t>Difficulty of identifying all ‘registrable offences’</w:t>
      </w:r>
      <w:bookmarkEnd w:id="339"/>
      <w:bookmarkEnd w:id="340"/>
      <w:bookmarkEnd w:id="341"/>
      <w:bookmarkEnd w:id="342"/>
      <w:bookmarkEnd w:id="343"/>
      <w:bookmarkEnd w:id="344"/>
      <w:bookmarkEnd w:id="345"/>
      <w:bookmarkEnd w:id="346"/>
      <w:bookmarkEnd w:id="347"/>
    </w:p>
    <w:p w14:paraId="60E7F5E1" w14:textId="289C48B5" w:rsidR="00E720BB" w:rsidRPr="004A3983" w:rsidRDefault="00E720BB" w:rsidP="00E15D0F">
      <w:pPr>
        <w:spacing w:after="160"/>
        <w:ind w:right="-2"/>
        <w:rPr>
          <w:rFonts w:ascii="Gotham Book" w:hAnsi="Gotham Book"/>
        </w:rPr>
      </w:pPr>
      <w:r w:rsidRPr="004A3983">
        <w:rPr>
          <w:rFonts w:ascii="Gotham Book" w:hAnsi="Gotham Book"/>
        </w:rPr>
        <w:t>The NSW Police Force and the Commission agree that it is very difficult to identify all the offences that may result in a person becoming registrable under the CPOR Act.</w:t>
      </w:r>
      <w:r w:rsidRPr="004A3983">
        <w:rPr>
          <w:rStyle w:val="FootnoteReference"/>
          <w:rFonts w:ascii="Gotham Book" w:hAnsi="Gotham Book"/>
        </w:rPr>
        <w:footnoteReference w:id="392"/>
      </w:r>
      <w:r w:rsidRPr="004A3983">
        <w:rPr>
          <w:rFonts w:ascii="Gotham Book" w:hAnsi="Gotham Book"/>
        </w:rPr>
        <w:t xml:space="preserve"> </w:t>
      </w:r>
    </w:p>
    <w:p w14:paraId="05E1A5F3" w14:textId="5D6DBA83" w:rsidR="00E720BB" w:rsidRPr="004A3983" w:rsidRDefault="00E720BB" w:rsidP="00E15D0F">
      <w:pPr>
        <w:spacing w:after="160"/>
        <w:ind w:right="-2"/>
        <w:rPr>
          <w:rFonts w:ascii="Gotham Book" w:hAnsi="Gotham Book"/>
        </w:rPr>
      </w:pPr>
      <w:r w:rsidRPr="004A3983">
        <w:rPr>
          <w:rFonts w:ascii="Gotham Book" w:hAnsi="Gotham Book"/>
        </w:rPr>
        <w:t xml:space="preserve">The CPOR Act does not specifically list each ‘registrable offence’. The definitions of the two ‘Classes’ of offence that are registrable include descriptions of offences by categories. This requires the </w:t>
      </w:r>
      <w:r w:rsidR="00084523" w:rsidRPr="004A3983">
        <w:rPr>
          <w:rFonts w:ascii="Gotham Book" w:hAnsi="Gotham Book"/>
        </w:rPr>
        <w:t>NSW Police Force</w:t>
      </w:r>
      <w:r w:rsidRPr="004A3983">
        <w:rPr>
          <w:rFonts w:ascii="Gotham Book" w:hAnsi="Gotham Book"/>
        </w:rPr>
        <w:t xml:space="preserve"> to make a judgement about whether an offence falls within that category. For example, the CPOR Act states that any offence ‘an element of which is an intention to commit an offence of a kind listed’ in either of the Classes will itself be a registrable offence under that Class.</w:t>
      </w:r>
      <w:r w:rsidRPr="004A3983">
        <w:rPr>
          <w:rStyle w:val="FootnoteReference"/>
          <w:rFonts w:ascii="Gotham Book" w:hAnsi="Gotham Book"/>
        </w:rPr>
        <w:footnoteReference w:id="393"/>
      </w:r>
      <w:r w:rsidRPr="004A3983">
        <w:rPr>
          <w:rFonts w:ascii="Gotham Book" w:hAnsi="Gotham Book"/>
        </w:rPr>
        <w:t xml:space="preserve"> </w:t>
      </w:r>
    </w:p>
    <w:p w14:paraId="3CA81220" w14:textId="15A21ACD" w:rsidR="00E720BB" w:rsidRPr="004A3983" w:rsidRDefault="00E720BB" w:rsidP="001E0A79">
      <w:pPr>
        <w:spacing w:after="160"/>
        <w:rPr>
          <w:rFonts w:ascii="Gotham Book" w:hAnsi="Gotham Book"/>
        </w:rPr>
      </w:pPr>
      <w:r w:rsidRPr="004A3983">
        <w:rPr>
          <w:rFonts w:ascii="Gotham Book" w:hAnsi="Gotham Book"/>
        </w:rPr>
        <w:t>In December 2017 the NSW Police Force provided the Commission with a list of over 800 charges it had identified as potentially relating to registrable offences.</w:t>
      </w:r>
      <w:r w:rsidRPr="004A3983">
        <w:rPr>
          <w:rStyle w:val="FootnoteReference"/>
          <w:rFonts w:ascii="Gotham Book" w:hAnsi="Gotham Book"/>
        </w:rPr>
        <w:footnoteReference w:id="394"/>
      </w:r>
      <w:r w:rsidR="0018769D" w:rsidRPr="004A3983">
        <w:rPr>
          <w:rFonts w:ascii="Gotham Book" w:hAnsi="Gotham Book"/>
        </w:rPr>
        <w:t xml:space="preserve"> </w:t>
      </w:r>
      <w:r w:rsidRPr="004A3983">
        <w:rPr>
          <w:rFonts w:ascii="Gotham Book" w:hAnsi="Gotham Book"/>
        </w:rPr>
        <w:t xml:space="preserve">After extensive review of the </w:t>
      </w:r>
      <w:r w:rsidRPr="004A3983">
        <w:rPr>
          <w:rFonts w:ascii="Gotham Book" w:hAnsi="Gotham Book"/>
          <w:i/>
        </w:rPr>
        <w:t>Crimes Act 1900</w:t>
      </w:r>
      <w:r w:rsidRPr="004A3983">
        <w:rPr>
          <w:rFonts w:ascii="Gotham Book" w:hAnsi="Gotham Book"/>
        </w:rPr>
        <w:t xml:space="preserve"> (NSW) and </w:t>
      </w:r>
      <w:r w:rsidRPr="004A3983">
        <w:rPr>
          <w:rFonts w:ascii="Gotham Book" w:hAnsi="Gotham Book"/>
          <w:i/>
        </w:rPr>
        <w:t>Criminal Code Act 1995</w:t>
      </w:r>
      <w:r w:rsidRPr="004A3983">
        <w:rPr>
          <w:rFonts w:ascii="Gotham Book" w:hAnsi="Gotham Book"/>
        </w:rPr>
        <w:t xml:space="preserve"> (Cth) the Commission identified:</w:t>
      </w:r>
    </w:p>
    <w:p w14:paraId="16CC2DF8" w14:textId="0915028E" w:rsidR="00E720BB" w:rsidRPr="00233D69" w:rsidRDefault="00E720BB" w:rsidP="00233D69">
      <w:pPr>
        <w:pStyle w:val="ListBullet"/>
      </w:pPr>
      <w:r w:rsidRPr="004A3983">
        <w:t xml:space="preserve">58 </w:t>
      </w:r>
      <w:r w:rsidRPr="00233D69">
        <w:t>charges that were mis</w:t>
      </w:r>
      <w:r w:rsidR="004A1E57" w:rsidRPr="00233D69">
        <w:t>sing from the NSW Police Force</w:t>
      </w:r>
      <w:r w:rsidRPr="00233D69">
        <w:t xml:space="preserve"> list</w:t>
      </w:r>
      <w:r w:rsidR="0018769D" w:rsidRPr="00233D69">
        <w:t>;</w:t>
      </w:r>
    </w:p>
    <w:p w14:paraId="320C3C7D" w14:textId="2DF846E8" w:rsidR="00E720BB" w:rsidRPr="00233D69" w:rsidRDefault="00E720BB" w:rsidP="00233D69">
      <w:pPr>
        <w:pStyle w:val="ListBullet"/>
      </w:pPr>
      <w:r w:rsidRPr="00233D69">
        <w:t>56 charges which were on the list but with the incorrect ‘CPR flag’ (which indicates whether the offence would be classified as Class 1 or Class 2)</w:t>
      </w:r>
      <w:r w:rsidR="0018769D" w:rsidRPr="00233D69">
        <w:t>, and</w:t>
      </w:r>
    </w:p>
    <w:p w14:paraId="532CF850" w14:textId="1BACAD04" w:rsidR="00E720BB" w:rsidRPr="004A3983" w:rsidRDefault="00E720BB" w:rsidP="00233D69">
      <w:pPr>
        <w:pStyle w:val="ListBullet"/>
      </w:pPr>
      <w:r w:rsidRPr="00233D69">
        <w:t>six charges</w:t>
      </w:r>
      <w:r w:rsidRPr="004A3983">
        <w:t xml:space="preserve"> that were listed as registrable offences by the NSW Police Force, but in fact did not fall within the definition of a Class 1 or Class 2 offence.</w:t>
      </w:r>
      <w:r w:rsidRPr="004A3983">
        <w:rPr>
          <w:rStyle w:val="FootnoteReference"/>
        </w:rPr>
        <w:footnoteReference w:id="395"/>
      </w:r>
      <w:r w:rsidRPr="004A3983">
        <w:t xml:space="preserve"> </w:t>
      </w:r>
    </w:p>
    <w:p w14:paraId="710BDF82" w14:textId="360AC75B" w:rsidR="002910B4" w:rsidRPr="004A3983" w:rsidRDefault="002910B4" w:rsidP="002910B4">
      <w:pPr>
        <w:spacing w:after="160"/>
        <w:ind w:right="-2"/>
        <w:rPr>
          <w:rFonts w:ascii="Gotham Book" w:hAnsi="Gotham Book"/>
        </w:rPr>
      </w:pPr>
      <w:r w:rsidRPr="004A3983">
        <w:t>The Commission provided details of these charges to the NSW Police Force in 2018 and the NSW Police Force updated its list.</w:t>
      </w:r>
    </w:p>
    <w:p w14:paraId="13FEB095" w14:textId="269C9196" w:rsidR="00E720BB" w:rsidRPr="004A3983" w:rsidRDefault="00E720BB" w:rsidP="00E15D0F">
      <w:pPr>
        <w:pStyle w:val="Heading3"/>
        <w:spacing w:after="160"/>
        <w:ind w:right="-2"/>
      </w:pPr>
      <w:bookmarkStart w:id="348" w:name="_Toc8913540"/>
      <w:bookmarkStart w:id="349" w:name="_Ref9274273"/>
      <w:bookmarkStart w:id="350" w:name="_Toc9428401"/>
      <w:bookmarkStart w:id="351" w:name="_Ref10560130"/>
      <w:bookmarkStart w:id="352" w:name="_Ref10560184"/>
      <w:bookmarkStart w:id="353" w:name="_Toc12020353"/>
      <w:bookmarkStart w:id="354" w:name="_Toc14790519"/>
      <w:bookmarkStart w:id="355" w:name="_Toc15478402"/>
      <w:bookmarkStart w:id="356" w:name="_Toc22627801"/>
      <w:r w:rsidRPr="004A3983">
        <w:t xml:space="preserve">Detailed information required to determine whether an exception to registration </w:t>
      </w:r>
      <w:bookmarkEnd w:id="348"/>
      <w:bookmarkEnd w:id="349"/>
      <w:bookmarkEnd w:id="350"/>
      <w:bookmarkEnd w:id="351"/>
      <w:bookmarkEnd w:id="352"/>
      <w:bookmarkEnd w:id="353"/>
      <w:bookmarkEnd w:id="354"/>
      <w:bookmarkEnd w:id="355"/>
      <w:r w:rsidR="00EB7D6A" w:rsidRPr="004A3983">
        <w:t>applies</w:t>
      </w:r>
      <w:bookmarkEnd w:id="356"/>
    </w:p>
    <w:p w14:paraId="52D9F860" w14:textId="7D63DCDF" w:rsidR="00E720BB" w:rsidRPr="004A3983" w:rsidRDefault="00E720BB" w:rsidP="00E15D0F">
      <w:pPr>
        <w:spacing w:after="160"/>
        <w:ind w:right="-2"/>
        <w:rPr>
          <w:rFonts w:ascii="Gotham Book" w:hAnsi="Gotham Book"/>
        </w:rPr>
      </w:pPr>
      <w:r w:rsidRPr="004A3983">
        <w:rPr>
          <w:rFonts w:ascii="Gotham Book" w:hAnsi="Gotham Book"/>
        </w:rPr>
        <w:t xml:space="preserve">In s 3A(2) of the CPOR Act there are exceptions to registration for certain </w:t>
      </w:r>
      <w:r w:rsidR="00EA056E" w:rsidRPr="004A3983">
        <w:rPr>
          <w:rFonts w:ascii="Gotham Book" w:hAnsi="Gotham Book"/>
        </w:rPr>
        <w:t>persons who were under the age of 18 at the time they committed the registrable offence</w:t>
      </w:r>
      <w:r w:rsidRPr="004A3983">
        <w:rPr>
          <w:rFonts w:ascii="Gotham Book" w:hAnsi="Gotham Book"/>
        </w:rPr>
        <w:t>.</w:t>
      </w:r>
    </w:p>
    <w:p w14:paraId="0F1A607B" w14:textId="34DEB02B" w:rsidR="00E720BB" w:rsidRPr="004A3983" w:rsidRDefault="00E720BB" w:rsidP="00E15D0F">
      <w:pPr>
        <w:spacing w:after="160"/>
        <w:ind w:right="-2"/>
        <w:rPr>
          <w:rFonts w:ascii="Gotham Book" w:hAnsi="Gotham Book"/>
        </w:rPr>
      </w:pPr>
      <w:r w:rsidRPr="004A3983">
        <w:rPr>
          <w:rFonts w:ascii="Gotham Book" w:hAnsi="Gotham Book"/>
        </w:rPr>
        <w:t xml:space="preserve">In order to determine whether one of the exceptions to registration in s 3A(2) applies, the Registry needs specific details about the timing of a person’s offending. </w:t>
      </w:r>
      <w:r w:rsidR="005B6668" w:rsidRPr="004A3983">
        <w:rPr>
          <w:rFonts w:ascii="Gotham Book" w:hAnsi="Gotham Book"/>
        </w:rPr>
        <w:lastRenderedPageBreak/>
        <w:t>This is because t</w:t>
      </w:r>
      <w:r w:rsidRPr="004A3983">
        <w:rPr>
          <w:rFonts w:ascii="Gotham Book" w:hAnsi="Gotham Book"/>
        </w:rPr>
        <w:t>he test for when multiple offences may be treated as a ‘single offence’, and therefore fall within the exception, requires the NSW Police Force to identify whether the offences were ‘committed against the same person</w:t>
      </w:r>
      <w:r w:rsidR="003264DC" w:rsidRPr="004A3983">
        <w:rPr>
          <w:rFonts w:ascii="Gotham Book" w:hAnsi="Gotham Book"/>
        </w:rPr>
        <w:t>’</w:t>
      </w:r>
      <w:r w:rsidRPr="004A3983">
        <w:rPr>
          <w:rFonts w:ascii="Gotham Book" w:hAnsi="Gotham Book"/>
        </w:rPr>
        <w:t xml:space="preserve"> and ‘within a single period of 24 hours’ (the ‘single offence’ test).</w:t>
      </w:r>
      <w:r w:rsidRPr="004A3983">
        <w:rPr>
          <w:rStyle w:val="FootnoteReference"/>
          <w:rFonts w:ascii="Gotham Book" w:hAnsi="Gotham Book"/>
        </w:rPr>
        <w:footnoteReference w:id="396"/>
      </w:r>
    </w:p>
    <w:p w14:paraId="0AC41C65" w14:textId="7B19AACB" w:rsidR="00E720BB" w:rsidRPr="004A3983" w:rsidRDefault="00E720BB" w:rsidP="00E15D0F">
      <w:pPr>
        <w:spacing w:after="160"/>
        <w:ind w:right="-2"/>
        <w:rPr>
          <w:rFonts w:ascii="Gotham Book" w:hAnsi="Gotham Book"/>
        </w:rPr>
      </w:pPr>
      <w:r w:rsidRPr="004A3983">
        <w:rPr>
          <w:rFonts w:ascii="Gotham Book" w:hAnsi="Gotham Book"/>
        </w:rPr>
        <w:t>However, prosecutors have a well-established practice of avoiding the need to specify a precise date on which alleged child sex offences occurred, by prosecuting persons for offences which are alleged to have occurred between a set of da</w:t>
      </w:r>
      <w:r w:rsidR="00F15A70" w:rsidRPr="004A3983">
        <w:rPr>
          <w:rFonts w:ascii="Gotham Book" w:hAnsi="Gotham Book"/>
        </w:rPr>
        <w:t xml:space="preserve">tes (‘between dates’ charges). </w:t>
      </w:r>
      <w:r w:rsidRPr="004A3983">
        <w:rPr>
          <w:rFonts w:ascii="Gotham Book" w:hAnsi="Gotham Book"/>
        </w:rPr>
        <w:t>The use of ‘between dates’ charges means that the specific date an offence occurred may not be established during criminal proceedings, and may not be known by the arresting officer, the prosecutor, or the court when passing sentence.</w:t>
      </w:r>
    </w:p>
    <w:p w14:paraId="59D337AA" w14:textId="52CFFD03" w:rsidR="00E720BB" w:rsidRPr="004A3983" w:rsidRDefault="00E720BB" w:rsidP="00E15D0F">
      <w:pPr>
        <w:spacing w:after="160"/>
        <w:ind w:right="-2"/>
        <w:rPr>
          <w:rFonts w:ascii="Gotham Book" w:hAnsi="Gotham Book"/>
        </w:rPr>
      </w:pPr>
      <w:r w:rsidRPr="004A3983">
        <w:rPr>
          <w:rFonts w:ascii="Gotham Book" w:hAnsi="Gotham Book"/>
        </w:rPr>
        <w:t xml:space="preserve">The ‘single offence’ test is particularly difficult to apply in the case of </w:t>
      </w:r>
      <w:r w:rsidR="00C8405D" w:rsidRPr="004A3983">
        <w:rPr>
          <w:rFonts w:ascii="Gotham Book" w:hAnsi="Gotham Book"/>
        </w:rPr>
        <w:t>persons</w:t>
      </w:r>
      <w:r w:rsidRPr="004A3983">
        <w:rPr>
          <w:rFonts w:ascii="Gotham Book" w:hAnsi="Gotham Book"/>
        </w:rPr>
        <w:t xml:space="preserve"> convicted of offences relating to child abuse mat</w:t>
      </w:r>
      <w:r w:rsidR="005B6668" w:rsidRPr="004A3983">
        <w:rPr>
          <w:rFonts w:ascii="Gotham Book" w:hAnsi="Gotham Book"/>
        </w:rPr>
        <w:t>erial. For example, the offence</w:t>
      </w:r>
      <w:r w:rsidRPr="004A3983">
        <w:rPr>
          <w:rFonts w:ascii="Gotham Book" w:hAnsi="Gotham Book"/>
        </w:rPr>
        <w:t xml:space="preserve"> of possessing child abuse material is not defined as being ‘committed against’ any person.</w:t>
      </w:r>
      <w:r w:rsidRPr="004A3983">
        <w:rPr>
          <w:rStyle w:val="FootnoteReference"/>
          <w:rFonts w:ascii="Gotham Book" w:hAnsi="Gotham Book"/>
        </w:rPr>
        <w:footnoteReference w:id="397"/>
      </w:r>
      <w:r w:rsidRPr="004A3983">
        <w:rPr>
          <w:rFonts w:ascii="Gotham Book" w:hAnsi="Gotham Book"/>
        </w:rPr>
        <w:t xml:space="preserve"> There is also the potential for different interpretations of when an offence of possession will be ‘committed within’ 24 hours, because a person may obtain child abuse material in a matter of seconds, but may retain that material for months or years.</w:t>
      </w:r>
    </w:p>
    <w:p w14:paraId="4C474C1B" w14:textId="77777777" w:rsidR="00E720BB" w:rsidRPr="004A3983" w:rsidRDefault="00E720BB" w:rsidP="00E15D0F">
      <w:pPr>
        <w:pStyle w:val="Heading3"/>
        <w:spacing w:after="160"/>
        <w:ind w:right="-2"/>
      </w:pPr>
      <w:bookmarkStart w:id="357" w:name="_Toc8913541"/>
      <w:bookmarkStart w:id="358" w:name="_Ref9261696"/>
      <w:bookmarkStart w:id="359" w:name="_Toc9428402"/>
      <w:bookmarkStart w:id="360" w:name="_Toc12020354"/>
      <w:bookmarkStart w:id="361" w:name="_Toc14790520"/>
      <w:bookmarkStart w:id="362" w:name="_Toc15478403"/>
      <w:bookmarkStart w:id="363" w:name="_Toc22627802"/>
      <w:r w:rsidRPr="004A3983">
        <w:t>Detailed information and complex analysis required to calculate reporting periods</w:t>
      </w:r>
      <w:bookmarkEnd w:id="357"/>
      <w:bookmarkEnd w:id="358"/>
      <w:bookmarkEnd w:id="359"/>
      <w:bookmarkEnd w:id="360"/>
      <w:bookmarkEnd w:id="361"/>
      <w:bookmarkEnd w:id="362"/>
      <w:bookmarkEnd w:id="363"/>
    </w:p>
    <w:p w14:paraId="23B6047F" w14:textId="399C846F" w:rsidR="00E720BB" w:rsidRPr="004A3983" w:rsidRDefault="00E720BB" w:rsidP="00E15D0F">
      <w:pPr>
        <w:widowControl w:val="0"/>
        <w:adjustRightInd w:val="0"/>
        <w:snapToGrid w:val="0"/>
        <w:spacing w:after="160"/>
        <w:ind w:right="-2"/>
        <w:rPr>
          <w:rFonts w:ascii="Gotham Book" w:hAnsi="Gotham Book"/>
        </w:rPr>
      </w:pPr>
      <w:r w:rsidRPr="004A3983">
        <w:rPr>
          <w:rFonts w:ascii="Gotham Book" w:hAnsi="Gotham Book"/>
        </w:rPr>
        <w:t xml:space="preserve">To determine for how many years a registrable person is required to make reports of their personal information to police (their reporting period), the </w:t>
      </w:r>
      <w:r w:rsidR="0056512E" w:rsidRPr="004A3983">
        <w:rPr>
          <w:rFonts w:ascii="Gotham Book" w:hAnsi="Gotham Book"/>
        </w:rPr>
        <w:t>NSW Police Force</w:t>
      </w:r>
      <w:r w:rsidRPr="004A3983">
        <w:rPr>
          <w:rFonts w:ascii="Gotham Book" w:hAnsi="Gotham Book"/>
        </w:rPr>
        <w:t xml:space="preserve"> must apply one of the formulas in s 14A of the CPOR Act. </w:t>
      </w:r>
      <w:r w:rsidR="00293E84" w:rsidRPr="004A3983">
        <w:rPr>
          <w:rFonts w:ascii="Gotham Book" w:hAnsi="Gotham Book"/>
        </w:rPr>
        <w:t>To do this, the NSW Police Force needs</w:t>
      </w:r>
      <w:r w:rsidRPr="004A3983">
        <w:rPr>
          <w:rFonts w:ascii="Gotham Book" w:hAnsi="Gotham Book"/>
        </w:rPr>
        <w:t xml:space="preserve"> to identify what ‘Class’ of offence the person was sentenced for, how many other registrable offences the person had been sentenced for previously, and whether the person was 18 years or older at the time of the offending.</w:t>
      </w:r>
    </w:p>
    <w:p w14:paraId="18D73E27" w14:textId="42AE03A2" w:rsidR="00E720BB" w:rsidRPr="004A3983" w:rsidRDefault="00E720BB" w:rsidP="00E15D0F">
      <w:pPr>
        <w:spacing w:after="160"/>
        <w:ind w:right="-2"/>
        <w:rPr>
          <w:rFonts w:ascii="Gotham Book" w:hAnsi="Gotham Book"/>
        </w:rPr>
      </w:pPr>
      <w:r w:rsidRPr="004A3983">
        <w:rPr>
          <w:rFonts w:ascii="Gotham Book" w:hAnsi="Gotham Book"/>
        </w:rPr>
        <w:t xml:space="preserve">Determining which of the formulas in s 14A applies to a particular offender is a complex task. As the NSW Police </w:t>
      </w:r>
      <w:r w:rsidR="004A1E57" w:rsidRPr="004A3983">
        <w:rPr>
          <w:rFonts w:ascii="Gotham Book" w:hAnsi="Gotham Book"/>
        </w:rPr>
        <w:t xml:space="preserve">Force </w:t>
      </w:r>
      <w:r w:rsidR="00697774" w:rsidRPr="004A3983">
        <w:rPr>
          <w:rFonts w:ascii="Gotham Book" w:hAnsi="Gotham Book"/>
        </w:rPr>
        <w:t>Workforce Intelligence Unit</w:t>
      </w:r>
      <w:r w:rsidRPr="004A3983">
        <w:rPr>
          <w:rFonts w:ascii="Gotham Book" w:hAnsi="Gotham Book"/>
        </w:rPr>
        <w:t xml:space="preserve"> has noted:</w:t>
      </w:r>
    </w:p>
    <w:p w14:paraId="1478129F" w14:textId="77777777" w:rsidR="00E720BB" w:rsidRPr="004A3983" w:rsidRDefault="00E720BB" w:rsidP="00233D69">
      <w:pPr>
        <w:pStyle w:val="Quotesmall1cm"/>
      </w:pPr>
      <w:r w:rsidRPr="004A3983">
        <w:t xml:space="preserve">In many cases it is not possible to either flowchart the calculation process, or use matrices, to consistently evaluate reporting periods. It requires an in-depth understanding of the </w:t>
      </w:r>
      <w:r w:rsidRPr="004A3983">
        <w:rPr>
          <w:i/>
        </w:rPr>
        <w:t>Child Protection (Offenders Registration) Act</w:t>
      </w:r>
      <w:r w:rsidRPr="004A3983">
        <w:t>, other legislation, and the circumstances surrounding the case</w:t>
      </w:r>
      <w:r w:rsidRPr="004A3983">
        <w:rPr>
          <w:rFonts w:cs="ArialMT"/>
        </w:rPr>
        <w:t>.</w:t>
      </w:r>
      <w:r w:rsidRPr="004A3983">
        <w:rPr>
          <w:rStyle w:val="FootnoteReference"/>
          <w:rFonts w:cs="ArialMT"/>
        </w:rPr>
        <w:footnoteReference w:id="398"/>
      </w:r>
      <w:r w:rsidRPr="004A3983">
        <w:t xml:space="preserve"> </w:t>
      </w:r>
    </w:p>
    <w:p w14:paraId="5D6F16EE" w14:textId="58842348" w:rsidR="00E720BB" w:rsidRPr="004A3983" w:rsidRDefault="00E720BB" w:rsidP="00625318">
      <w:pPr>
        <w:spacing w:after="160"/>
        <w:rPr>
          <w:rFonts w:ascii="Gotham Book" w:hAnsi="Gotham Book"/>
        </w:rPr>
      </w:pPr>
      <w:r w:rsidRPr="004A3983">
        <w:rPr>
          <w:rFonts w:ascii="Gotham Book" w:hAnsi="Gotham Book"/>
        </w:rPr>
        <w:t>To correctly apply the formulas in s 14</w:t>
      </w:r>
      <w:r w:rsidR="00C302E5" w:rsidRPr="004A3983">
        <w:rPr>
          <w:rFonts w:ascii="Gotham Book" w:hAnsi="Gotham Book"/>
        </w:rPr>
        <w:t>A, the NSW Police Force is re</w:t>
      </w:r>
      <w:r w:rsidR="00500D53" w:rsidRPr="004A3983">
        <w:rPr>
          <w:rFonts w:ascii="Gotham Book" w:hAnsi="Gotham Book"/>
        </w:rPr>
        <w:t>q</w:t>
      </w:r>
      <w:r w:rsidR="00C302E5" w:rsidRPr="004A3983">
        <w:rPr>
          <w:rFonts w:ascii="Gotham Book" w:hAnsi="Gotham Book"/>
        </w:rPr>
        <w:t>uired to</w:t>
      </w:r>
      <w:r w:rsidRPr="004A3983">
        <w:rPr>
          <w:rFonts w:ascii="Gotham Book" w:hAnsi="Gotham Book"/>
        </w:rPr>
        <w:t>:</w:t>
      </w:r>
    </w:p>
    <w:p w14:paraId="09CF9902" w14:textId="402F09BC" w:rsidR="00E720BB" w:rsidRPr="00233D69" w:rsidRDefault="00E720BB" w:rsidP="00233D69">
      <w:pPr>
        <w:pStyle w:val="ListBullet"/>
      </w:pPr>
      <w:r w:rsidRPr="00233D69">
        <w:t>review the entire criminal history of the offender, including offences prior to the commencement of the Register, to identify potentially registrable offences</w:t>
      </w:r>
      <w:r w:rsidR="00524257" w:rsidRPr="00233D69">
        <w:t>;</w:t>
      </w:r>
    </w:p>
    <w:p w14:paraId="7C2D8E75" w14:textId="1C7742E9" w:rsidR="00E720BB" w:rsidRPr="00233D69" w:rsidRDefault="00E720BB" w:rsidP="00233D69">
      <w:pPr>
        <w:pStyle w:val="ListBullet"/>
      </w:pPr>
      <w:r w:rsidRPr="00233D69">
        <w:lastRenderedPageBreak/>
        <w:t>tally up how many registrable offences the offender has been convicted of in their life, in any jurisdiction (including determining whether multiple offences of the same kind should be counted as a ‘single offence’)</w:t>
      </w:r>
      <w:r w:rsidR="00524257" w:rsidRPr="00233D69">
        <w:t>;</w:t>
      </w:r>
    </w:p>
    <w:p w14:paraId="7ABF0933" w14:textId="23AC5DE7" w:rsidR="00E720BB" w:rsidRPr="00233D69" w:rsidRDefault="00E720BB" w:rsidP="00233D69">
      <w:pPr>
        <w:pStyle w:val="ListBullet"/>
      </w:pPr>
      <w:r w:rsidRPr="00233D69">
        <w:t>classify whether each of those offences is a Class 1 or Class 2 offence</w:t>
      </w:r>
      <w:r w:rsidR="00524257" w:rsidRPr="00233D69">
        <w:t>;</w:t>
      </w:r>
    </w:p>
    <w:p w14:paraId="0DD0DC8C" w14:textId="4BC08696" w:rsidR="00E720BB" w:rsidRPr="00233D69" w:rsidRDefault="00E720BB" w:rsidP="00233D69">
      <w:pPr>
        <w:pStyle w:val="ListBullet"/>
      </w:pPr>
      <w:r w:rsidRPr="00233D69">
        <w:t>determine whether the person was a child when they committed each registrable offence</w:t>
      </w:r>
      <w:r w:rsidR="00524257" w:rsidRPr="00233D69">
        <w:t>, and</w:t>
      </w:r>
    </w:p>
    <w:p w14:paraId="20A99372" w14:textId="77777777" w:rsidR="00E720BB" w:rsidRPr="004A3983" w:rsidRDefault="00E720BB" w:rsidP="00233D69">
      <w:pPr>
        <w:pStyle w:val="ListBullet"/>
      </w:pPr>
      <w:r w:rsidRPr="00233D69">
        <w:t>identify whether</w:t>
      </w:r>
      <w:r w:rsidRPr="004A3983">
        <w:t xml:space="preserve"> the offender committed further registrable offences while on the Register (as offending subsequent to registration may increase the person’s reporting period to life).</w:t>
      </w:r>
      <w:r w:rsidRPr="004A3983">
        <w:rPr>
          <w:rStyle w:val="FootnoteReference"/>
        </w:rPr>
        <w:footnoteReference w:id="399"/>
      </w:r>
    </w:p>
    <w:p w14:paraId="248A32D0" w14:textId="761D2182" w:rsidR="00E720BB" w:rsidRPr="004A3983" w:rsidRDefault="00E720BB" w:rsidP="00E15D0F">
      <w:pPr>
        <w:widowControl w:val="0"/>
        <w:adjustRightInd w:val="0"/>
        <w:snapToGrid w:val="0"/>
        <w:spacing w:after="160"/>
        <w:ind w:right="-2"/>
        <w:rPr>
          <w:rFonts w:ascii="Gotham Book" w:hAnsi="Gotham Book"/>
        </w:rPr>
      </w:pPr>
      <w:r w:rsidRPr="004A3983">
        <w:rPr>
          <w:rFonts w:ascii="Gotham Book" w:hAnsi="Gotham Book"/>
        </w:rPr>
        <w:t>The Registry officers therefore require a significant amount of detail about a person’s history of offending to correctly determine their reporting per</w:t>
      </w:r>
      <w:r w:rsidR="006357E9" w:rsidRPr="004A3983">
        <w:rPr>
          <w:rFonts w:ascii="Gotham Book" w:hAnsi="Gotham Book"/>
        </w:rPr>
        <w:t xml:space="preserve">iod. The Registry officers </w:t>
      </w:r>
      <w:r w:rsidRPr="004A3983">
        <w:rPr>
          <w:rFonts w:ascii="Gotham Book" w:hAnsi="Gotham Book"/>
        </w:rPr>
        <w:t>need access to the person’s criminal record, custodial history, police fact sheets, agreed fact sheets, judicial sentencing remarks and details of any plea arrangements.</w:t>
      </w:r>
      <w:r w:rsidRPr="004A3983">
        <w:rPr>
          <w:rStyle w:val="FootnoteReference"/>
          <w:rFonts w:ascii="Gotham Book" w:hAnsi="Gotham Book"/>
        </w:rPr>
        <w:footnoteReference w:id="400"/>
      </w:r>
    </w:p>
    <w:p w14:paraId="64CC2A74" w14:textId="6BA5C3A6" w:rsidR="00E720BB" w:rsidRPr="004A3983" w:rsidRDefault="00E720BB" w:rsidP="00E15D0F">
      <w:pPr>
        <w:widowControl w:val="0"/>
        <w:adjustRightInd w:val="0"/>
        <w:snapToGrid w:val="0"/>
        <w:spacing w:after="160"/>
        <w:ind w:right="-2"/>
        <w:rPr>
          <w:rFonts w:ascii="Gotham Book" w:hAnsi="Gotham Book"/>
        </w:rPr>
      </w:pPr>
      <w:r w:rsidRPr="004A3983">
        <w:rPr>
          <w:rFonts w:ascii="Gotham Book" w:hAnsi="Gotham Book"/>
        </w:rPr>
        <w:t xml:space="preserve">The difficulties mentioned in </w:t>
      </w:r>
      <w:r w:rsidR="00574805" w:rsidRPr="004A3983">
        <w:rPr>
          <w:rFonts w:ascii="Gotham Book" w:hAnsi="Gotham Book"/>
        </w:rPr>
        <w:t xml:space="preserve">sections </w:t>
      </w:r>
      <w:r w:rsidR="00574805" w:rsidRPr="004A3983">
        <w:rPr>
          <w:rFonts w:ascii="Gotham Book" w:hAnsi="Gotham Book"/>
        </w:rPr>
        <w:fldChar w:fldCharType="begin"/>
      </w:r>
      <w:r w:rsidR="00574805" w:rsidRPr="004A3983">
        <w:rPr>
          <w:rFonts w:ascii="Gotham Book" w:hAnsi="Gotham Book"/>
        </w:rPr>
        <w:instrText xml:space="preserve"> REF _Ref10560128 \r \h </w:instrText>
      </w:r>
      <w:r w:rsidR="009B6F70" w:rsidRPr="004A3983">
        <w:rPr>
          <w:rFonts w:ascii="Gotham Book" w:hAnsi="Gotham Book"/>
        </w:rPr>
        <w:instrText xml:space="preserve"> \* MERGEFORMAT </w:instrText>
      </w:r>
      <w:r w:rsidR="00574805" w:rsidRPr="004A3983">
        <w:rPr>
          <w:rFonts w:ascii="Gotham Book" w:hAnsi="Gotham Book"/>
        </w:rPr>
      </w:r>
      <w:r w:rsidR="00574805" w:rsidRPr="004A3983">
        <w:rPr>
          <w:rFonts w:ascii="Gotham Book" w:hAnsi="Gotham Book"/>
        </w:rPr>
        <w:fldChar w:fldCharType="separate"/>
      </w:r>
      <w:r w:rsidR="00022664">
        <w:rPr>
          <w:rFonts w:ascii="Gotham Book" w:hAnsi="Gotham Book" w:hint="cs"/>
          <w:cs/>
        </w:rPr>
        <w:t>‎</w:t>
      </w:r>
      <w:r w:rsidR="00022664">
        <w:rPr>
          <w:rFonts w:ascii="Gotham Book" w:hAnsi="Gotham Book"/>
        </w:rPr>
        <w:t>6.3.1</w:t>
      </w:r>
      <w:r w:rsidR="00574805" w:rsidRPr="004A3983">
        <w:rPr>
          <w:rFonts w:ascii="Gotham Book" w:hAnsi="Gotham Book"/>
        </w:rPr>
        <w:fldChar w:fldCharType="end"/>
      </w:r>
      <w:r w:rsidR="00574805" w:rsidRPr="004A3983">
        <w:rPr>
          <w:rFonts w:ascii="Gotham Book" w:hAnsi="Gotham Book"/>
        </w:rPr>
        <w:t xml:space="preserve"> and </w:t>
      </w:r>
      <w:r w:rsidR="00574805" w:rsidRPr="004A3983">
        <w:rPr>
          <w:rFonts w:ascii="Gotham Book" w:hAnsi="Gotham Book"/>
        </w:rPr>
        <w:fldChar w:fldCharType="begin"/>
      </w:r>
      <w:r w:rsidR="00574805" w:rsidRPr="004A3983">
        <w:rPr>
          <w:rFonts w:ascii="Gotham Book" w:hAnsi="Gotham Book"/>
        </w:rPr>
        <w:instrText xml:space="preserve"> REF _Ref10560130 \r \h </w:instrText>
      </w:r>
      <w:r w:rsidR="009B6F70" w:rsidRPr="004A3983">
        <w:rPr>
          <w:rFonts w:ascii="Gotham Book" w:hAnsi="Gotham Book"/>
        </w:rPr>
        <w:instrText xml:space="preserve"> \* MERGEFORMAT </w:instrText>
      </w:r>
      <w:r w:rsidR="00574805" w:rsidRPr="004A3983">
        <w:rPr>
          <w:rFonts w:ascii="Gotham Book" w:hAnsi="Gotham Book"/>
        </w:rPr>
      </w:r>
      <w:r w:rsidR="00574805" w:rsidRPr="004A3983">
        <w:rPr>
          <w:rFonts w:ascii="Gotham Book" w:hAnsi="Gotham Book"/>
        </w:rPr>
        <w:fldChar w:fldCharType="separate"/>
      </w:r>
      <w:r w:rsidR="00022664">
        <w:rPr>
          <w:rFonts w:ascii="Gotham Book" w:hAnsi="Gotham Book" w:hint="cs"/>
          <w:cs/>
        </w:rPr>
        <w:t>‎</w:t>
      </w:r>
      <w:r w:rsidR="00022664">
        <w:rPr>
          <w:rFonts w:ascii="Gotham Book" w:hAnsi="Gotham Book"/>
        </w:rPr>
        <w:t>6.3.2</w:t>
      </w:r>
      <w:r w:rsidR="00574805" w:rsidRPr="004A3983">
        <w:rPr>
          <w:rFonts w:ascii="Gotham Book" w:hAnsi="Gotham Book"/>
        </w:rPr>
        <w:fldChar w:fldCharType="end"/>
      </w:r>
      <w:r w:rsidR="00574805" w:rsidRPr="004A3983">
        <w:rPr>
          <w:rFonts w:ascii="Gotham Book" w:hAnsi="Gotham Book"/>
        </w:rPr>
        <w:t xml:space="preserve"> </w:t>
      </w:r>
      <w:r w:rsidR="006D207B">
        <w:rPr>
          <w:rFonts w:ascii="Gotham Book" w:hAnsi="Gotham Book"/>
        </w:rPr>
        <w:t>associated with</w:t>
      </w:r>
      <w:r w:rsidRPr="004A3983">
        <w:rPr>
          <w:rFonts w:ascii="Gotham Book" w:hAnsi="Gotham Book"/>
        </w:rPr>
        <w:t xml:space="preserve"> identifying all registrable offences, and applying the ‘single offence’ test to determine when multiple offences should be grouped, also affect the calculation of reporting periods.</w:t>
      </w:r>
    </w:p>
    <w:p w14:paraId="07859CA1" w14:textId="77777777" w:rsidR="00E720BB" w:rsidRPr="004A3983" w:rsidRDefault="00E720BB" w:rsidP="00625318">
      <w:pPr>
        <w:spacing w:after="160"/>
        <w:rPr>
          <w:rFonts w:ascii="Gotham Book" w:hAnsi="Gotham Book"/>
        </w:rPr>
      </w:pPr>
      <w:r w:rsidRPr="004A3983">
        <w:rPr>
          <w:rFonts w:ascii="Gotham Book" w:hAnsi="Gotham Book"/>
        </w:rPr>
        <w:t>The complexity involved in calculating reporting periods is illustrated by the following:</w:t>
      </w:r>
    </w:p>
    <w:p w14:paraId="2BD682F6" w14:textId="754BE66A" w:rsidR="00E720BB" w:rsidRPr="004A3983" w:rsidRDefault="00E720BB" w:rsidP="00233D69">
      <w:pPr>
        <w:pStyle w:val="ListBullet"/>
      </w:pPr>
      <w:r w:rsidRPr="004A3983">
        <w:t>a ‘Reporting Matrix’ which the NSW Police Force had developed and used for</w:t>
      </w:r>
      <w:r w:rsidR="00233D69">
        <w:t> </w:t>
      </w:r>
      <w:r w:rsidRPr="004A3983">
        <w:t>several years to calculate reporting periods ‘to assist in reducing the subjectivity of individual interpretation’ was in 2016 ‘found to be in error itself</w:t>
      </w:r>
      <w:r w:rsidR="001D2DFA">
        <w:t>’.</w:t>
      </w:r>
      <w:r w:rsidRPr="004A3983">
        <w:rPr>
          <w:rStyle w:val="FootnoteReference"/>
        </w:rPr>
        <w:footnoteReference w:id="401"/>
      </w:r>
    </w:p>
    <w:p w14:paraId="5F6AF33A" w14:textId="1255BA7B" w:rsidR="00E720BB" w:rsidRPr="004A3983" w:rsidRDefault="000362CF" w:rsidP="00233D69">
      <w:pPr>
        <w:pStyle w:val="ListBullet"/>
      </w:pPr>
      <w:r w:rsidRPr="004A3983">
        <w:t>The NSW Police Force</w:t>
      </w:r>
      <w:r w:rsidR="00E720BB" w:rsidRPr="004A3983">
        <w:t xml:space="preserve"> CPR case review identified 629 CPR files in which errors has been made in calculating the reporting period.</w:t>
      </w:r>
      <w:r w:rsidR="00E720BB" w:rsidRPr="004A3983">
        <w:rPr>
          <w:rStyle w:val="FootnoteReference"/>
        </w:rPr>
        <w:footnoteReference w:id="402"/>
      </w:r>
      <w:r w:rsidR="00E720BB" w:rsidRPr="004A3983">
        <w:t xml:space="preserve"> </w:t>
      </w:r>
    </w:p>
    <w:p w14:paraId="2501EC70" w14:textId="2DC00A93" w:rsidR="00E720BB" w:rsidRPr="004A3983" w:rsidRDefault="00E720BB" w:rsidP="00233D69">
      <w:pPr>
        <w:pStyle w:val="ListBullet"/>
      </w:pPr>
      <w:r w:rsidRPr="004A3983">
        <w:t>In the case of Mr AA (</w:t>
      </w:r>
      <w:r w:rsidR="007F27C6" w:rsidRPr="004A3983">
        <w:t>Case Study</w:t>
      </w:r>
      <w:r w:rsidR="00537150" w:rsidRPr="004A3983">
        <w:t xml:space="preserve"> 2</w:t>
      </w:r>
      <w:r w:rsidRPr="004A3983">
        <w:t xml:space="preserve"> in </w:t>
      </w:r>
      <w:r w:rsidR="00990DBF" w:rsidRPr="004A3983">
        <w:t xml:space="preserve">Chapter </w:t>
      </w:r>
      <w:r w:rsidR="00990DBF" w:rsidRPr="004A3983">
        <w:fldChar w:fldCharType="begin"/>
      </w:r>
      <w:r w:rsidR="00990DBF" w:rsidRPr="004A3983">
        <w:instrText xml:space="preserve"> REF _Ref9430195 \r \h </w:instrText>
      </w:r>
      <w:r w:rsidR="006F0F6D" w:rsidRPr="004A3983">
        <w:instrText xml:space="preserve"> \* MERGEFORMAT </w:instrText>
      </w:r>
      <w:r w:rsidR="00990DBF" w:rsidRPr="004A3983">
        <w:fldChar w:fldCharType="separate"/>
      </w:r>
      <w:r w:rsidR="00022664">
        <w:rPr>
          <w:rFonts w:hint="cs"/>
          <w:cs/>
        </w:rPr>
        <w:t>‎</w:t>
      </w:r>
      <w:r w:rsidR="00022664">
        <w:t>3</w:t>
      </w:r>
      <w:r w:rsidR="00990DBF" w:rsidRPr="004A3983">
        <w:fldChar w:fldCharType="end"/>
      </w:r>
      <w:r w:rsidRPr="004A3983">
        <w:t>), the CPR case review team had identified that two errors had been made in the initial calculation of his reporting period in 2006, and updated his reporting period. However, when the Commission reviewed Mr AA’s file, it identified that the review team had itself made an error in calculating his reporting period.</w:t>
      </w:r>
    </w:p>
    <w:p w14:paraId="6370CF1C" w14:textId="0A03967C" w:rsidR="00E720BB" w:rsidRPr="004A3983" w:rsidRDefault="00E720BB" w:rsidP="00E15D0F">
      <w:pPr>
        <w:spacing w:after="160"/>
        <w:ind w:right="-2"/>
        <w:rPr>
          <w:rFonts w:ascii="Gotham Book" w:hAnsi="Gotham Book"/>
        </w:rPr>
      </w:pPr>
      <w:r w:rsidRPr="004A3983">
        <w:rPr>
          <w:rFonts w:ascii="Gotham Book" w:hAnsi="Gotham Book"/>
        </w:rPr>
        <w:t>Calculating the reporting periods of registrable persons who have been convicted of</w:t>
      </w:r>
      <w:r w:rsidR="00233D69">
        <w:rPr>
          <w:rFonts w:ascii="Gotham Book" w:hAnsi="Gotham Book"/>
        </w:rPr>
        <w:t> </w:t>
      </w:r>
      <w:r w:rsidRPr="004A3983">
        <w:rPr>
          <w:rFonts w:ascii="Gotham Book" w:hAnsi="Gotham Book"/>
        </w:rPr>
        <w:t>multiple child abuse material (CAM) offences</w:t>
      </w:r>
      <w:r w:rsidR="00D75456" w:rsidRPr="004A3983">
        <w:rPr>
          <w:rFonts w:ascii="Gotham Book" w:hAnsi="Gotham Book"/>
        </w:rPr>
        <w:t xml:space="preserve"> can be</w:t>
      </w:r>
      <w:r w:rsidRPr="004A3983">
        <w:rPr>
          <w:rFonts w:ascii="Gotham Book" w:hAnsi="Gotham Book"/>
        </w:rPr>
        <w:t xml:space="preserve"> particularly difficult. This is because the NSW Police Force is required to apply the ‘single offence’ test in s 3(3) </w:t>
      </w:r>
      <w:r w:rsidRPr="004A3983">
        <w:rPr>
          <w:rFonts w:ascii="Gotham Book" w:hAnsi="Gotham Book"/>
        </w:rPr>
        <w:lastRenderedPageBreak/>
        <w:t>to CAM offences when calculating reporting periods under s 14A.</w:t>
      </w:r>
      <w:r w:rsidRPr="004A3983">
        <w:rPr>
          <w:rStyle w:val="FootnoteReference"/>
          <w:rFonts w:ascii="Gotham Book" w:hAnsi="Gotham Book"/>
        </w:rPr>
        <w:footnoteReference w:id="403"/>
      </w:r>
      <w:r w:rsidRPr="004A3983">
        <w:rPr>
          <w:rFonts w:ascii="Gotham Book" w:hAnsi="Gotham Book"/>
        </w:rPr>
        <w:t xml:space="preserve"> As mentioned </w:t>
      </w:r>
      <w:r w:rsidR="005349C0" w:rsidRPr="004A3983">
        <w:rPr>
          <w:rFonts w:ascii="Gotham Book" w:hAnsi="Gotham Book"/>
        </w:rPr>
        <w:t>(</w:t>
      </w:r>
      <w:r w:rsidRPr="004A3983">
        <w:rPr>
          <w:rFonts w:ascii="Gotham Book" w:hAnsi="Gotham Book"/>
        </w:rPr>
        <w:t>in</w:t>
      </w:r>
      <w:r w:rsidR="00233D69">
        <w:rPr>
          <w:rFonts w:ascii="Gotham Book" w:hAnsi="Gotham Book"/>
        </w:rPr>
        <w:t> </w:t>
      </w:r>
      <w:r w:rsidR="006D5474" w:rsidRPr="004A3983">
        <w:rPr>
          <w:rFonts w:ascii="Gotham Book" w:hAnsi="Gotham Book"/>
        </w:rPr>
        <w:t xml:space="preserve">section </w:t>
      </w:r>
      <w:r w:rsidR="006D5474" w:rsidRPr="004A3983">
        <w:rPr>
          <w:rFonts w:ascii="Gotham Book" w:hAnsi="Gotham Book"/>
        </w:rPr>
        <w:fldChar w:fldCharType="begin"/>
      </w:r>
      <w:r w:rsidR="006D5474" w:rsidRPr="004A3983">
        <w:rPr>
          <w:rFonts w:ascii="Gotham Book" w:hAnsi="Gotham Book"/>
        </w:rPr>
        <w:instrText xml:space="preserve"> REF _Ref10560184 \r \h </w:instrText>
      </w:r>
      <w:r w:rsidR="001769E2" w:rsidRPr="004A3983">
        <w:rPr>
          <w:rFonts w:ascii="Gotham Book" w:hAnsi="Gotham Book"/>
        </w:rPr>
        <w:instrText xml:space="preserve"> \* MERGEFORMAT </w:instrText>
      </w:r>
      <w:r w:rsidR="006D5474" w:rsidRPr="004A3983">
        <w:rPr>
          <w:rFonts w:ascii="Gotham Book" w:hAnsi="Gotham Book"/>
        </w:rPr>
      </w:r>
      <w:r w:rsidR="006D5474" w:rsidRPr="004A3983">
        <w:rPr>
          <w:rFonts w:ascii="Gotham Book" w:hAnsi="Gotham Book"/>
        </w:rPr>
        <w:fldChar w:fldCharType="separate"/>
      </w:r>
      <w:r w:rsidR="00022664">
        <w:rPr>
          <w:rFonts w:ascii="Gotham Book" w:hAnsi="Gotham Book" w:hint="cs"/>
          <w:cs/>
        </w:rPr>
        <w:t>‎</w:t>
      </w:r>
      <w:r w:rsidR="00022664">
        <w:rPr>
          <w:rFonts w:ascii="Gotham Book" w:hAnsi="Gotham Book"/>
        </w:rPr>
        <w:t>6.3.2</w:t>
      </w:r>
      <w:r w:rsidR="006D5474" w:rsidRPr="004A3983">
        <w:rPr>
          <w:rFonts w:ascii="Gotham Book" w:hAnsi="Gotham Book"/>
        </w:rPr>
        <w:fldChar w:fldCharType="end"/>
      </w:r>
      <w:r w:rsidR="005349C0" w:rsidRPr="004A3983">
        <w:rPr>
          <w:rFonts w:ascii="Gotham Book" w:hAnsi="Gotham Book"/>
        </w:rPr>
        <w:t>)</w:t>
      </w:r>
      <w:r w:rsidRPr="004A3983">
        <w:rPr>
          <w:rFonts w:ascii="Gotham Book" w:hAnsi="Gotham Book"/>
        </w:rPr>
        <w:t xml:space="preserve">, it is unclear how the requirement in s 3(3) that the offences be ‘committed against the same person’ is intended to be applied to CAM offences, which are not defined in the </w:t>
      </w:r>
      <w:r w:rsidRPr="004A3983">
        <w:rPr>
          <w:rFonts w:ascii="Gotham Book" w:hAnsi="Gotham Book"/>
          <w:i/>
        </w:rPr>
        <w:t>Crimes Act</w:t>
      </w:r>
      <w:r w:rsidRPr="004A3983">
        <w:rPr>
          <w:rFonts w:ascii="Gotham Book" w:hAnsi="Gotham Book"/>
        </w:rPr>
        <w:t xml:space="preserve"> </w:t>
      </w:r>
      <w:r w:rsidRPr="004A3983">
        <w:rPr>
          <w:rFonts w:ascii="Gotham Book" w:hAnsi="Gotham Book"/>
          <w:i/>
        </w:rPr>
        <w:t>1900</w:t>
      </w:r>
      <w:r w:rsidRPr="004A3983">
        <w:rPr>
          <w:rFonts w:ascii="Gotham Book" w:hAnsi="Gotham Book"/>
        </w:rPr>
        <w:t xml:space="preserve"> </w:t>
      </w:r>
      <w:r w:rsidR="0014392F" w:rsidRPr="004A3983">
        <w:rPr>
          <w:rFonts w:ascii="Gotham Book" w:hAnsi="Gotham Book"/>
        </w:rPr>
        <w:t xml:space="preserve">(NSW) </w:t>
      </w:r>
      <w:r w:rsidRPr="004A3983">
        <w:rPr>
          <w:rFonts w:ascii="Gotham Book" w:hAnsi="Gotham Book"/>
        </w:rPr>
        <w:t>as being offences that are ‘committed against’ any person.</w:t>
      </w:r>
      <w:r w:rsidRPr="004A3983">
        <w:rPr>
          <w:rStyle w:val="FootnoteReference"/>
          <w:rFonts w:ascii="Gotham Book" w:hAnsi="Gotham Book"/>
        </w:rPr>
        <w:footnoteReference w:id="404"/>
      </w:r>
      <w:r w:rsidRPr="004A3983">
        <w:rPr>
          <w:rFonts w:ascii="Gotham Book" w:hAnsi="Gotham Book"/>
        </w:rPr>
        <w:t xml:space="preserve"> </w:t>
      </w:r>
    </w:p>
    <w:p w14:paraId="464F3D8B" w14:textId="4279CD60" w:rsidR="00E720BB" w:rsidRPr="004A3983" w:rsidRDefault="00E720BB" w:rsidP="00E15D0F">
      <w:pPr>
        <w:spacing w:after="160"/>
        <w:ind w:right="-2"/>
        <w:rPr>
          <w:rFonts w:ascii="Gotham Book" w:hAnsi="Gotham Book"/>
        </w:rPr>
      </w:pPr>
      <w:r w:rsidRPr="004A3983">
        <w:rPr>
          <w:rFonts w:ascii="Gotham Book" w:hAnsi="Gotham Book"/>
        </w:rPr>
        <w:t>The language in s 3(3), which has been in the CPOR Act since 2001,</w:t>
      </w:r>
      <w:r w:rsidRPr="004A3983">
        <w:rPr>
          <w:rStyle w:val="FootnoteReference"/>
          <w:rFonts w:ascii="Gotham Book" w:hAnsi="Gotham Book"/>
        </w:rPr>
        <w:footnoteReference w:id="405"/>
      </w:r>
      <w:r w:rsidRPr="004A3983">
        <w:rPr>
          <w:rFonts w:ascii="Gotham Book" w:hAnsi="Gotham Book"/>
        </w:rPr>
        <w:t xml:space="preserve"> has therefore created significant problems for the NSW Police Force. There are mult</w:t>
      </w:r>
      <w:r w:rsidR="00012EE6" w:rsidRPr="004A3983">
        <w:rPr>
          <w:rFonts w:ascii="Gotham Book" w:hAnsi="Gotham Book"/>
        </w:rPr>
        <w:t>iple ways of interpreting how s </w:t>
      </w:r>
      <w:r w:rsidRPr="004A3983">
        <w:rPr>
          <w:rFonts w:ascii="Gotham Book" w:hAnsi="Gotham Book"/>
        </w:rPr>
        <w:t xml:space="preserve">3(3) should operate in relation to </w:t>
      </w:r>
      <w:r w:rsidR="00665F12" w:rsidRPr="004A3983">
        <w:rPr>
          <w:rFonts w:ascii="Gotham Book" w:hAnsi="Gotham Book"/>
        </w:rPr>
        <w:t>CAM offences. As demonstrated by</w:t>
      </w:r>
      <w:r w:rsidRPr="004A3983">
        <w:rPr>
          <w:rFonts w:ascii="Gotham Book" w:hAnsi="Gotham Book"/>
        </w:rPr>
        <w:t xml:space="preserve"> </w:t>
      </w:r>
      <w:r w:rsidR="0030288A" w:rsidRPr="004A3983">
        <w:rPr>
          <w:rFonts w:ascii="Gotham Book" w:hAnsi="Gotham Book"/>
        </w:rPr>
        <w:t>Example</w:t>
      </w:r>
      <w:r w:rsidR="00520214" w:rsidRPr="004A3983">
        <w:rPr>
          <w:rFonts w:ascii="Gotham Book" w:hAnsi="Gotham Book"/>
        </w:rPr>
        <w:t xml:space="preserve"> 6</w:t>
      </w:r>
      <w:r w:rsidR="00EC141E" w:rsidRPr="004A3983">
        <w:rPr>
          <w:rFonts w:ascii="Gotham Book" w:hAnsi="Gotham Book"/>
        </w:rPr>
        <w:t xml:space="preserve"> </w:t>
      </w:r>
      <w:r w:rsidR="001769E2" w:rsidRPr="004A3983">
        <w:rPr>
          <w:rFonts w:ascii="Gotham Book" w:hAnsi="Gotham Book"/>
        </w:rPr>
        <w:t>in</w:t>
      </w:r>
      <w:r w:rsidR="00EC52D3" w:rsidRPr="004A3983">
        <w:rPr>
          <w:rFonts w:ascii="Gotham Book" w:hAnsi="Gotham Book"/>
        </w:rPr>
        <w:t xml:space="preserve"> </w:t>
      </w:r>
      <w:r w:rsidR="00EC141E" w:rsidRPr="004A3983">
        <w:rPr>
          <w:rFonts w:ascii="Gotham Book" w:hAnsi="Gotham Book"/>
        </w:rPr>
        <w:t>Appendix </w:t>
      </w:r>
      <w:r w:rsidR="00E45FBE" w:rsidRPr="004A3983">
        <w:rPr>
          <w:rFonts w:ascii="Gotham Book" w:hAnsi="Gotham Book"/>
        </w:rPr>
        <w:t>2</w:t>
      </w:r>
      <w:r w:rsidR="001769E2" w:rsidRPr="004A3983">
        <w:rPr>
          <w:rFonts w:ascii="Gotham Book" w:hAnsi="Gotham Book"/>
        </w:rPr>
        <w:t xml:space="preserve"> (in part 5.3)</w:t>
      </w:r>
      <w:r w:rsidRPr="004A3983">
        <w:rPr>
          <w:rFonts w:ascii="Gotham Book" w:hAnsi="Gotham Book"/>
        </w:rPr>
        <w:t xml:space="preserve">, involving Mr WW, different members of the NSW Police Force have adopted different interpretations over time, which has led to inconsistent outcomes. </w:t>
      </w:r>
    </w:p>
    <w:p w14:paraId="68F8EAAA" w14:textId="0D70ACBA" w:rsidR="00E720BB" w:rsidRPr="004A3983" w:rsidRDefault="00E720BB" w:rsidP="00E15D0F">
      <w:pPr>
        <w:spacing w:after="160"/>
        <w:ind w:right="-2"/>
        <w:rPr>
          <w:rFonts w:ascii="Gotham Book" w:hAnsi="Gotham Book"/>
        </w:rPr>
      </w:pPr>
      <w:r w:rsidRPr="004A3983">
        <w:rPr>
          <w:rFonts w:ascii="Gotham Book" w:hAnsi="Gotham Book"/>
        </w:rPr>
        <w:t xml:space="preserve">The Commission notes that in December 2017, the CPR case review found 41 persons on the Register for CAM offences whose reporting periods had </w:t>
      </w:r>
      <w:r w:rsidR="00070A41" w:rsidRPr="004A3983">
        <w:rPr>
          <w:rFonts w:ascii="Gotham Book" w:hAnsi="Gotham Book"/>
        </w:rPr>
        <w:t>been incorrectly calculated as eight</w:t>
      </w:r>
      <w:r w:rsidRPr="004A3983">
        <w:rPr>
          <w:rFonts w:ascii="Gotham Book" w:hAnsi="Gotham Book"/>
        </w:rPr>
        <w:t xml:space="preserve"> years (for a single Class 2 offence), when they should have been 15 years (for multiple Class 2 offences).</w:t>
      </w:r>
      <w:r w:rsidRPr="004A3983">
        <w:rPr>
          <w:rStyle w:val="FootnoteReference"/>
          <w:rFonts w:ascii="Gotham Book" w:hAnsi="Gotham Book"/>
        </w:rPr>
        <w:footnoteReference w:id="406"/>
      </w:r>
      <w:r w:rsidRPr="004A3983">
        <w:rPr>
          <w:rFonts w:ascii="Gotham Book" w:hAnsi="Gotham Book"/>
        </w:rPr>
        <w:t xml:space="preserve"> These case</w:t>
      </w:r>
      <w:r w:rsidR="00FD5A13" w:rsidRPr="004A3983">
        <w:rPr>
          <w:rFonts w:ascii="Gotham Book" w:hAnsi="Gotham Book"/>
        </w:rPr>
        <w:t>s</w:t>
      </w:r>
      <w:r w:rsidR="00087076" w:rsidRPr="004A3983">
        <w:rPr>
          <w:rFonts w:ascii="Gotham Book" w:hAnsi="Gotham Book"/>
        </w:rPr>
        <w:t xml:space="preserve"> had to be re</w:t>
      </w:r>
      <w:r w:rsidRPr="004A3983">
        <w:rPr>
          <w:rFonts w:ascii="Gotham Book" w:hAnsi="Gotham Book"/>
        </w:rPr>
        <w:t>opened, updated, and the persons notified.</w:t>
      </w:r>
      <w:r w:rsidRPr="004A3983">
        <w:rPr>
          <w:rStyle w:val="FootnoteReference"/>
          <w:rFonts w:ascii="Gotham Book" w:hAnsi="Gotham Book"/>
        </w:rPr>
        <w:t xml:space="preserve"> </w:t>
      </w:r>
      <w:r w:rsidRPr="004A3983">
        <w:rPr>
          <w:rStyle w:val="FootnoteReference"/>
          <w:rFonts w:ascii="Gotham Book" w:hAnsi="Gotham Book"/>
        </w:rPr>
        <w:footnoteReference w:id="407"/>
      </w:r>
      <w:r w:rsidRPr="004A3983">
        <w:rPr>
          <w:rFonts w:ascii="Gotham Book" w:hAnsi="Gotham Book"/>
        </w:rPr>
        <w:t xml:space="preserve"> As noted in </w:t>
      </w:r>
      <w:r w:rsidR="00AA5856" w:rsidRPr="004A3983">
        <w:rPr>
          <w:rFonts w:ascii="Gotham Book" w:hAnsi="Gotham Book"/>
        </w:rPr>
        <w:t xml:space="preserve">Chapter </w:t>
      </w:r>
      <w:r w:rsidR="00AA5856" w:rsidRPr="004A3983">
        <w:rPr>
          <w:rFonts w:ascii="Gotham Book" w:hAnsi="Gotham Book"/>
        </w:rPr>
        <w:fldChar w:fldCharType="begin"/>
      </w:r>
      <w:r w:rsidR="00AA5856" w:rsidRPr="004A3983">
        <w:rPr>
          <w:rFonts w:ascii="Gotham Book" w:hAnsi="Gotham Book"/>
        </w:rPr>
        <w:instrText xml:space="preserve"> REF _Ref9615738 \r \h </w:instrText>
      </w:r>
      <w:r w:rsidR="00070A41" w:rsidRPr="004A3983">
        <w:rPr>
          <w:rFonts w:ascii="Gotham Book" w:hAnsi="Gotham Book"/>
        </w:rPr>
        <w:instrText xml:space="preserve"> \* MERGEFORMAT </w:instrText>
      </w:r>
      <w:r w:rsidR="00AA5856" w:rsidRPr="004A3983">
        <w:rPr>
          <w:rFonts w:ascii="Gotham Book" w:hAnsi="Gotham Book"/>
        </w:rPr>
      </w:r>
      <w:r w:rsidR="00AA5856" w:rsidRPr="004A3983">
        <w:rPr>
          <w:rFonts w:ascii="Gotham Book" w:hAnsi="Gotham Book"/>
        </w:rPr>
        <w:fldChar w:fldCharType="separate"/>
      </w:r>
      <w:r w:rsidR="00022664">
        <w:rPr>
          <w:rFonts w:ascii="Gotham Book" w:hAnsi="Gotham Book" w:hint="cs"/>
          <w:cs/>
        </w:rPr>
        <w:t>‎</w:t>
      </w:r>
      <w:r w:rsidR="00022664">
        <w:rPr>
          <w:rFonts w:ascii="Gotham Book" w:hAnsi="Gotham Book"/>
        </w:rPr>
        <w:t>5</w:t>
      </w:r>
      <w:r w:rsidR="00AA5856" w:rsidRPr="004A3983">
        <w:rPr>
          <w:rFonts w:ascii="Gotham Book" w:hAnsi="Gotham Book"/>
        </w:rPr>
        <w:fldChar w:fldCharType="end"/>
      </w:r>
      <w:r w:rsidRPr="004A3983">
        <w:rPr>
          <w:rFonts w:ascii="Gotham Book" w:hAnsi="Gotham Book"/>
        </w:rPr>
        <w:t xml:space="preserve">, convictions for CAM offences are increasing each year. These types of offences will continue to create problems for </w:t>
      </w:r>
      <w:r w:rsidR="00A66806" w:rsidRPr="004A3983">
        <w:rPr>
          <w:rFonts w:ascii="Gotham Book" w:hAnsi="Gotham Book"/>
        </w:rPr>
        <w:t>those officers in the</w:t>
      </w:r>
      <w:r w:rsidRPr="004A3983">
        <w:rPr>
          <w:rFonts w:ascii="Gotham Book" w:hAnsi="Gotham Book"/>
        </w:rPr>
        <w:t xml:space="preserve"> NSW Police Force </w:t>
      </w:r>
      <w:r w:rsidR="00A66806" w:rsidRPr="004A3983">
        <w:rPr>
          <w:rFonts w:ascii="Gotham Book" w:hAnsi="Gotham Book"/>
        </w:rPr>
        <w:t>who are</w:t>
      </w:r>
      <w:r w:rsidRPr="004A3983">
        <w:rPr>
          <w:rFonts w:ascii="Gotham Book" w:hAnsi="Gotham Book"/>
        </w:rPr>
        <w:t xml:space="preserve"> responsible for calculating reporting periods under the CPOR Act.</w:t>
      </w:r>
    </w:p>
    <w:p w14:paraId="711350E1" w14:textId="173944BF" w:rsidR="009E44F4" w:rsidRPr="004A3983" w:rsidRDefault="009E44F4" w:rsidP="00E15D0F">
      <w:pPr>
        <w:pStyle w:val="Heading3"/>
        <w:spacing w:after="160"/>
        <w:ind w:right="-2"/>
      </w:pPr>
      <w:bookmarkStart w:id="364" w:name="_Toc8913542"/>
      <w:bookmarkStart w:id="365" w:name="_Toc9428403"/>
      <w:bookmarkStart w:id="366" w:name="_Toc12020355"/>
      <w:bookmarkStart w:id="367" w:name="_Toc14790521"/>
      <w:bookmarkStart w:id="368" w:name="_Toc15478404"/>
      <w:bookmarkStart w:id="369" w:name="_Toc22627803"/>
      <w:r w:rsidRPr="004A3983">
        <w:t xml:space="preserve">Difficulty </w:t>
      </w:r>
      <w:r w:rsidR="00521688">
        <w:t xml:space="preserve">of </w:t>
      </w:r>
      <w:r w:rsidRPr="004A3983">
        <w:t>interpreting (and therefore enforcing) reporting obligations</w:t>
      </w:r>
      <w:bookmarkEnd w:id="364"/>
      <w:bookmarkEnd w:id="365"/>
      <w:bookmarkEnd w:id="366"/>
      <w:bookmarkEnd w:id="367"/>
      <w:bookmarkEnd w:id="368"/>
      <w:bookmarkEnd w:id="369"/>
    </w:p>
    <w:p w14:paraId="05911D96" w14:textId="64910466" w:rsidR="009E44F4" w:rsidRPr="004A3983" w:rsidRDefault="009E44F4" w:rsidP="00E15D0F">
      <w:pPr>
        <w:spacing w:after="160"/>
        <w:ind w:right="-2"/>
        <w:rPr>
          <w:rFonts w:ascii="Gotham Book" w:hAnsi="Gotham Book" w:cs="Arial"/>
        </w:rPr>
      </w:pPr>
      <w:r w:rsidRPr="004A3983">
        <w:rPr>
          <w:rFonts w:ascii="Gotham Book" w:hAnsi="Gotham Book" w:cs="Arial"/>
        </w:rPr>
        <w:t>The CPOR Act requires registrable offenders to report their personal information, and changes to that information, to the NSW</w:t>
      </w:r>
      <w:r w:rsidR="00F02F2F" w:rsidRPr="004A3983">
        <w:rPr>
          <w:rFonts w:ascii="Gotham Book" w:hAnsi="Gotham Book" w:cs="Arial"/>
        </w:rPr>
        <w:t xml:space="preserve"> </w:t>
      </w:r>
      <w:r w:rsidRPr="004A3983">
        <w:rPr>
          <w:rFonts w:ascii="Gotham Book" w:hAnsi="Gotham Book" w:cs="Arial"/>
        </w:rPr>
        <w:t>P</w:t>
      </w:r>
      <w:r w:rsidR="00F02F2F" w:rsidRPr="004A3983">
        <w:rPr>
          <w:rFonts w:ascii="Gotham Book" w:hAnsi="Gotham Book" w:cs="Arial"/>
        </w:rPr>
        <w:t xml:space="preserve">olice </w:t>
      </w:r>
      <w:r w:rsidRPr="004A3983">
        <w:rPr>
          <w:rFonts w:ascii="Gotham Book" w:hAnsi="Gotham Book" w:cs="Arial"/>
        </w:rPr>
        <w:t>F</w:t>
      </w:r>
      <w:r w:rsidR="00F02F2F" w:rsidRPr="004A3983">
        <w:rPr>
          <w:rFonts w:ascii="Gotham Book" w:hAnsi="Gotham Book" w:cs="Arial"/>
        </w:rPr>
        <w:t>orce</w:t>
      </w:r>
      <w:r w:rsidRPr="004A3983">
        <w:rPr>
          <w:rFonts w:ascii="Gotham Book" w:hAnsi="Gotham Book" w:cs="Arial"/>
        </w:rPr>
        <w:t xml:space="preserve"> within certain timeframes. The penalty for failing to comply with any of the reporting obligations is up to five years’ imprisonment.</w:t>
      </w:r>
      <w:r w:rsidRPr="004A3983">
        <w:rPr>
          <w:rStyle w:val="FootnoteReference"/>
          <w:rFonts w:ascii="Gotham Book" w:hAnsi="Gotham Book" w:cs="Arial"/>
        </w:rPr>
        <w:footnoteReference w:id="408"/>
      </w:r>
      <w:r w:rsidRPr="004A3983">
        <w:rPr>
          <w:rFonts w:ascii="Gotham Book" w:hAnsi="Gotham Book" w:cs="Arial"/>
        </w:rPr>
        <w:t xml:space="preserve"> However, there are a number of reporting obligations which have unclear deadlines. In certain circumstances it will be difficult for the NSW Police Force to identify when these obligations have been breached, giving rise to criminal liability for failure to report.</w:t>
      </w:r>
    </w:p>
    <w:p w14:paraId="2B28BF5D" w14:textId="65251965" w:rsidR="009E44F4" w:rsidRPr="004A3983" w:rsidRDefault="009E44F4" w:rsidP="00E15D0F">
      <w:pPr>
        <w:widowControl w:val="0"/>
        <w:adjustRightInd w:val="0"/>
        <w:snapToGrid w:val="0"/>
        <w:spacing w:after="160"/>
        <w:ind w:right="-2"/>
        <w:rPr>
          <w:rFonts w:ascii="Gotham Book" w:hAnsi="Gotham Book"/>
        </w:rPr>
      </w:pPr>
      <w:r w:rsidRPr="004A3983">
        <w:rPr>
          <w:rFonts w:ascii="Gotham Book" w:hAnsi="Gotham Book"/>
        </w:rPr>
        <w:t xml:space="preserve">For example, the CPOR Act requires that a </w:t>
      </w:r>
      <w:r w:rsidR="00CD0C51" w:rsidRPr="004A3983">
        <w:rPr>
          <w:rFonts w:ascii="Gotham Book" w:hAnsi="Gotham Book"/>
        </w:rPr>
        <w:t xml:space="preserve">registrable </w:t>
      </w:r>
      <w:r w:rsidRPr="004A3983">
        <w:rPr>
          <w:rFonts w:ascii="Gotham Book" w:hAnsi="Gotham Book"/>
        </w:rPr>
        <w:t xml:space="preserve">person </w:t>
      </w:r>
      <w:r w:rsidR="00CD0C51" w:rsidRPr="004A3983">
        <w:rPr>
          <w:rFonts w:ascii="Gotham Book" w:hAnsi="Gotham Book"/>
        </w:rPr>
        <w:t xml:space="preserve">to </w:t>
      </w:r>
      <w:r w:rsidRPr="004A3983">
        <w:rPr>
          <w:rFonts w:ascii="Gotham Book" w:hAnsi="Gotham Book"/>
        </w:rPr>
        <w:t xml:space="preserve">report a change to </w:t>
      </w:r>
      <w:r w:rsidR="00CD0C51" w:rsidRPr="004A3983">
        <w:rPr>
          <w:rFonts w:ascii="Gotham Book" w:hAnsi="Gotham Book"/>
        </w:rPr>
        <w:t xml:space="preserve">the premises </w:t>
      </w:r>
      <w:r w:rsidRPr="004A3983">
        <w:rPr>
          <w:rFonts w:ascii="Gotham Book" w:hAnsi="Gotham Book"/>
        </w:rPr>
        <w:t>where he o</w:t>
      </w:r>
      <w:r w:rsidR="00DB407E" w:rsidRPr="004A3983">
        <w:rPr>
          <w:rFonts w:ascii="Gotham Book" w:hAnsi="Gotham Book"/>
        </w:rPr>
        <w:t>r she ‘generally works’ within seven</w:t>
      </w:r>
      <w:r w:rsidRPr="004A3983">
        <w:rPr>
          <w:rFonts w:ascii="Gotham Book" w:hAnsi="Gotham Book"/>
        </w:rPr>
        <w:t xml:space="preserve"> days.</w:t>
      </w:r>
      <w:r w:rsidRPr="004A3983">
        <w:rPr>
          <w:rStyle w:val="FootnoteReference"/>
          <w:rFonts w:ascii="Gotham Book" w:hAnsi="Gotham Book"/>
        </w:rPr>
        <w:footnoteReference w:id="409"/>
      </w:r>
      <w:r w:rsidRPr="004A3983">
        <w:rPr>
          <w:rFonts w:ascii="Gotham Book" w:hAnsi="Gotham Book"/>
        </w:rPr>
        <w:t xml:space="preserve"> However, The CPOR Act states that a registrable person is only ‘generally employed’ at a particular premises if he or she is employed there for ‘at least 14 days (whether consecutive or not) in any period of 12 months’.</w:t>
      </w:r>
      <w:r w:rsidRPr="004A3983">
        <w:rPr>
          <w:rStyle w:val="FootnoteReference"/>
          <w:rFonts w:ascii="Gotham Book" w:hAnsi="Gotham Book"/>
        </w:rPr>
        <w:footnoteReference w:id="410"/>
      </w:r>
      <w:r w:rsidRPr="004A3983">
        <w:rPr>
          <w:rFonts w:ascii="Gotham Book" w:hAnsi="Gotham Book"/>
        </w:rPr>
        <w:t xml:space="preserve"> It is unclear whether a person only meets the definition of being ‘generally employed’ after completing 14 actual days of work with </w:t>
      </w:r>
      <w:r w:rsidRPr="004A3983">
        <w:rPr>
          <w:rFonts w:ascii="Gotham Book" w:hAnsi="Gotham Book"/>
        </w:rPr>
        <w:lastRenderedPageBreak/>
        <w:t>that employer, or whether this definition is satisfied once 14 days have elapsed since the person commenced employment (no matter how many of those days the person actually worked).</w:t>
      </w:r>
    </w:p>
    <w:p w14:paraId="7F6277C3" w14:textId="77777777" w:rsidR="009E44F4" w:rsidRPr="004A3983" w:rsidRDefault="009E44F4" w:rsidP="00E15D0F">
      <w:pPr>
        <w:pStyle w:val="Heading3"/>
        <w:spacing w:after="160"/>
        <w:ind w:right="-2"/>
      </w:pPr>
      <w:bookmarkStart w:id="370" w:name="_Toc535505181"/>
      <w:bookmarkStart w:id="371" w:name="_Toc8913543"/>
      <w:bookmarkStart w:id="372" w:name="_Toc9428404"/>
      <w:bookmarkStart w:id="373" w:name="_Toc12020356"/>
      <w:bookmarkStart w:id="374" w:name="_Toc14790522"/>
      <w:bookmarkStart w:id="375" w:name="_Toc15478405"/>
      <w:bookmarkStart w:id="376" w:name="_Toc22627804"/>
      <w:r w:rsidRPr="004A3983">
        <w:t>Challenge of identifying when persons who have offended in other jurisdictions need to report under the CPOR Act</w:t>
      </w:r>
      <w:bookmarkEnd w:id="370"/>
      <w:bookmarkEnd w:id="371"/>
      <w:bookmarkEnd w:id="372"/>
      <w:bookmarkEnd w:id="373"/>
      <w:bookmarkEnd w:id="374"/>
      <w:bookmarkEnd w:id="375"/>
      <w:bookmarkEnd w:id="376"/>
    </w:p>
    <w:p w14:paraId="03407625" w14:textId="77777777" w:rsidR="009E44F4" w:rsidRPr="004A3983" w:rsidRDefault="009E44F4" w:rsidP="00E15D0F">
      <w:pPr>
        <w:widowControl w:val="0"/>
        <w:adjustRightInd w:val="0"/>
        <w:snapToGrid w:val="0"/>
        <w:spacing w:after="160"/>
        <w:ind w:right="-2"/>
        <w:rPr>
          <w:rFonts w:ascii="Gotham Book" w:hAnsi="Gotham Book"/>
        </w:rPr>
      </w:pPr>
      <w:r w:rsidRPr="004A3983">
        <w:rPr>
          <w:rFonts w:ascii="Gotham Book" w:hAnsi="Gotham Book"/>
        </w:rPr>
        <w:t xml:space="preserve">The provisions in the CPOR Act relating to persons who have committed registrable offences in other jurisdictions and move to NSW can be particularly challenging to apply. </w:t>
      </w:r>
    </w:p>
    <w:p w14:paraId="5B012994" w14:textId="18251B42" w:rsidR="009E44F4" w:rsidRPr="004A3983" w:rsidRDefault="009E44F4" w:rsidP="00E15D0F">
      <w:pPr>
        <w:spacing w:after="160"/>
        <w:ind w:right="-2"/>
        <w:rPr>
          <w:rFonts w:ascii="Gotham Book" w:hAnsi="Gotham Book"/>
        </w:rPr>
      </w:pPr>
      <w:r w:rsidRPr="004A3983">
        <w:rPr>
          <w:rFonts w:ascii="Gotham Book" w:hAnsi="Gotham Book"/>
        </w:rPr>
        <w:t>Under the CPOR Act there are two different ways a person wh</w:t>
      </w:r>
      <w:r w:rsidR="0057393E" w:rsidRPr="004A3983">
        <w:rPr>
          <w:rFonts w:ascii="Gotham Book" w:hAnsi="Gotham Book"/>
        </w:rPr>
        <w:t>o commits an offence outside New South Wales and then moves to New South Wales</w:t>
      </w:r>
      <w:r w:rsidRPr="004A3983">
        <w:rPr>
          <w:rFonts w:ascii="Gotham Book" w:hAnsi="Gotham Book"/>
        </w:rPr>
        <w:t xml:space="preserve"> can be classified a</w:t>
      </w:r>
      <w:r w:rsidR="00E20674" w:rsidRPr="004A3983">
        <w:rPr>
          <w:rFonts w:ascii="Gotham Book" w:hAnsi="Gotham Book"/>
        </w:rPr>
        <w:t xml:space="preserve">s a ‘registrable person’ who </w:t>
      </w:r>
      <w:r w:rsidR="003246DB" w:rsidRPr="004A3983">
        <w:rPr>
          <w:rFonts w:ascii="Gotham Book" w:hAnsi="Gotham Book"/>
        </w:rPr>
        <w:t>is required to make reports</w:t>
      </w:r>
      <w:r w:rsidRPr="004A3983">
        <w:rPr>
          <w:rFonts w:ascii="Gotham Book" w:hAnsi="Gotham Book"/>
        </w:rPr>
        <w:t>. These are:</w:t>
      </w:r>
    </w:p>
    <w:p w14:paraId="56A4FF30" w14:textId="04AB1A3B" w:rsidR="009E44F4" w:rsidRPr="004A3983" w:rsidRDefault="009E44F4" w:rsidP="00233D69">
      <w:pPr>
        <w:pStyle w:val="ListBullet"/>
      </w:pPr>
      <w:r w:rsidRPr="004A3983">
        <w:t>through the definitions of Class 1 and Class 2 offences including ‘offences under a law of foreign jurisdiction’ which would be registrable</w:t>
      </w:r>
      <w:r w:rsidR="00E21BCD" w:rsidRPr="004A3983">
        <w:t xml:space="preserve"> offences if committed in New South Wales</w:t>
      </w:r>
      <w:r w:rsidR="009079AD" w:rsidRPr="004A3983">
        <w:t xml:space="preserve"> (foreign jurisdiction offence </w:t>
      </w:r>
      <w:r w:rsidRPr="004A3983">
        <w:t>provisions),</w:t>
      </w:r>
      <w:r w:rsidRPr="004A3983">
        <w:rPr>
          <w:rStyle w:val="FootnoteReference"/>
        </w:rPr>
        <w:footnoteReference w:id="411"/>
      </w:r>
      <w:r w:rsidRPr="004A3983">
        <w:t xml:space="preserve"> and</w:t>
      </w:r>
    </w:p>
    <w:p w14:paraId="064ECEC2" w14:textId="7F0A01BB" w:rsidR="009E44F4" w:rsidRPr="004A3983" w:rsidRDefault="009E44F4" w:rsidP="00233D69">
      <w:pPr>
        <w:pStyle w:val="ListBullet"/>
      </w:pPr>
      <w:r w:rsidRPr="004A3983">
        <w:t>through the ‘corresponding registrable persons’ provisions in P</w:t>
      </w:r>
      <w:r w:rsidR="00372335" w:rsidRPr="004A3983">
        <w:t>ar</w:t>
      </w:r>
      <w:r w:rsidRPr="004A3983">
        <w:t>t 3, Div</w:t>
      </w:r>
      <w:r w:rsidR="00372335" w:rsidRPr="004A3983">
        <w:t>ision</w:t>
      </w:r>
      <w:r w:rsidRPr="004A3983">
        <w:t xml:space="preserve"> 10, if they were placed on an offender register in the other j</w:t>
      </w:r>
      <w:r w:rsidR="00E21BCD" w:rsidRPr="004A3983">
        <w:t>urisdiction before coming to New South Wales</w:t>
      </w:r>
      <w:r w:rsidRPr="004A3983">
        <w:t>.</w:t>
      </w:r>
    </w:p>
    <w:p w14:paraId="185EA15A" w14:textId="0954BA10" w:rsidR="009E44F4" w:rsidRPr="004A3983" w:rsidRDefault="009E44F4" w:rsidP="00E15D0F">
      <w:pPr>
        <w:spacing w:after="160"/>
        <w:ind w:right="-2"/>
      </w:pPr>
      <w:r w:rsidRPr="004A3983">
        <w:rPr>
          <w:rFonts w:ascii="Gotham Book" w:hAnsi="Gotham Book"/>
        </w:rPr>
        <w:t xml:space="preserve">There is overlap between the ‘foreign jurisdiction offence’ provisions and the ‘corresponding registrable person’ provisions. </w:t>
      </w:r>
      <w:r w:rsidR="00177244" w:rsidRPr="004A3983">
        <w:t>The CPOR Act defines ‘foreign jurisdiction’ as including jurisdict</w:t>
      </w:r>
      <w:r w:rsidR="00AF5ECC" w:rsidRPr="004A3983">
        <w:t>ions in Australia other than New South Wales</w:t>
      </w:r>
      <w:r w:rsidR="00177244" w:rsidRPr="004A3983">
        <w:t>.</w:t>
      </w:r>
      <w:r w:rsidR="00177244" w:rsidRPr="004A3983">
        <w:rPr>
          <w:rStyle w:val="FootnoteReference"/>
        </w:rPr>
        <w:footnoteReference w:id="412"/>
      </w:r>
      <w:r w:rsidR="00177244" w:rsidRPr="004A3983">
        <w:t xml:space="preserve"> </w:t>
      </w:r>
      <w:r w:rsidRPr="004A3983">
        <w:rPr>
          <w:rFonts w:ascii="Gotham Book" w:hAnsi="Gotham Book"/>
        </w:rPr>
        <w:t>The CPOR Act does not make clear which provisions should be preferred if both would apply to the person. This creates difficulties for the NSW Police Force as there can be different outcomes as to whether the person is registrable, and/or for how long, depending on which set of provisions are relied upon.</w:t>
      </w:r>
    </w:p>
    <w:p w14:paraId="0160A801" w14:textId="3E538173" w:rsidR="009E44F4" w:rsidRPr="004A3983" w:rsidRDefault="009E44F4" w:rsidP="00E15D0F">
      <w:pPr>
        <w:widowControl w:val="0"/>
        <w:adjustRightInd w:val="0"/>
        <w:snapToGrid w:val="0"/>
        <w:spacing w:after="160"/>
        <w:ind w:right="-2"/>
        <w:rPr>
          <w:rFonts w:ascii="Gotham Book" w:hAnsi="Gotham Book"/>
        </w:rPr>
      </w:pPr>
      <w:r w:rsidRPr="004A3983">
        <w:rPr>
          <w:rFonts w:ascii="Gotham Book" w:hAnsi="Gotham Book"/>
        </w:rPr>
        <w:t>The difficulty of trying to det</w:t>
      </w:r>
      <w:r w:rsidR="00084379" w:rsidRPr="004A3983">
        <w:rPr>
          <w:rFonts w:ascii="Gotham Book" w:hAnsi="Gotham Book"/>
        </w:rPr>
        <w:t>ermine the obligations under New South Wales</w:t>
      </w:r>
      <w:r w:rsidRPr="004A3983">
        <w:rPr>
          <w:rFonts w:ascii="Gotham Book" w:hAnsi="Gotham Book"/>
        </w:rPr>
        <w:t xml:space="preserve"> law that apply to a person who is caught in the overlap between these two sets of provisions, is demonstrated by the particularly complex case of Mr GG</w:t>
      </w:r>
      <w:r w:rsidR="00EF4438" w:rsidRPr="004A3983">
        <w:rPr>
          <w:rFonts w:ascii="Gotham Book" w:hAnsi="Gotham Book"/>
        </w:rPr>
        <w:t xml:space="preserve"> </w:t>
      </w:r>
      <w:r w:rsidR="004B01A9" w:rsidRPr="004A3983">
        <w:rPr>
          <w:rFonts w:ascii="Gotham Book" w:hAnsi="Gotham Book"/>
        </w:rPr>
        <w:t>(</w:t>
      </w:r>
      <w:r w:rsidR="00E62B22" w:rsidRPr="004A3983">
        <w:rPr>
          <w:rFonts w:ascii="Gotham Book" w:hAnsi="Gotham Book"/>
        </w:rPr>
        <w:t xml:space="preserve">his case is </w:t>
      </w:r>
      <w:r w:rsidRPr="004A3983">
        <w:rPr>
          <w:rFonts w:ascii="Gotham Book" w:hAnsi="Gotham Book"/>
        </w:rPr>
        <w:t xml:space="preserve">summarised below in section </w:t>
      </w:r>
      <w:r w:rsidR="00944F0E" w:rsidRPr="004A3983">
        <w:rPr>
          <w:rFonts w:ascii="Gotham Book" w:hAnsi="Gotham Book"/>
        </w:rPr>
        <w:fldChar w:fldCharType="begin"/>
      </w:r>
      <w:r w:rsidR="00944F0E" w:rsidRPr="004A3983">
        <w:rPr>
          <w:rFonts w:ascii="Gotham Book" w:hAnsi="Gotham Book"/>
        </w:rPr>
        <w:instrText xml:space="preserve"> REF _Ref10560660 \r \h </w:instrText>
      </w:r>
      <w:r w:rsidR="00E62B22" w:rsidRPr="004A3983">
        <w:rPr>
          <w:rFonts w:ascii="Gotham Book" w:hAnsi="Gotham Book"/>
        </w:rPr>
        <w:instrText xml:space="preserve"> \* MERGEFORMAT </w:instrText>
      </w:r>
      <w:r w:rsidR="00944F0E" w:rsidRPr="004A3983">
        <w:rPr>
          <w:rFonts w:ascii="Gotham Book" w:hAnsi="Gotham Book"/>
        </w:rPr>
      </w:r>
      <w:r w:rsidR="00944F0E" w:rsidRPr="004A3983">
        <w:rPr>
          <w:rFonts w:ascii="Gotham Book" w:hAnsi="Gotham Book"/>
        </w:rPr>
        <w:fldChar w:fldCharType="separate"/>
      </w:r>
      <w:r w:rsidR="00022664">
        <w:rPr>
          <w:rFonts w:ascii="Gotham Book" w:hAnsi="Gotham Book" w:hint="cs"/>
          <w:cs/>
        </w:rPr>
        <w:t>‎</w:t>
      </w:r>
      <w:r w:rsidR="00022664">
        <w:rPr>
          <w:rFonts w:ascii="Gotham Book" w:hAnsi="Gotham Book"/>
        </w:rPr>
        <w:t>6.3.6</w:t>
      </w:r>
      <w:r w:rsidR="00944F0E" w:rsidRPr="004A3983">
        <w:rPr>
          <w:rFonts w:ascii="Gotham Book" w:hAnsi="Gotham Book"/>
        </w:rPr>
        <w:fldChar w:fldCharType="end"/>
      </w:r>
      <w:r w:rsidRPr="004A3983">
        <w:rPr>
          <w:rFonts w:ascii="Gotham Book" w:hAnsi="Gotham Book"/>
        </w:rPr>
        <w:t xml:space="preserve"> of this chapter). </w:t>
      </w:r>
    </w:p>
    <w:p w14:paraId="7419EB94" w14:textId="3250C1C3" w:rsidR="009E44F4" w:rsidRPr="004A3983" w:rsidRDefault="009E44F4" w:rsidP="00E15D0F">
      <w:pPr>
        <w:widowControl w:val="0"/>
        <w:adjustRightInd w:val="0"/>
        <w:snapToGrid w:val="0"/>
        <w:spacing w:after="160"/>
        <w:ind w:right="-2"/>
        <w:rPr>
          <w:rFonts w:ascii="Gotham Book" w:hAnsi="Gotham Book"/>
        </w:rPr>
      </w:pPr>
      <w:r w:rsidRPr="004A3983">
        <w:rPr>
          <w:rFonts w:ascii="Gotham Book" w:hAnsi="Gotham Book"/>
        </w:rPr>
        <w:t xml:space="preserve">Further difficulties created by the corresponding registrable person provisions are </w:t>
      </w:r>
      <w:r w:rsidR="00437E7D" w:rsidRPr="004A3983">
        <w:rPr>
          <w:rFonts w:ascii="Gotham Book" w:hAnsi="Gotham Book"/>
        </w:rPr>
        <w:t xml:space="preserve">also </w:t>
      </w:r>
      <w:r w:rsidRPr="004A3983">
        <w:rPr>
          <w:rFonts w:ascii="Gotham Book" w:hAnsi="Gotham Book"/>
        </w:rPr>
        <w:t>discussed below.</w:t>
      </w:r>
    </w:p>
    <w:p w14:paraId="775324F3" w14:textId="4748D3E9" w:rsidR="002C1153" w:rsidRPr="004A3983" w:rsidRDefault="009E44F4" w:rsidP="00E15D0F">
      <w:pPr>
        <w:pStyle w:val="Heading3"/>
        <w:spacing w:after="160"/>
        <w:ind w:right="-2"/>
      </w:pPr>
      <w:bookmarkStart w:id="377" w:name="_Toc8913544"/>
      <w:bookmarkStart w:id="378" w:name="_Ref9273831"/>
      <w:bookmarkStart w:id="379" w:name="_Toc9428405"/>
      <w:bookmarkStart w:id="380" w:name="_Ref9436161"/>
      <w:bookmarkStart w:id="381" w:name="_Ref9850911"/>
      <w:bookmarkStart w:id="382" w:name="_Ref10560660"/>
      <w:bookmarkStart w:id="383" w:name="_Toc12020357"/>
      <w:bookmarkStart w:id="384" w:name="_Ref13137216"/>
      <w:bookmarkStart w:id="385" w:name="_Ref13146617"/>
      <w:bookmarkStart w:id="386" w:name="_Ref13223693"/>
      <w:bookmarkStart w:id="387" w:name="_Toc14790523"/>
      <w:bookmarkStart w:id="388" w:name="_Toc15478406"/>
      <w:bookmarkStart w:id="389" w:name="_Toc22627805"/>
      <w:r w:rsidRPr="004A3983">
        <w:t>Interaction</w:t>
      </w:r>
      <w:r w:rsidR="008C665C" w:rsidRPr="004A3983">
        <w:t xml:space="preserve"> between the CPOR Act, other New South Wales </w:t>
      </w:r>
      <w:r w:rsidR="004F08DB" w:rsidRPr="004A3983">
        <w:t>laws</w:t>
      </w:r>
      <w:r w:rsidRPr="004A3983">
        <w:t xml:space="preserve"> and l</w:t>
      </w:r>
      <w:r w:rsidR="004F08DB" w:rsidRPr="004A3983">
        <w:t>aws</w:t>
      </w:r>
      <w:r w:rsidRPr="004A3983">
        <w:t xml:space="preserve"> in other jurisdictions</w:t>
      </w:r>
      <w:bookmarkEnd w:id="377"/>
      <w:bookmarkEnd w:id="378"/>
      <w:bookmarkEnd w:id="379"/>
      <w:bookmarkEnd w:id="380"/>
      <w:bookmarkEnd w:id="381"/>
      <w:bookmarkEnd w:id="382"/>
      <w:bookmarkEnd w:id="383"/>
      <w:bookmarkEnd w:id="384"/>
      <w:bookmarkEnd w:id="385"/>
      <w:bookmarkEnd w:id="386"/>
      <w:bookmarkEnd w:id="387"/>
      <w:bookmarkEnd w:id="388"/>
      <w:bookmarkEnd w:id="389"/>
    </w:p>
    <w:p w14:paraId="2AAD9016" w14:textId="0B3CB13F" w:rsidR="009E44F4" w:rsidRPr="004A3983" w:rsidRDefault="009E44F4" w:rsidP="00E15D0F">
      <w:pPr>
        <w:spacing w:after="160"/>
        <w:ind w:right="-2"/>
        <w:rPr>
          <w:rFonts w:ascii="Gotham Book" w:hAnsi="Gotham Book"/>
        </w:rPr>
      </w:pPr>
      <w:r w:rsidRPr="004A3983">
        <w:rPr>
          <w:rFonts w:ascii="Gotham Book" w:hAnsi="Gotham Book"/>
        </w:rPr>
        <w:t>To apply the CPOR Act, the NSW Police Force is required to determine how to interpret other</w:t>
      </w:r>
      <w:r w:rsidR="00CB397E" w:rsidRPr="004A3983">
        <w:rPr>
          <w:rFonts w:ascii="Gotham Book" w:hAnsi="Gotham Book"/>
        </w:rPr>
        <w:t xml:space="preserve"> legislation in New South Wales</w:t>
      </w:r>
      <w:r w:rsidRPr="004A3983">
        <w:rPr>
          <w:rFonts w:ascii="Gotham Book" w:hAnsi="Gotham Book"/>
        </w:rPr>
        <w:t>, or legislation in other jurisdictions. This creates further difficulties for the Registry.</w:t>
      </w:r>
    </w:p>
    <w:p w14:paraId="65EB59ED" w14:textId="70ED0B24" w:rsidR="009E44F4" w:rsidRPr="004A3983" w:rsidRDefault="009E44F4" w:rsidP="00E15D0F">
      <w:pPr>
        <w:spacing w:after="160"/>
        <w:ind w:right="-2"/>
        <w:rPr>
          <w:rFonts w:ascii="Gotham Book" w:hAnsi="Gotham Book"/>
        </w:rPr>
      </w:pPr>
      <w:r w:rsidRPr="004A3983">
        <w:rPr>
          <w:rFonts w:ascii="Gotham Book" w:hAnsi="Gotham Book"/>
        </w:rPr>
        <w:t xml:space="preserve">For example, if a person who has been charged with a registrable offence is found to be affected by mental illness or impairment, they may be dealt with under the </w:t>
      </w:r>
      <w:r w:rsidRPr="004A3983">
        <w:rPr>
          <w:rFonts w:ascii="Gotham Book" w:hAnsi="Gotham Book"/>
        </w:rPr>
        <w:lastRenderedPageBreak/>
        <w:t xml:space="preserve">processes set out in the </w:t>
      </w:r>
      <w:r w:rsidRPr="004A3983">
        <w:rPr>
          <w:rFonts w:ascii="Gotham Book" w:hAnsi="Gotham Book"/>
          <w:i/>
        </w:rPr>
        <w:t>Mental Health (Forensic Provisions) Act 1990</w:t>
      </w:r>
      <w:r w:rsidRPr="004A3983">
        <w:rPr>
          <w:rFonts w:ascii="Gotham Book" w:hAnsi="Gotham Book"/>
        </w:rPr>
        <w:t xml:space="preserve"> (NSW) (the </w:t>
      </w:r>
      <w:r w:rsidR="00EB7BB2" w:rsidRPr="004A3983">
        <w:rPr>
          <w:rFonts w:ascii="Gotham Book" w:hAnsi="Gotham Book"/>
        </w:rPr>
        <w:t>Mental Health (FP)</w:t>
      </w:r>
      <w:r w:rsidRPr="004A3983">
        <w:rPr>
          <w:rFonts w:ascii="Gotham Book" w:hAnsi="Gotham Book"/>
        </w:rPr>
        <w:t xml:space="preserve"> Act). The processes under that Act involve multiple points of interaction between a court and the Mental Health Review Tribunal. There are unique types of orders under the </w:t>
      </w:r>
      <w:r w:rsidR="00EB7BB2" w:rsidRPr="004A3983">
        <w:rPr>
          <w:rFonts w:ascii="Gotham Book" w:hAnsi="Gotham Book"/>
        </w:rPr>
        <w:t xml:space="preserve">Mental Health (FP) </w:t>
      </w:r>
      <w:r w:rsidRPr="004A3983">
        <w:rPr>
          <w:rFonts w:ascii="Gotham Book" w:hAnsi="Gotham Book"/>
        </w:rPr>
        <w:t>Act that may be imposed on the person, at different points in those processes. Only certain types of these orders will result in a person becoming registrable under the CPOR Act.</w:t>
      </w:r>
      <w:r w:rsidRPr="004A3983">
        <w:rPr>
          <w:rStyle w:val="FootnoteReference"/>
          <w:rFonts w:ascii="Gotham Book" w:hAnsi="Gotham Book"/>
        </w:rPr>
        <w:footnoteReference w:id="413"/>
      </w:r>
    </w:p>
    <w:p w14:paraId="5B38E2E1" w14:textId="0E273EA8" w:rsidR="009E44F4" w:rsidRPr="004A3983" w:rsidRDefault="009E44F4" w:rsidP="00E15D0F">
      <w:pPr>
        <w:spacing w:after="160"/>
        <w:ind w:right="-2"/>
        <w:rPr>
          <w:rFonts w:ascii="Gotham Book" w:hAnsi="Gotham Book"/>
        </w:rPr>
      </w:pPr>
      <w:r w:rsidRPr="004A3983">
        <w:rPr>
          <w:rFonts w:ascii="Gotham Book" w:hAnsi="Gotham Book"/>
        </w:rPr>
        <w:t xml:space="preserve">Registry officers therefore require a detailed knowledge of the procedures under the </w:t>
      </w:r>
      <w:r w:rsidR="00BF2E9A" w:rsidRPr="004A3983">
        <w:rPr>
          <w:rFonts w:ascii="Gotham Book" w:hAnsi="Gotham Book"/>
        </w:rPr>
        <w:t xml:space="preserve">Mental Health (FP) </w:t>
      </w:r>
      <w:r w:rsidRPr="004A3983">
        <w:rPr>
          <w:rFonts w:ascii="Gotham Book" w:hAnsi="Gotham Book"/>
        </w:rPr>
        <w:t xml:space="preserve">Act to determine if an order has been made which makes the person registrable under the CPOR Act. The practical difficulties the Registry experiences in identifying whether such an order has been made are discussed in </w:t>
      </w:r>
      <w:r w:rsidR="007753F6" w:rsidRPr="004A3983">
        <w:rPr>
          <w:rFonts w:ascii="Gotham Book" w:hAnsi="Gotham Book"/>
        </w:rPr>
        <w:t>Chapter</w:t>
      </w:r>
      <w:r w:rsidR="00D6190A" w:rsidRPr="004A3983">
        <w:rPr>
          <w:rFonts w:ascii="Gotham Book" w:hAnsi="Gotham Book"/>
        </w:rPr>
        <w:t xml:space="preserve"> </w:t>
      </w:r>
      <w:r w:rsidR="00D6190A" w:rsidRPr="004A3983">
        <w:rPr>
          <w:rFonts w:ascii="Gotham Book" w:hAnsi="Gotham Book"/>
        </w:rPr>
        <w:fldChar w:fldCharType="begin"/>
      </w:r>
      <w:r w:rsidR="00D6190A" w:rsidRPr="004A3983">
        <w:rPr>
          <w:rFonts w:ascii="Gotham Book" w:hAnsi="Gotham Book"/>
        </w:rPr>
        <w:instrText xml:space="preserve"> REF _Ref9350160 \r \h  \* MERGEFORMAT </w:instrText>
      </w:r>
      <w:r w:rsidR="00D6190A" w:rsidRPr="004A3983">
        <w:rPr>
          <w:rFonts w:ascii="Gotham Book" w:hAnsi="Gotham Book"/>
        </w:rPr>
      </w:r>
      <w:r w:rsidR="00D6190A" w:rsidRPr="004A3983">
        <w:rPr>
          <w:rFonts w:ascii="Gotham Book" w:hAnsi="Gotham Book"/>
        </w:rPr>
        <w:fldChar w:fldCharType="separate"/>
      </w:r>
      <w:r w:rsidR="00022664">
        <w:rPr>
          <w:rFonts w:ascii="Gotham Book" w:hAnsi="Gotham Book" w:hint="cs"/>
          <w:cs/>
        </w:rPr>
        <w:t>‎</w:t>
      </w:r>
      <w:r w:rsidR="00022664">
        <w:rPr>
          <w:rFonts w:ascii="Gotham Book" w:hAnsi="Gotham Book"/>
        </w:rPr>
        <w:t>7</w:t>
      </w:r>
      <w:r w:rsidR="00D6190A" w:rsidRPr="004A3983">
        <w:rPr>
          <w:rFonts w:ascii="Gotham Book" w:hAnsi="Gotham Book"/>
        </w:rPr>
        <w:fldChar w:fldCharType="end"/>
      </w:r>
      <w:r w:rsidR="00D6190A" w:rsidRPr="004A3983">
        <w:rPr>
          <w:rFonts w:ascii="Gotham Book" w:hAnsi="Gotham Book"/>
        </w:rPr>
        <w:t xml:space="preserve">, section </w:t>
      </w:r>
      <w:r w:rsidR="00D6190A" w:rsidRPr="004A3983">
        <w:rPr>
          <w:rFonts w:ascii="Gotham Book" w:hAnsi="Gotham Book"/>
        </w:rPr>
        <w:fldChar w:fldCharType="begin"/>
      </w:r>
      <w:r w:rsidR="00D6190A" w:rsidRPr="004A3983">
        <w:rPr>
          <w:rFonts w:ascii="Gotham Book" w:hAnsi="Gotham Book"/>
        </w:rPr>
        <w:instrText xml:space="preserve"> REF _Ref10560480 \r \h  \* MERGEFORMAT </w:instrText>
      </w:r>
      <w:r w:rsidR="00D6190A" w:rsidRPr="004A3983">
        <w:rPr>
          <w:rFonts w:ascii="Gotham Book" w:hAnsi="Gotham Book"/>
        </w:rPr>
      </w:r>
      <w:r w:rsidR="00D6190A" w:rsidRPr="004A3983">
        <w:rPr>
          <w:rFonts w:ascii="Gotham Book" w:hAnsi="Gotham Book"/>
        </w:rPr>
        <w:fldChar w:fldCharType="separate"/>
      </w:r>
      <w:r w:rsidR="00022664">
        <w:rPr>
          <w:rFonts w:ascii="Gotham Book" w:hAnsi="Gotham Book" w:hint="cs"/>
          <w:cs/>
        </w:rPr>
        <w:t>‎</w:t>
      </w:r>
      <w:r w:rsidR="00022664">
        <w:rPr>
          <w:rFonts w:ascii="Gotham Book" w:hAnsi="Gotham Book"/>
        </w:rPr>
        <w:t>7.3.2</w:t>
      </w:r>
      <w:r w:rsidR="00D6190A" w:rsidRPr="004A3983">
        <w:rPr>
          <w:rFonts w:ascii="Gotham Book" w:hAnsi="Gotham Book"/>
        </w:rPr>
        <w:fldChar w:fldCharType="end"/>
      </w:r>
      <w:r w:rsidRPr="004A3983">
        <w:rPr>
          <w:rFonts w:ascii="Gotham Book" w:hAnsi="Gotham Book"/>
        </w:rPr>
        <w:t>.</w:t>
      </w:r>
    </w:p>
    <w:p w14:paraId="21DD7584" w14:textId="199513E4" w:rsidR="009E44F4" w:rsidRPr="004A3983" w:rsidRDefault="009E44F4" w:rsidP="00E15D0F">
      <w:pPr>
        <w:spacing w:after="160"/>
        <w:ind w:right="-2"/>
        <w:rPr>
          <w:rFonts w:ascii="Gotham Book" w:hAnsi="Gotham Book"/>
        </w:rPr>
      </w:pPr>
      <w:r w:rsidRPr="004A3983">
        <w:rPr>
          <w:rFonts w:ascii="Gotham Book" w:hAnsi="Gotham Book"/>
        </w:rPr>
        <w:t>The ‘co</w:t>
      </w:r>
      <w:r w:rsidR="004159EF" w:rsidRPr="004A3983">
        <w:rPr>
          <w:rFonts w:ascii="Gotham Book" w:hAnsi="Gotham Book"/>
        </w:rPr>
        <w:t>rresponding registrable person’</w:t>
      </w:r>
      <w:r w:rsidRPr="004A3983">
        <w:rPr>
          <w:rFonts w:ascii="Gotham Book" w:hAnsi="Gotham Book"/>
        </w:rPr>
        <w:t xml:space="preserve"> provisions in P</w:t>
      </w:r>
      <w:r w:rsidR="00372335" w:rsidRPr="004A3983">
        <w:rPr>
          <w:rFonts w:ascii="Gotham Book" w:hAnsi="Gotham Book"/>
        </w:rPr>
        <w:t>ar</w:t>
      </w:r>
      <w:r w:rsidRPr="004A3983">
        <w:rPr>
          <w:rFonts w:ascii="Gotham Book" w:hAnsi="Gotham Book"/>
        </w:rPr>
        <w:t>t 3, Div</w:t>
      </w:r>
      <w:r w:rsidR="00372335" w:rsidRPr="004A3983">
        <w:rPr>
          <w:rFonts w:ascii="Gotham Book" w:hAnsi="Gotham Book"/>
        </w:rPr>
        <w:t>ision</w:t>
      </w:r>
      <w:r w:rsidRPr="004A3983">
        <w:rPr>
          <w:rFonts w:ascii="Gotham Book" w:hAnsi="Gotham Book"/>
        </w:rPr>
        <w:t xml:space="preserve"> 10 of the CPOR Act require Registry officers to also have an understanding of </w:t>
      </w:r>
      <w:r w:rsidR="008403E6" w:rsidRPr="004A3983">
        <w:rPr>
          <w:rFonts w:ascii="Gotham Book" w:hAnsi="Gotham Book"/>
        </w:rPr>
        <w:t>offender registration laws</w:t>
      </w:r>
      <w:r w:rsidRPr="004A3983">
        <w:rPr>
          <w:rFonts w:ascii="Gotham Book" w:hAnsi="Gotham Book"/>
        </w:rPr>
        <w:t xml:space="preserve"> in other juris</w:t>
      </w:r>
      <w:r w:rsidR="00486040" w:rsidRPr="004A3983">
        <w:rPr>
          <w:rFonts w:ascii="Gotham Book" w:hAnsi="Gotham Book"/>
        </w:rPr>
        <w:t>dictions. When an offender who ha</w:t>
      </w:r>
      <w:r w:rsidRPr="004A3983">
        <w:rPr>
          <w:rFonts w:ascii="Gotham Book" w:hAnsi="Gotham Book"/>
        </w:rPr>
        <w:t>s reporting obligations under a</w:t>
      </w:r>
      <w:r w:rsidR="00486040" w:rsidRPr="004A3983">
        <w:rPr>
          <w:rFonts w:ascii="Gotham Book" w:hAnsi="Gotham Book"/>
        </w:rPr>
        <w:t>n</w:t>
      </w:r>
      <w:r w:rsidRPr="004A3983">
        <w:rPr>
          <w:rFonts w:ascii="Gotham Book" w:hAnsi="Gotham Book"/>
        </w:rPr>
        <w:t xml:space="preserve"> </w:t>
      </w:r>
      <w:r w:rsidR="00486040" w:rsidRPr="004A3983">
        <w:rPr>
          <w:rFonts w:ascii="Gotham Book" w:hAnsi="Gotham Book"/>
        </w:rPr>
        <w:t>offender registration</w:t>
      </w:r>
      <w:r w:rsidRPr="004A3983">
        <w:rPr>
          <w:rFonts w:ascii="Gotham Book" w:hAnsi="Gotham Book"/>
        </w:rPr>
        <w:t xml:space="preserve"> law in another jurisdiction enters </w:t>
      </w:r>
      <w:r w:rsidR="00693C64" w:rsidRPr="004A3983">
        <w:rPr>
          <w:rFonts w:ascii="Gotham Book" w:hAnsi="Gotham Book"/>
        </w:rPr>
        <w:t>New South Wales</w:t>
      </w:r>
      <w:r w:rsidRPr="004A3983">
        <w:rPr>
          <w:rFonts w:ascii="Gotham Book" w:hAnsi="Gotham Book"/>
        </w:rPr>
        <w:t xml:space="preserve">, the </w:t>
      </w:r>
      <w:r w:rsidR="004159EF" w:rsidRPr="004A3983">
        <w:rPr>
          <w:rFonts w:ascii="Gotham Book" w:hAnsi="Gotham Book"/>
        </w:rPr>
        <w:t>corresponding registrable person</w:t>
      </w:r>
      <w:r w:rsidRPr="004A3983">
        <w:rPr>
          <w:rFonts w:ascii="Gotham Book" w:hAnsi="Gotham Book"/>
        </w:rPr>
        <w:t xml:space="preserve"> provisions in the CPOR Act effectively ‘pick up’ the person’s reporting period from that other j</w:t>
      </w:r>
      <w:r w:rsidR="00693C64" w:rsidRPr="004A3983">
        <w:rPr>
          <w:rFonts w:ascii="Gotham Book" w:hAnsi="Gotham Book"/>
        </w:rPr>
        <w:t>urisdictions and apply it in New South Wales</w:t>
      </w:r>
      <w:r w:rsidRPr="004A3983">
        <w:rPr>
          <w:rFonts w:ascii="Gotham Book" w:hAnsi="Gotham Book"/>
        </w:rPr>
        <w:t>.</w:t>
      </w:r>
      <w:r w:rsidRPr="004A3983">
        <w:rPr>
          <w:rStyle w:val="FootnoteReference"/>
          <w:rFonts w:ascii="Gotham Book" w:hAnsi="Gotham Book"/>
        </w:rPr>
        <w:footnoteReference w:id="414"/>
      </w:r>
    </w:p>
    <w:p w14:paraId="47F21288" w14:textId="464FB256" w:rsidR="009E44F4" w:rsidRPr="004A3983" w:rsidRDefault="00F839DC" w:rsidP="00E15D0F">
      <w:pPr>
        <w:spacing w:after="160"/>
        <w:ind w:right="-2"/>
        <w:rPr>
          <w:rFonts w:ascii="Gotham Book" w:hAnsi="Gotham Book"/>
        </w:rPr>
      </w:pPr>
      <w:r w:rsidRPr="004A3983">
        <w:rPr>
          <w:rFonts w:ascii="Gotham Book" w:hAnsi="Gotham Book"/>
        </w:rPr>
        <w:t>T</w:t>
      </w:r>
      <w:r w:rsidR="009E44F4" w:rsidRPr="004A3983">
        <w:rPr>
          <w:rFonts w:ascii="Gotham Book" w:hAnsi="Gotham Book"/>
        </w:rPr>
        <w:t xml:space="preserve">he Registry </w:t>
      </w:r>
      <w:r w:rsidRPr="004A3983">
        <w:rPr>
          <w:rFonts w:ascii="Gotham Book" w:hAnsi="Gotham Book"/>
        </w:rPr>
        <w:t xml:space="preserve">therefore needs to have </w:t>
      </w:r>
      <w:r w:rsidR="009E44F4" w:rsidRPr="004A3983">
        <w:rPr>
          <w:rFonts w:ascii="Gotham Book" w:hAnsi="Gotham Book"/>
        </w:rPr>
        <w:t xml:space="preserve">a good understanding of the register laws in other jurisdictions to ensure that it correctly identifies: </w:t>
      </w:r>
    </w:p>
    <w:p w14:paraId="2CBDD37C" w14:textId="004BC962" w:rsidR="009E44F4" w:rsidRPr="00233D69" w:rsidRDefault="008E57EB" w:rsidP="00677139">
      <w:pPr>
        <w:pStyle w:val="ListNumber"/>
        <w:numPr>
          <w:ilvl w:val="0"/>
          <w:numId w:val="21"/>
        </w:numPr>
      </w:pPr>
      <w:r w:rsidRPr="004A3983">
        <w:t xml:space="preserve">which persons </w:t>
      </w:r>
      <w:r w:rsidR="004D3B97" w:rsidRPr="004A3983">
        <w:t>who enter N</w:t>
      </w:r>
      <w:r w:rsidR="00F839DC" w:rsidRPr="004A3983">
        <w:t xml:space="preserve">ew </w:t>
      </w:r>
      <w:r w:rsidR="004D3B97" w:rsidRPr="004A3983">
        <w:t>S</w:t>
      </w:r>
      <w:r w:rsidR="00F839DC" w:rsidRPr="004A3983">
        <w:t xml:space="preserve">outh </w:t>
      </w:r>
      <w:r w:rsidR="004D3B97" w:rsidRPr="004A3983">
        <w:t>W</w:t>
      </w:r>
      <w:r w:rsidR="00F839DC" w:rsidRPr="004A3983">
        <w:t>ales</w:t>
      </w:r>
      <w:r w:rsidR="004D3B97" w:rsidRPr="004A3983">
        <w:t xml:space="preserve"> </w:t>
      </w:r>
      <w:r w:rsidR="00CF5AB9" w:rsidRPr="004A3983">
        <w:t xml:space="preserve">from other jurisdictions </w:t>
      </w:r>
      <w:r w:rsidRPr="004A3983">
        <w:t xml:space="preserve">are </w:t>
      </w:r>
      <w:r w:rsidRPr="00233D69">
        <w:t xml:space="preserve">required to make reports </w:t>
      </w:r>
      <w:r w:rsidR="009E44F4" w:rsidRPr="00233D69">
        <w:t>under the CPOR Act</w:t>
      </w:r>
      <w:r w:rsidRPr="00233D69">
        <w:t xml:space="preserve">, </w:t>
      </w:r>
      <w:r w:rsidR="009E44F4" w:rsidRPr="00233D69">
        <w:t>and therefore need to be put on the N</w:t>
      </w:r>
      <w:r w:rsidR="00F839DC" w:rsidRPr="00233D69">
        <w:t>S</w:t>
      </w:r>
      <w:r w:rsidR="009E44F4" w:rsidRPr="00233D69">
        <w:t xml:space="preserve">W Register, and </w:t>
      </w:r>
    </w:p>
    <w:p w14:paraId="4EB78590" w14:textId="66E370B4" w:rsidR="009E44F4" w:rsidRPr="004A3983" w:rsidRDefault="009E44F4" w:rsidP="00C93F45">
      <w:pPr>
        <w:pStyle w:val="ListNumber"/>
        <w:numPr>
          <w:ilvl w:val="0"/>
          <w:numId w:val="21"/>
        </w:numPr>
      </w:pPr>
      <w:r w:rsidRPr="00233D69">
        <w:t>for how long</w:t>
      </w:r>
      <w:r w:rsidRPr="004A3983">
        <w:t xml:space="preserve"> th</w:t>
      </w:r>
      <w:r w:rsidR="00F839DC" w:rsidRPr="004A3983">
        <w:t>eir reporting obligations in New South Wales</w:t>
      </w:r>
      <w:r w:rsidRPr="004A3983">
        <w:t xml:space="preserve"> will continue.</w:t>
      </w:r>
    </w:p>
    <w:p w14:paraId="1C5E883E" w14:textId="042E2527" w:rsidR="009E44F4" w:rsidRPr="004A3983" w:rsidRDefault="009E44F4" w:rsidP="00E15D0F">
      <w:pPr>
        <w:spacing w:after="160"/>
        <w:ind w:right="-2"/>
        <w:rPr>
          <w:rFonts w:ascii="Gotham Book" w:hAnsi="Gotham Book"/>
        </w:rPr>
      </w:pPr>
      <w:r w:rsidRPr="004A3983">
        <w:rPr>
          <w:rFonts w:ascii="Gotham Book" w:hAnsi="Gotham Book"/>
        </w:rPr>
        <w:t xml:space="preserve">These tasks are complicated by the fact that there is a lack of consistency across the </w:t>
      </w:r>
      <w:r w:rsidR="008403E6" w:rsidRPr="004A3983">
        <w:rPr>
          <w:rFonts w:ascii="Gotham Book" w:hAnsi="Gotham Book"/>
        </w:rPr>
        <w:t>offender registration laws</w:t>
      </w:r>
      <w:r w:rsidR="00B32D1C" w:rsidRPr="004A3983">
        <w:rPr>
          <w:rFonts w:ascii="Gotham Book" w:hAnsi="Gotham Book"/>
        </w:rPr>
        <w:t xml:space="preserve"> in Australia</w:t>
      </w:r>
      <w:r w:rsidRPr="004A3983">
        <w:rPr>
          <w:rFonts w:ascii="Gotham Book" w:hAnsi="Gotham Book"/>
        </w:rPr>
        <w:t xml:space="preserve"> </w:t>
      </w:r>
      <w:r w:rsidR="00B32D1C" w:rsidRPr="004A3983">
        <w:rPr>
          <w:rFonts w:ascii="Gotham Book" w:hAnsi="Gotham Book"/>
        </w:rPr>
        <w:t>in terms of which</w:t>
      </w:r>
      <w:r w:rsidRPr="004A3983">
        <w:rPr>
          <w:rFonts w:ascii="Gotham Book" w:hAnsi="Gotham Book"/>
        </w:rPr>
        <w:t xml:space="preserve"> offences are registrable, and the reporting periods which apply.</w:t>
      </w:r>
      <w:r w:rsidRPr="004A3983">
        <w:rPr>
          <w:rStyle w:val="FootnoteReference"/>
          <w:rFonts w:ascii="Gotham Book" w:hAnsi="Gotham Book"/>
        </w:rPr>
        <w:footnoteReference w:id="415"/>
      </w:r>
    </w:p>
    <w:p w14:paraId="41C2F89E" w14:textId="53CDF347" w:rsidR="009E44F4" w:rsidRPr="004A3983" w:rsidRDefault="009E44F4" w:rsidP="00E15D0F">
      <w:pPr>
        <w:spacing w:after="160"/>
        <w:ind w:right="-2"/>
        <w:rPr>
          <w:rFonts w:ascii="Gotham Book" w:hAnsi="Gotham Book"/>
        </w:rPr>
      </w:pPr>
      <w:r w:rsidRPr="004A3983">
        <w:rPr>
          <w:rFonts w:ascii="Gotham Book" w:hAnsi="Gotham Book"/>
        </w:rPr>
        <w:t xml:space="preserve">Also, in order to correctly manage </w:t>
      </w:r>
      <w:r w:rsidR="004159EF" w:rsidRPr="004A3983">
        <w:rPr>
          <w:rFonts w:ascii="Gotham Book" w:hAnsi="Gotham Book"/>
        </w:rPr>
        <w:t>corresponding registrable person</w:t>
      </w:r>
      <w:r w:rsidRPr="004A3983">
        <w:rPr>
          <w:rFonts w:ascii="Gotham Book" w:hAnsi="Gotham Book"/>
        </w:rPr>
        <w:t xml:space="preserve">s, the NSW Police Force must keep up to date with changes not only to the CPOR Act, but also to the </w:t>
      </w:r>
      <w:r w:rsidR="008403E6" w:rsidRPr="004A3983">
        <w:rPr>
          <w:rFonts w:ascii="Gotham Book" w:hAnsi="Gotham Book"/>
        </w:rPr>
        <w:t>offender registration laws</w:t>
      </w:r>
      <w:r w:rsidRPr="004A3983">
        <w:rPr>
          <w:rFonts w:ascii="Gotham Book" w:hAnsi="Gotham Book"/>
        </w:rPr>
        <w:t xml:space="preserve"> in other jurisdictions. Legislative changes to reporting periods in a different jurisdiction can affect the obligations of a </w:t>
      </w:r>
      <w:r w:rsidR="004159EF" w:rsidRPr="004A3983">
        <w:rPr>
          <w:rFonts w:ascii="Gotham Book" w:hAnsi="Gotham Book"/>
        </w:rPr>
        <w:t>corresponding registrable person</w:t>
      </w:r>
      <w:r w:rsidR="00210D79" w:rsidRPr="004A3983">
        <w:rPr>
          <w:rFonts w:ascii="Gotham Book" w:hAnsi="Gotham Book"/>
        </w:rPr>
        <w:t xml:space="preserve"> under New South Wales</w:t>
      </w:r>
      <w:r w:rsidRPr="004A3983">
        <w:rPr>
          <w:rFonts w:ascii="Gotham Book" w:hAnsi="Gotham Book"/>
        </w:rPr>
        <w:t xml:space="preserve"> law.</w:t>
      </w:r>
    </w:p>
    <w:p w14:paraId="25A2288A" w14:textId="636872B0" w:rsidR="00BF0FD9" w:rsidRPr="004A3983" w:rsidRDefault="009E44F4" w:rsidP="00E15D0F">
      <w:pPr>
        <w:spacing w:after="160"/>
        <w:ind w:right="-2"/>
        <w:rPr>
          <w:rFonts w:ascii="Gotham Book" w:hAnsi="Gotham Book"/>
          <w:color w:val="000000"/>
        </w:rPr>
      </w:pPr>
      <w:r w:rsidRPr="004A3983">
        <w:rPr>
          <w:rFonts w:ascii="Gotham Book" w:hAnsi="Gotham Book"/>
        </w:rPr>
        <w:lastRenderedPageBreak/>
        <w:t xml:space="preserve">For example, in September 2014 amendments were made to the </w:t>
      </w:r>
      <w:r w:rsidRPr="004A3983">
        <w:rPr>
          <w:rFonts w:ascii="Gotham Book" w:hAnsi="Gotham Book"/>
          <w:i/>
        </w:rPr>
        <w:t xml:space="preserve">Child Protection (Offender Reporting) Act 2004 </w:t>
      </w:r>
      <w:r w:rsidRPr="004A3983">
        <w:rPr>
          <w:rFonts w:ascii="Gotham Book" w:hAnsi="Gotham Book"/>
        </w:rPr>
        <w:t>(Qld) which reduced the reporting periods under that Act for everyone on the Queensland register on that date.</w:t>
      </w:r>
      <w:r w:rsidRPr="004A3983">
        <w:rPr>
          <w:rStyle w:val="FootnoteReference"/>
          <w:rFonts w:ascii="Gotham Book" w:hAnsi="Gotham Book"/>
        </w:rPr>
        <w:footnoteReference w:id="416"/>
      </w:r>
      <w:r w:rsidRPr="004A3983">
        <w:rPr>
          <w:rFonts w:ascii="Gotham Book" w:hAnsi="Gotham Book"/>
        </w:rPr>
        <w:t xml:space="preserve"> These applied to persons who had left Queensland and were reporting in N</w:t>
      </w:r>
      <w:r w:rsidR="00B60023" w:rsidRPr="004A3983">
        <w:rPr>
          <w:rFonts w:ascii="Gotham Book" w:hAnsi="Gotham Book"/>
        </w:rPr>
        <w:t xml:space="preserve">ew </w:t>
      </w:r>
      <w:r w:rsidRPr="004A3983">
        <w:rPr>
          <w:rFonts w:ascii="Gotham Book" w:hAnsi="Gotham Book"/>
        </w:rPr>
        <w:t>S</w:t>
      </w:r>
      <w:r w:rsidR="00B60023" w:rsidRPr="004A3983">
        <w:rPr>
          <w:rFonts w:ascii="Gotham Book" w:hAnsi="Gotham Book"/>
        </w:rPr>
        <w:t xml:space="preserve">outh </w:t>
      </w:r>
      <w:r w:rsidRPr="004A3983">
        <w:rPr>
          <w:rFonts w:ascii="Gotham Book" w:hAnsi="Gotham Book"/>
        </w:rPr>
        <w:t>W</w:t>
      </w:r>
      <w:r w:rsidR="00B60023" w:rsidRPr="004A3983">
        <w:rPr>
          <w:rFonts w:ascii="Gotham Book" w:hAnsi="Gotham Book"/>
        </w:rPr>
        <w:t>ales</w:t>
      </w:r>
      <w:r w:rsidRPr="004A3983">
        <w:rPr>
          <w:rFonts w:ascii="Gotham Book" w:hAnsi="Gotham Book"/>
        </w:rPr>
        <w:t xml:space="preserve">. While a number of </w:t>
      </w:r>
      <w:r w:rsidR="004159EF" w:rsidRPr="004A3983">
        <w:rPr>
          <w:rFonts w:ascii="Gotham Book" w:hAnsi="Gotham Book"/>
        </w:rPr>
        <w:t>corresponding registrable person</w:t>
      </w:r>
      <w:r w:rsidRPr="004A3983">
        <w:rPr>
          <w:rFonts w:ascii="Gotham Book" w:hAnsi="Gotham Book"/>
        </w:rPr>
        <w:t>s’ cases were updated by the NSW Police Force in 2014 following notification by the Queensland Police</w:t>
      </w:r>
      <w:r w:rsidR="00A2014D" w:rsidRPr="004A3983">
        <w:rPr>
          <w:rFonts w:ascii="Gotham Book" w:hAnsi="Gotham Book"/>
        </w:rPr>
        <w:t xml:space="preserve"> Service</w:t>
      </w:r>
      <w:r w:rsidRPr="004A3983">
        <w:rPr>
          <w:rFonts w:ascii="Gotham Book" w:hAnsi="Gotham Book"/>
        </w:rPr>
        <w:t>, in 2016 it was discovered that a number of cases had been missed in Queensland</w:t>
      </w:r>
      <w:r w:rsidRPr="004A3983">
        <w:rPr>
          <w:rFonts w:ascii="Gotham Book" w:hAnsi="Gotham Book"/>
          <w:color w:val="000000"/>
        </w:rPr>
        <w:t>.</w:t>
      </w:r>
      <w:r w:rsidRPr="004A3983">
        <w:rPr>
          <w:rStyle w:val="FootnoteReference"/>
          <w:rFonts w:ascii="Gotham Book" w:hAnsi="Gotham Book"/>
          <w:color w:val="000000"/>
        </w:rPr>
        <w:footnoteReference w:id="417"/>
      </w:r>
      <w:r w:rsidRPr="004A3983">
        <w:rPr>
          <w:rFonts w:ascii="Gotham Book" w:hAnsi="Gotham Book"/>
          <w:color w:val="000000"/>
        </w:rPr>
        <w:t xml:space="preserve"> </w:t>
      </w:r>
    </w:p>
    <w:p w14:paraId="7BF6D6D5" w14:textId="2F3A8F1F" w:rsidR="009E44F4" w:rsidRPr="004A3983" w:rsidRDefault="009E44F4" w:rsidP="00E15D0F">
      <w:pPr>
        <w:spacing w:after="160"/>
        <w:ind w:right="-2"/>
        <w:rPr>
          <w:rFonts w:ascii="Gotham Book" w:hAnsi="Gotham Book"/>
        </w:rPr>
      </w:pPr>
      <w:r w:rsidRPr="004A3983">
        <w:rPr>
          <w:rFonts w:ascii="Gotham Book" w:hAnsi="Gotham Book"/>
          <w:color w:val="000000"/>
        </w:rPr>
        <w:t xml:space="preserve">As a result the NSW Police Force identified persons who were still </w:t>
      </w:r>
      <w:r w:rsidR="00B22176" w:rsidRPr="004A3983">
        <w:rPr>
          <w:rFonts w:ascii="Gotham Book" w:hAnsi="Gotham Book"/>
          <w:color w:val="000000"/>
        </w:rPr>
        <w:t>on the</w:t>
      </w:r>
      <w:r w:rsidR="00BF0FD9" w:rsidRPr="004A3983">
        <w:rPr>
          <w:rFonts w:ascii="Gotham Book" w:hAnsi="Gotham Book"/>
          <w:color w:val="000000"/>
        </w:rPr>
        <w:t xml:space="preserve"> Register in 2016 </w:t>
      </w:r>
      <w:r w:rsidRPr="004A3983">
        <w:rPr>
          <w:rFonts w:ascii="Gotham Book" w:hAnsi="Gotham Book"/>
          <w:color w:val="000000"/>
        </w:rPr>
        <w:t>whose reporting obligations had ceased in 2014.</w:t>
      </w:r>
      <w:r w:rsidRPr="004A3983">
        <w:rPr>
          <w:rStyle w:val="FootnoteReference"/>
          <w:rFonts w:ascii="Gotham Book" w:hAnsi="Gotham Book"/>
          <w:color w:val="000000"/>
        </w:rPr>
        <w:footnoteReference w:id="418"/>
      </w:r>
      <w:r w:rsidRPr="004A3983">
        <w:rPr>
          <w:rFonts w:ascii="Gotham Book" w:hAnsi="Gotham Book"/>
          <w:color w:val="000000"/>
        </w:rPr>
        <w:t xml:space="preserve"> </w:t>
      </w:r>
      <w:r w:rsidR="00206AFA" w:rsidRPr="004A3983">
        <w:rPr>
          <w:rFonts w:ascii="Gotham Book" w:hAnsi="Gotham Book"/>
          <w:color w:val="000000"/>
        </w:rPr>
        <w:t>The CPR case review identified 89 persons whose reporting periods were incorrect because the NSW Police Force had not been notified in 2014 that the amendments to the law in Queensland applied to their cases.</w:t>
      </w:r>
      <w:r w:rsidR="00226B04" w:rsidRPr="004A3983">
        <w:rPr>
          <w:rStyle w:val="FootnoteReference"/>
          <w:rFonts w:ascii="Gotham Book" w:hAnsi="Gotham Book"/>
          <w:color w:val="000000"/>
        </w:rPr>
        <w:footnoteReference w:id="419"/>
      </w:r>
      <w:r w:rsidR="00206AFA" w:rsidRPr="004A3983">
        <w:rPr>
          <w:rFonts w:ascii="Gotham Book" w:hAnsi="Gotham Book"/>
          <w:color w:val="000000"/>
        </w:rPr>
        <w:t xml:space="preserve"> </w:t>
      </w:r>
      <w:r w:rsidRPr="004A3983">
        <w:rPr>
          <w:rFonts w:ascii="Gotham Book" w:hAnsi="Gotham Book"/>
          <w:color w:val="000000"/>
        </w:rPr>
        <w:t>The NSW Police Force discovered at least two persons who had been wrongly convicted and sentenced for failing to</w:t>
      </w:r>
      <w:r w:rsidR="00CE774D" w:rsidRPr="004A3983">
        <w:rPr>
          <w:rFonts w:ascii="Gotham Book" w:hAnsi="Gotham Book"/>
          <w:color w:val="000000"/>
        </w:rPr>
        <w:t xml:space="preserve"> comply with reporting obligations</w:t>
      </w:r>
      <w:r w:rsidRPr="004A3983">
        <w:rPr>
          <w:rFonts w:ascii="Gotham Book" w:hAnsi="Gotham Book"/>
          <w:color w:val="000000"/>
        </w:rPr>
        <w:t xml:space="preserve"> under the CPOR Act when in fact, due to</w:t>
      </w:r>
      <w:r w:rsidR="003C4A5E" w:rsidRPr="004A3983">
        <w:rPr>
          <w:rFonts w:ascii="Gotham Book" w:hAnsi="Gotham Book"/>
          <w:color w:val="000000"/>
        </w:rPr>
        <w:t xml:space="preserve"> the Queensland amendments, the</w:t>
      </w:r>
      <w:r w:rsidR="00CD2678" w:rsidRPr="004A3983">
        <w:rPr>
          <w:rFonts w:ascii="Gotham Book" w:hAnsi="Gotham Book"/>
          <w:color w:val="000000"/>
        </w:rPr>
        <w:t xml:space="preserve"> reporting obligations has not</w:t>
      </w:r>
      <w:r w:rsidR="003C4A5E" w:rsidRPr="004A3983">
        <w:rPr>
          <w:rFonts w:ascii="Gotham Book" w:hAnsi="Gotham Book"/>
          <w:color w:val="000000"/>
        </w:rPr>
        <w:t xml:space="preserve"> a</w:t>
      </w:r>
      <w:r w:rsidR="00CD2678" w:rsidRPr="004A3983">
        <w:rPr>
          <w:rFonts w:ascii="Gotham Book" w:hAnsi="Gotham Book"/>
          <w:color w:val="000000"/>
        </w:rPr>
        <w:t>pplied</w:t>
      </w:r>
      <w:r w:rsidR="003C4A5E" w:rsidRPr="004A3983">
        <w:rPr>
          <w:rFonts w:ascii="Gotham Book" w:hAnsi="Gotham Book"/>
          <w:color w:val="000000"/>
        </w:rPr>
        <w:t xml:space="preserve"> to them</w:t>
      </w:r>
      <w:r w:rsidRPr="004A3983">
        <w:rPr>
          <w:rFonts w:ascii="Gotham Book" w:hAnsi="Gotham Book"/>
          <w:color w:val="000000"/>
        </w:rPr>
        <w:t xml:space="preserve"> at the time they were charged.</w:t>
      </w:r>
      <w:r w:rsidRPr="004A3983">
        <w:rPr>
          <w:rStyle w:val="FootnoteReference"/>
          <w:rFonts w:ascii="Gotham Book" w:hAnsi="Gotham Book"/>
          <w:color w:val="000000"/>
        </w:rPr>
        <w:footnoteReference w:id="420"/>
      </w:r>
    </w:p>
    <w:p w14:paraId="479CA649" w14:textId="37199208" w:rsidR="009E44F4" w:rsidRPr="004A3983" w:rsidRDefault="009E44F4" w:rsidP="00E15D0F">
      <w:pPr>
        <w:spacing w:after="160"/>
        <w:ind w:right="-2"/>
        <w:rPr>
          <w:rFonts w:ascii="Gotham Book" w:hAnsi="Gotham Book" w:cs="Arial"/>
        </w:rPr>
      </w:pPr>
      <w:r w:rsidRPr="004A3983">
        <w:rPr>
          <w:rFonts w:ascii="Gotham Book" w:hAnsi="Gotham Book" w:cs="Arial"/>
        </w:rPr>
        <w:t xml:space="preserve">A case that demonstrates just how complex determining a person’s registrable status and reporting period under the CPOR </w:t>
      </w:r>
      <w:r w:rsidR="005D3E08" w:rsidRPr="004A3983">
        <w:rPr>
          <w:rFonts w:ascii="Gotham Book" w:hAnsi="Gotham Book" w:cs="Arial"/>
        </w:rPr>
        <w:t>Act can become is that of Mr GG</w:t>
      </w:r>
      <w:r w:rsidR="008E54DD" w:rsidRPr="004A3983">
        <w:rPr>
          <w:rFonts w:ascii="Gotham Book" w:hAnsi="Gotham Book" w:cs="Arial"/>
        </w:rPr>
        <w:t>.</w:t>
      </w:r>
      <w:r w:rsidR="00642AF5" w:rsidRPr="004A3983">
        <w:rPr>
          <w:rStyle w:val="FootnoteReference"/>
          <w:rFonts w:ascii="Gotham Book" w:hAnsi="Gotham Book" w:cs="Arial"/>
        </w:rPr>
        <w:footnoteReference w:id="421"/>
      </w:r>
      <w:r w:rsidRPr="004A3983">
        <w:rPr>
          <w:rFonts w:ascii="Gotham Book" w:hAnsi="Gotham Book" w:cs="Arial"/>
        </w:rPr>
        <w:t xml:space="preserve"> </w:t>
      </w:r>
      <w:r w:rsidR="008E54DD" w:rsidRPr="004A3983">
        <w:rPr>
          <w:rFonts w:ascii="Gotham Book" w:hAnsi="Gotham Book" w:cs="Arial"/>
        </w:rPr>
        <w:t>Mr GG</w:t>
      </w:r>
      <w:r w:rsidRPr="004A3983">
        <w:rPr>
          <w:rFonts w:ascii="Gotham Book" w:hAnsi="Gotham Book" w:cs="Arial"/>
        </w:rPr>
        <w:t xml:space="preserve"> was convicted of registrable offences in Tasmania in 2008 and then moved to N</w:t>
      </w:r>
      <w:r w:rsidR="008E54DD" w:rsidRPr="004A3983">
        <w:rPr>
          <w:rFonts w:ascii="Gotham Book" w:hAnsi="Gotham Book" w:cs="Arial"/>
        </w:rPr>
        <w:t xml:space="preserve">ew </w:t>
      </w:r>
      <w:r w:rsidRPr="004A3983">
        <w:rPr>
          <w:rFonts w:ascii="Gotham Book" w:hAnsi="Gotham Book" w:cs="Arial"/>
        </w:rPr>
        <w:t>S</w:t>
      </w:r>
      <w:r w:rsidR="008E54DD" w:rsidRPr="004A3983">
        <w:rPr>
          <w:rFonts w:ascii="Gotham Book" w:hAnsi="Gotham Book" w:cs="Arial"/>
        </w:rPr>
        <w:t xml:space="preserve">outh </w:t>
      </w:r>
      <w:r w:rsidRPr="004A3983">
        <w:rPr>
          <w:rFonts w:ascii="Gotham Book" w:hAnsi="Gotham Book" w:cs="Arial"/>
        </w:rPr>
        <w:t>W</w:t>
      </w:r>
      <w:r w:rsidR="008E54DD" w:rsidRPr="004A3983">
        <w:rPr>
          <w:rFonts w:ascii="Gotham Book" w:hAnsi="Gotham Book" w:cs="Arial"/>
        </w:rPr>
        <w:t>ales</w:t>
      </w:r>
      <w:r w:rsidRPr="004A3983">
        <w:rPr>
          <w:rFonts w:ascii="Gotham Book" w:hAnsi="Gotham Book" w:cs="Arial"/>
        </w:rPr>
        <w:t xml:space="preserve">. What occurred in his case is set out in full as </w:t>
      </w:r>
      <w:r w:rsidR="0030288A" w:rsidRPr="004A3983">
        <w:rPr>
          <w:rFonts w:ascii="Gotham Book" w:hAnsi="Gotham Book" w:cs="Arial"/>
        </w:rPr>
        <w:t>Example</w:t>
      </w:r>
      <w:r w:rsidR="004B01A9" w:rsidRPr="004A3983">
        <w:rPr>
          <w:rFonts w:ascii="Gotham Book" w:hAnsi="Gotham Book" w:cs="Arial"/>
        </w:rPr>
        <w:t xml:space="preserve"> 8</w:t>
      </w:r>
      <w:r w:rsidRPr="004A3983">
        <w:rPr>
          <w:rFonts w:ascii="Gotham Book" w:hAnsi="Gotham Book" w:cs="Arial"/>
        </w:rPr>
        <w:t xml:space="preserve"> </w:t>
      </w:r>
      <w:r w:rsidR="00E43CAB" w:rsidRPr="004A3983">
        <w:rPr>
          <w:rFonts w:ascii="Gotham Book" w:hAnsi="Gotham Book" w:cs="Arial"/>
        </w:rPr>
        <w:t>in</w:t>
      </w:r>
      <w:r w:rsidRPr="004A3983">
        <w:rPr>
          <w:rFonts w:ascii="Gotham Book" w:hAnsi="Gotham Book" w:cs="Arial"/>
        </w:rPr>
        <w:t xml:space="preserve"> </w:t>
      </w:r>
      <w:r w:rsidR="007777C5" w:rsidRPr="004A3983">
        <w:rPr>
          <w:rFonts w:ascii="Gotham Book" w:hAnsi="Gotham Book" w:cs="Arial"/>
        </w:rPr>
        <w:t>Appendix 2</w:t>
      </w:r>
      <w:r w:rsidR="00E43CAB" w:rsidRPr="004A3983">
        <w:rPr>
          <w:rFonts w:ascii="Gotham Book" w:hAnsi="Gotham Book" w:cs="Arial"/>
        </w:rPr>
        <w:t xml:space="preserve"> (in part </w:t>
      </w:r>
      <w:r w:rsidR="00E43CAB" w:rsidRPr="004A3983">
        <w:rPr>
          <w:rFonts w:ascii="Gotham Book" w:hAnsi="Gotham Book" w:cs="Arial"/>
        </w:rPr>
        <w:fldChar w:fldCharType="begin"/>
      </w:r>
      <w:r w:rsidR="00E43CAB" w:rsidRPr="004A3983">
        <w:rPr>
          <w:rFonts w:ascii="Gotham Book" w:hAnsi="Gotham Book" w:cs="Arial"/>
        </w:rPr>
        <w:instrText xml:space="preserve"> REF _Ref9428759 \r \h  \* MERGEFORMAT </w:instrText>
      </w:r>
      <w:r w:rsidR="00E43CAB" w:rsidRPr="004A3983">
        <w:rPr>
          <w:rFonts w:ascii="Gotham Book" w:hAnsi="Gotham Book" w:cs="Arial"/>
        </w:rPr>
      </w:r>
      <w:r w:rsidR="00E43CAB" w:rsidRPr="004A3983">
        <w:rPr>
          <w:rFonts w:ascii="Gotham Book" w:hAnsi="Gotham Book" w:cs="Arial"/>
        </w:rPr>
        <w:fldChar w:fldCharType="separate"/>
      </w:r>
      <w:r w:rsidR="00022664">
        <w:rPr>
          <w:rFonts w:ascii="Gotham Book" w:hAnsi="Gotham Book" w:cs="Arial" w:hint="cs"/>
          <w:cs/>
        </w:rPr>
        <w:t>‎</w:t>
      </w:r>
      <w:r w:rsidR="00022664">
        <w:rPr>
          <w:rFonts w:ascii="Gotham Book" w:hAnsi="Gotham Book" w:cs="Arial"/>
        </w:rPr>
        <w:t>6.3</w:t>
      </w:r>
      <w:r w:rsidR="00E43CAB" w:rsidRPr="004A3983">
        <w:rPr>
          <w:rFonts w:ascii="Gotham Book" w:hAnsi="Gotham Book" w:cs="Arial"/>
        </w:rPr>
        <w:fldChar w:fldCharType="end"/>
      </w:r>
      <w:r w:rsidR="00E43CAB" w:rsidRPr="004A3983">
        <w:rPr>
          <w:rFonts w:ascii="Gotham Book" w:hAnsi="Gotham Book" w:cs="Arial"/>
        </w:rPr>
        <w:t>)</w:t>
      </w:r>
      <w:r w:rsidRPr="004A3983">
        <w:rPr>
          <w:rFonts w:ascii="Gotham Book" w:hAnsi="Gotham Book" w:cs="Arial"/>
        </w:rPr>
        <w:t>. The ultimate correct assessment of Mr GG’s case</w:t>
      </w:r>
      <w:r w:rsidR="004830FD" w:rsidRPr="004A3983">
        <w:rPr>
          <w:rFonts w:ascii="Gotham Book" w:hAnsi="Gotham Book" w:cs="Arial"/>
        </w:rPr>
        <w:t xml:space="preserve"> in 2019</w:t>
      </w:r>
      <w:r w:rsidRPr="004A3983">
        <w:rPr>
          <w:rFonts w:ascii="Gotham Book" w:hAnsi="Gotham Book" w:cs="Arial"/>
        </w:rPr>
        <w:t xml:space="preserve"> involved:</w:t>
      </w:r>
    </w:p>
    <w:p w14:paraId="5FA41090" w14:textId="4B27642D" w:rsidR="009E44F4" w:rsidRPr="004A3983" w:rsidRDefault="00C9421E" w:rsidP="00233D69">
      <w:pPr>
        <w:pStyle w:val="ListBullet"/>
      </w:pPr>
      <w:r>
        <w:t>knowledge</w:t>
      </w:r>
      <w:r w:rsidR="009E44F4" w:rsidRPr="004A3983">
        <w:t xml:space="preserve"> </w:t>
      </w:r>
      <w:r w:rsidR="0000146A" w:rsidRPr="004A3983">
        <w:t>of two different Tasmanian Acts;</w:t>
      </w:r>
    </w:p>
    <w:p w14:paraId="341C608B" w14:textId="7E823226" w:rsidR="009E44F4" w:rsidRPr="004A3983" w:rsidRDefault="009E44F4" w:rsidP="00233D69">
      <w:pPr>
        <w:pStyle w:val="ListBullet"/>
      </w:pPr>
      <w:r w:rsidRPr="004A3983">
        <w:t>application of a historical version of the CPOR Act from 2008</w:t>
      </w:r>
      <w:r w:rsidR="0000146A" w:rsidRPr="004A3983">
        <w:t>;</w:t>
      </w:r>
    </w:p>
    <w:p w14:paraId="3FB0947B" w14:textId="08DBDDED" w:rsidR="009E44F4" w:rsidRPr="004A3983" w:rsidRDefault="008A474A" w:rsidP="00233D69">
      <w:pPr>
        <w:pStyle w:val="ListBullet"/>
      </w:pPr>
      <w:r w:rsidRPr="004A3983">
        <w:t>awareness</w:t>
      </w:r>
      <w:r w:rsidR="009E44F4" w:rsidRPr="004A3983">
        <w:t xml:space="preserve"> and application of amendments </w:t>
      </w:r>
      <w:r w:rsidR="00DF12B9" w:rsidRPr="004A3983">
        <w:t xml:space="preserve">which were made </w:t>
      </w:r>
      <w:r w:rsidR="009E44F4" w:rsidRPr="004A3983">
        <w:t>to the corresponding registrable person provisions in the CPOR Act in October 2008</w:t>
      </w:r>
      <w:r w:rsidR="00DF12B9" w:rsidRPr="004A3983">
        <w:t>,</w:t>
      </w:r>
      <w:r w:rsidR="009E44F4" w:rsidRPr="004A3983">
        <w:t xml:space="preserve"> which applied retrospectively to Mr GG</w:t>
      </w:r>
      <w:r w:rsidR="0000146A" w:rsidRPr="004A3983">
        <w:t>, and</w:t>
      </w:r>
    </w:p>
    <w:p w14:paraId="743D004E" w14:textId="77777777" w:rsidR="009E44F4" w:rsidRPr="004A3983" w:rsidRDefault="009E44F4" w:rsidP="00233D69">
      <w:pPr>
        <w:pStyle w:val="ListBullet"/>
      </w:pPr>
      <w:r w:rsidRPr="004A3983">
        <w:t>analysis of the overlap between the corresponding registrable person provisions and the ‘foreign jurisdiction offence’ provisions in the definitions of Class 1 and Class 2 offences.</w:t>
      </w:r>
    </w:p>
    <w:p w14:paraId="6341B76E" w14:textId="77777777" w:rsidR="009E44F4" w:rsidRPr="004A3983" w:rsidRDefault="009E44F4" w:rsidP="00E15D0F">
      <w:pPr>
        <w:spacing w:after="160"/>
        <w:ind w:right="-2"/>
        <w:rPr>
          <w:rFonts w:ascii="Gotham Book" w:hAnsi="Gotham Book" w:cs="Arial"/>
        </w:rPr>
      </w:pPr>
      <w:r w:rsidRPr="004A3983">
        <w:rPr>
          <w:rFonts w:ascii="Gotham Book" w:hAnsi="Gotham Book" w:cs="Arial"/>
        </w:rPr>
        <w:lastRenderedPageBreak/>
        <w:t>Due to the complexity of applying the CPOR Act provisions to Mr GG, the lawyer reviewing his case in 2016 during the CPR case review made an error in determining whether he was a registrable person. The Commission itself made a (different) error in its initial review of his case in 2018. The Commission only identified this error upon a re-review of Mr GG’s case in 2019.</w:t>
      </w:r>
    </w:p>
    <w:p w14:paraId="6B26E3FB" w14:textId="5BFB5145" w:rsidR="009E44F4" w:rsidRPr="004A3983" w:rsidRDefault="009E44F4" w:rsidP="00E754FA">
      <w:pPr>
        <w:spacing w:after="160"/>
        <w:rPr>
          <w:rFonts w:ascii="Gotham Book" w:hAnsi="Gotham Book" w:cs="Arial"/>
        </w:rPr>
      </w:pPr>
      <w:r w:rsidRPr="004A3983">
        <w:rPr>
          <w:rFonts w:ascii="Gotham Book" w:hAnsi="Gotham Book" w:cs="Arial"/>
        </w:rPr>
        <w:t xml:space="preserve">The practical consequences of the difficulty of arriving at a correct analysis of Mr GG’s case were that, although the NSW Police Force had initially (correctly) registered him and given him a reporting period of 7.5 years, upon review in 2016 it incorrectly concluded he was not a registrable person, and removed him from the Register. Further, courts in 2017 had, at the request of the NSW Police Force, granted annulments of Mr GG’s seven convictions for failure to report offences under the </w:t>
      </w:r>
      <w:r w:rsidR="00615D60" w:rsidRPr="004A3983">
        <w:rPr>
          <w:rFonts w:ascii="Gotham Book" w:hAnsi="Gotham Book" w:cs="Arial"/>
        </w:rPr>
        <w:t>CPOR Act between 2010 and 2016</w:t>
      </w:r>
      <w:r w:rsidRPr="004A3983">
        <w:rPr>
          <w:rFonts w:ascii="Gotham Book" w:hAnsi="Gotham Book" w:cs="Arial"/>
        </w:rPr>
        <w:t>.</w:t>
      </w:r>
      <w:r w:rsidRPr="004A3983">
        <w:rPr>
          <w:rStyle w:val="FootnoteReference"/>
          <w:rFonts w:ascii="Gotham Book" w:hAnsi="Gotham Book" w:cs="Arial"/>
        </w:rPr>
        <w:footnoteReference w:id="422"/>
      </w:r>
      <w:r w:rsidR="00651B64" w:rsidRPr="004A3983">
        <w:rPr>
          <w:rFonts w:ascii="Gotham Book" w:hAnsi="Gotham Book" w:cs="Arial"/>
        </w:rPr>
        <w:t xml:space="preserve"> However, on the Commission</w:t>
      </w:r>
      <w:r w:rsidR="00615D60" w:rsidRPr="004A3983">
        <w:rPr>
          <w:rFonts w:ascii="Gotham Book" w:hAnsi="Gotham Book" w:cs="Arial"/>
        </w:rPr>
        <w:t>’s interp</w:t>
      </w:r>
      <w:r w:rsidR="00D92BE0" w:rsidRPr="004A3983">
        <w:rPr>
          <w:rFonts w:ascii="Gotham Book" w:hAnsi="Gotham Book" w:cs="Arial"/>
        </w:rPr>
        <w:t>retation, these convictions had</w:t>
      </w:r>
      <w:r w:rsidR="00615D60" w:rsidRPr="004A3983">
        <w:rPr>
          <w:rFonts w:ascii="Gotham Book" w:hAnsi="Gotham Book" w:cs="Arial"/>
        </w:rPr>
        <w:t xml:space="preserve"> in fact</w:t>
      </w:r>
      <w:r w:rsidR="00D92BE0" w:rsidRPr="004A3983">
        <w:rPr>
          <w:rFonts w:ascii="Gotham Book" w:hAnsi="Gotham Book" w:cs="Arial"/>
        </w:rPr>
        <w:t xml:space="preserve"> been</w:t>
      </w:r>
      <w:r w:rsidR="00615D60" w:rsidRPr="004A3983">
        <w:rPr>
          <w:rFonts w:ascii="Gotham Book" w:hAnsi="Gotham Book" w:cs="Arial"/>
        </w:rPr>
        <w:t xml:space="preserve"> valid.</w:t>
      </w:r>
    </w:p>
    <w:p w14:paraId="28214418" w14:textId="440B5719" w:rsidR="009E44F4" w:rsidRPr="004A3983" w:rsidRDefault="00286E0B" w:rsidP="00E15D0F">
      <w:pPr>
        <w:pStyle w:val="Heading2"/>
        <w:spacing w:after="160"/>
        <w:ind w:right="-2"/>
      </w:pPr>
      <w:bookmarkStart w:id="390" w:name="_Ref9928661"/>
      <w:bookmarkStart w:id="391" w:name="_Toc22627806"/>
      <w:r w:rsidRPr="004A3983">
        <w:t>Recommendations to NSW Government</w:t>
      </w:r>
      <w:bookmarkEnd w:id="390"/>
      <w:bookmarkEnd w:id="391"/>
    </w:p>
    <w:p w14:paraId="1C3752EB" w14:textId="5F2E3FD7" w:rsidR="00286E0B" w:rsidRPr="004A3983" w:rsidRDefault="00D1797A" w:rsidP="00E15D0F">
      <w:pPr>
        <w:pStyle w:val="Heading3"/>
        <w:spacing w:after="160"/>
        <w:ind w:right="-2"/>
      </w:pPr>
      <w:bookmarkStart w:id="392" w:name="_Toc22627807"/>
      <w:bookmarkStart w:id="393" w:name="_Toc8913546"/>
      <w:bookmarkStart w:id="394" w:name="_Toc9428407"/>
      <w:bookmarkStart w:id="395" w:name="_Toc12020359"/>
      <w:bookmarkStart w:id="396" w:name="_Toc14790525"/>
      <w:bookmarkStart w:id="397" w:name="_Toc15478408"/>
      <w:r w:rsidRPr="004A3983">
        <w:t xml:space="preserve">Comprehensive reform of the </w:t>
      </w:r>
      <w:r w:rsidR="004A2630" w:rsidRPr="004A3983">
        <w:t>CPOR Act</w:t>
      </w:r>
      <w:bookmarkEnd w:id="392"/>
      <w:r w:rsidR="00286E0B" w:rsidRPr="004A3983">
        <w:t xml:space="preserve"> </w:t>
      </w:r>
      <w:bookmarkEnd w:id="393"/>
      <w:bookmarkEnd w:id="394"/>
      <w:bookmarkEnd w:id="395"/>
      <w:bookmarkEnd w:id="396"/>
      <w:bookmarkEnd w:id="397"/>
    </w:p>
    <w:p w14:paraId="73D7455C" w14:textId="570CEA07" w:rsidR="00286E0B" w:rsidRPr="004A3983" w:rsidRDefault="00286E0B" w:rsidP="00E15D0F">
      <w:pPr>
        <w:spacing w:after="160"/>
        <w:ind w:right="-2"/>
        <w:rPr>
          <w:rFonts w:ascii="Gotham Book" w:hAnsi="Gotham Book" w:cs="Arial"/>
        </w:rPr>
      </w:pPr>
      <w:r w:rsidRPr="004A3983">
        <w:rPr>
          <w:rFonts w:ascii="Gotham Book" w:hAnsi="Gotham Book" w:cs="Arial"/>
        </w:rPr>
        <w:t>As the NSW Police Force has stated, the statutory framew</w:t>
      </w:r>
      <w:r w:rsidR="00B87177" w:rsidRPr="004A3983">
        <w:rPr>
          <w:rFonts w:ascii="Gotham Book" w:hAnsi="Gotham Book" w:cs="Arial"/>
        </w:rPr>
        <w:t xml:space="preserve">ork provided by the CPOR Act </w:t>
      </w:r>
      <w:r w:rsidRPr="004A3983">
        <w:rPr>
          <w:rFonts w:ascii="Gotham Book" w:hAnsi="Gotham Book" w:cs="Arial"/>
        </w:rPr>
        <w:t>‘is complex, ambiguous, and provides for uncertainty’, and until that statutory framework is simplified ‘there exists a level of risk that cannot be mitigated’.</w:t>
      </w:r>
      <w:r w:rsidRPr="004A3983">
        <w:rPr>
          <w:rStyle w:val="FootnoteReference"/>
          <w:rFonts w:ascii="Gotham Book" w:hAnsi="Gotham Book" w:cs="Arial"/>
        </w:rPr>
        <w:footnoteReference w:id="423"/>
      </w:r>
      <w:r w:rsidRPr="004A3983">
        <w:rPr>
          <w:rFonts w:ascii="Gotham Book" w:hAnsi="Gotham Book" w:cs="Arial"/>
        </w:rPr>
        <w:t xml:space="preserve"> The </w:t>
      </w:r>
      <w:r w:rsidR="003A0CA5" w:rsidRPr="004A3983">
        <w:rPr>
          <w:rFonts w:ascii="Gotham Book" w:hAnsi="Gotham Book" w:cs="Arial"/>
        </w:rPr>
        <w:t>Commission agrees that given the current provisions in the CPOR Act, it is inevitable that the NSW Police Force will make errors in administering the Register.</w:t>
      </w:r>
    </w:p>
    <w:p w14:paraId="48866B1F" w14:textId="77777777" w:rsidR="00B30CED" w:rsidRPr="004A3983" w:rsidRDefault="003A0CA5" w:rsidP="00B30CED">
      <w:pPr>
        <w:spacing w:after="160"/>
        <w:ind w:right="-2"/>
        <w:rPr>
          <w:rFonts w:ascii="Gotham Book" w:hAnsi="Gotham Book" w:cs="Arial"/>
        </w:rPr>
      </w:pPr>
      <w:r w:rsidRPr="004A3983">
        <w:rPr>
          <w:rFonts w:ascii="Gotham Book" w:hAnsi="Gotham Book" w:cs="Arial"/>
        </w:rPr>
        <w:t xml:space="preserve">The Commission and the NSW Police Force </w:t>
      </w:r>
      <w:r w:rsidR="005C28CF" w:rsidRPr="004A3983">
        <w:rPr>
          <w:rFonts w:ascii="Gotham Book" w:hAnsi="Gotham Book" w:cs="Arial"/>
        </w:rPr>
        <w:t xml:space="preserve">therefore </w:t>
      </w:r>
      <w:r w:rsidRPr="004A3983">
        <w:rPr>
          <w:rFonts w:ascii="Gotham Book" w:hAnsi="Gotham Book" w:cs="Arial"/>
        </w:rPr>
        <w:t xml:space="preserve">agree that there is an urgent need for </w:t>
      </w:r>
      <w:r w:rsidR="004D2F51" w:rsidRPr="004A3983">
        <w:rPr>
          <w:rFonts w:ascii="Gotham Book" w:hAnsi="Gotham Book" w:cs="Arial"/>
        </w:rPr>
        <w:t>wholesale</w:t>
      </w:r>
      <w:r w:rsidRPr="004A3983">
        <w:rPr>
          <w:rFonts w:ascii="Gotham Book" w:hAnsi="Gotham Book" w:cs="Arial"/>
        </w:rPr>
        <w:t xml:space="preserve"> reform of the CPOR Act. </w:t>
      </w:r>
      <w:r w:rsidR="004D2F51" w:rsidRPr="004A3983">
        <w:rPr>
          <w:rFonts w:ascii="Gotham Book" w:hAnsi="Gotham Book" w:cs="Arial"/>
        </w:rPr>
        <w:t xml:space="preserve">The NSW Police Force and the Commission agree </w:t>
      </w:r>
      <w:r w:rsidR="00F108A1" w:rsidRPr="004A3983">
        <w:rPr>
          <w:rFonts w:ascii="Gotham Book" w:hAnsi="Gotham Book" w:cs="Arial"/>
        </w:rPr>
        <w:t>that:</w:t>
      </w:r>
    </w:p>
    <w:p w14:paraId="782F76E7" w14:textId="47B855D4" w:rsidR="00F108A1" w:rsidRPr="004A3983" w:rsidRDefault="00B30CED" w:rsidP="00233D69">
      <w:pPr>
        <w:pStyle w:val="ListBullet"/>
      </w:pPr>
      <w:r w:rsidRPr="004A3983">
        <w:rPr>
          <w:b/>
        </w:rPr>
        <w:t>The statutory framework for the Register must be fixed to address the fundamental</w:t>
      </w:r>
      <w:r w:rsidR="00EA3752" w:rsidRPr="004A3983">
        <w:rPr>
          <w:b/>
        </w:rPr>
        <w:t xml:space="preserve"> </w:t>
      </w:r>
      <w:r w:rsidR="00D176D6" w:rsidRPr="004A3983">
        <w:rPr>
          <w:b/>
        </w:rPr>
        <w:t>problems</w:t>
      </w:r>
      <w:r w:rsidRPr="004A3983">
        <w:rPr>
          <w:b/>
        </w:rPr>
        <w:t xml:space="preserve"> identified by the Commission and the NSW Police Force, set out in Appendix 2 of this report</w:t>
      </w:r>
      <w:r w:rsidRPr="004A3983">
        <w:t xml:space="preserve">. Appendix 2 contains our detailed analysis of the specific problems which arise from the way the CPOR Act is drafted. The conclusions in that appendix have been informed by the State Crime Command’s experience in applying the CPOR Act. Any law reform process should consider the details in Appendix 2 regarding the specific provisions which need to be redrafted to reduce the risk of error in the Register. We expect that there may be more problems with the Act than those we identified. </w:t>
      </w:r>
    </w:p>
    <w:p w14:paraId="2C5827A9" w14:textId="776AC57B" w:rsidR="003A0CA5" w:rsidRPr="004A3983" w:rsidRDefault="00F108A1" w:rsidP="00233D69">
      <w:pPr>
        <w:pStyle w:val="ListBullet"/>
      </w:pPr>
      <w:r w:rsidRPr="004A3983">
        <w:rPr>
          <w:b/>
        </w:rPr>
        <w:t xml:space="preserve">The structure of the Act </w:t>
      </w:r>
      <w:r w:rsidR="00243201" w:rsidRPr="004A3983">
        <w:rPr>
          <w:b/>
        </w:rPr>
        <w:t xml:space="preserve">must be reconsidered as a whole. </w:t>
      </w:r>
      <w:r w:rsidR="00243201" w:rsidRPr="004A3983">
        <w:t>T</w:t>
      </w:r>
      <w:r w:rsidRPr="004A3983">
        <w:t>he problems with the current framework cannot be addressed simply by further amendments to certain provisions; the history of amendments to isolated provisions, including several retrospective amendments, has added to the complexity and ambiguity in the CPOR Act</w:t>
      </w:r>
      <w:r w:rsidR="00243201" w:rsidRPr="004A3983">
        <w:t>.</w:t>
      </w:r>
    </w:p>
    <w:p w14:paraId="1F7C309C" w14:textId="7F7608E8" w:rsidR="008C0204" w:rsidRPr="004A3983" w:rsidRDefault="00243201" w:rsidP="00233D69">
      <w:pPr>
        <w:pStyle w:val="ListBullet"/>
      </w:pPr>
      <w:r w:rsidRPr="004A3983">
        <w:rPr>
          <w:b/>
        </w:rPr>
        <w:lastRenderedPageBreak/>
        <w:t>The reform process must include consultation with other agencies.</w:t>
      </w:r>
      <w:r w:rsidRPr="004A3983">
        <w:t xml:space="preserve"> </w:t>
      </w:r>
      <w:r w:rsidR="00B87177" w:rsidRPr="004A3983">
        <w:t xml:space="preserve">As </w:t>
      </w:r>
      <w:r w:rsidR="00942E30" w:rsidRPr="004A3983">
        <w:t>we discuss</w:t>
      </w:r>
      <w:r w:rsidR="00B87177" w:rsidRPr="004A3983">
        <w:t xml:space="preserve"> in Chapter 7</w:t>
      </w:r>
      <w:r w:rsidR="00942E30" w:rsidRPr="004A3983">
        <w:t xml:space="preserve"> of this report</w:t>
      </w:r>
      <w:r w:rsidR="00B87177" w:rsidRPr="004A3983">
        <w:t xml:space="preserve">, the CPOR Act places obligations on other authorities to assist in the maintenance of the </w:t>
      </w:r>
      <w:r w:rsidR="00934590" w:rsidRPr="004A3983">
        <w:t>Register. H</w:t>
      </w:r>
      <w:r w:rsidR="005C28CF" w:rsidRPr="004A3983">
        <w:t>owever t</w:t>
      </w:r>
      <w:r w:rsidR="00B87177" w:rsidRPr="004A3983">
        <w:t xml:space="preserve">here have been problems with the performance of </w:t>
      </w:r>
      <w:r w:rsidR="00E66771" w:rsidRPr="004A3983">
        <w:t xml:space="preserve">some of </w:t>
      </w:r>
      <w:r w:rsidR="00B87177" w:rsidRPr="004A3983">
        <w:t xml:space="preserve">these obligations almost since the Register commenced. </w:t>
      </w:r>
      <w:r w:rsidR="003E55B9" w:rsidRPr="004A3983">
        <w:t>It is there</w:t>
      </w:r>
      <w:r w:rsidR="00E66771" w:rsidRPr="004A3983">
        <w:t>fore crucial that these authorities</w:t>
      </w:r>
      <w:r w:rsidR="003E55B9" w:rsidRPr="004A3983">
        <w:t xml:space="preserve">, in particular sentencing courts, </w:t>
      </w:r>
      <w:r w:rsidR="00E66771" w:rsidRPr="004A3983">
        <w:t xml:space="preserve">Department of Family and Community Services and Justice, </w:t>
      </w:r>
      <w:r w:rsidR="003E55B9" w:rsidRPr="004A3983">
        <w:t>Corrective Services NSW and NSW Health</w:t>
      </w:r>
      <w:r w:rsidR="00E66771" w:rsidRPr="004A3983">
        <w:t>, are given the opportunity to give considered input into any legislative changes. Also, g</w:t>
      </w:r>
      <w:r w:rsidR="00F108A1" w:rsidRPr="004A3983">
        <w:t>iven th</w:t>
      </w:r>
      <w:r w:rsidR="00E66771" w:rsidRPr="004A3983">
        <w:t>e complexity of the CPOR Act, the Commission</w:t>
      </w:r>
      <w:r w:rsidR="00F108A1" w:rsidRPr="004A3983">
        <w:t xml:space="preserve"> suggest</w:t>
      </w:r>
      <w:r w:rsidR="00E66771" w:rsidRPr="004A3983">
        <w:t>s</w:t>
      </w:r>
      <w:r w:rsidR="00F108A1" w:rsidRPr="004A3983">
        <w:t xml:space="preserve"> that any law reform process should consider whether judicial officers should be given statutory responsibility for determining whether a person meets the definition of a registrable person, and </w:t>
      </w:r>
      <w:r w:rsidR="00934590" w:rsidRPr="004A3983">
        <w:t>calculating</w:t>
      </w:r>
      <w:r w:rsidR="00F108A1" w:rsidRPr="004A3983">
        <w:t xml:space="preserve"> their</w:t>
      </w:r>
      <w:r w:rsidR="00934590" w:rsidRPr="004A3983">
        <w:t xml:space="preserve"> initial</w:t>
      </w:r>
      <w:r w:rsidR="00F108A1" w:rsidRPr="004A3983">
        <w:t xml:space="preserve"> reporting period.</w:t>
      </w:r>
      <w:r w:rsidR="00F108A1" w:rsidRPr="004A3983">
        <w:rPr>
          <w:rStyle w:val="FootnoteReference"/>
          <w:rFonts w:cs="Arial"/>
        </w:rPr>
        <w:footnoteReference w:id="424"/>
      </w:r>
    </w:p>
    <w:p w14:paraId="7F3B8C8E" w14:textId="2D1242F3" w:rsidR="00F108A1" w:rsidRPr="004A3983" w:rsidRDefault="008C0204" w:rsidP="00233D69">
      <w:pPr>
        <w:pStyle w:val="ListBullet"/>
      </w:pPr>
      <w:r w:rsidRPr="004A3983">
        <w:rPr>
          <w:b/>
        </w:rPr>
        <w:t>The reform process must be expeditious</w:t>
      </w:r>
      <w:r w:rsidRPr="004A3983">
        <w:t>.</w:t>
      </w:r>
      <w:r w:rsidR="008449D6" w:rsidRPr="004A3983">
        <w:t xml:space="preserve"> Some of the problems with the CPOR Act relate to provisions which are fundamental to the operation of the Act, such as the definitions of which offences </w:t>
      </w:r>
      <w:r w:rsidR="00E953A2" w:rsidRPr="004A3983">
        <w:t xml:space="preserve">and which persons </w:t>
      </w:r>
      <w:r w:rsidR="008449D6" w:rsidRPr="004A3983">
        <w:t xml:space="preserve">are registrable, and the calculation of reporting periods. </w:t>
      </w:r>
      <w:r w:rsidR="00E953A2" w:rsidRPr="004A3983">
        <w:t xml:space="preserve">Until these provisions are reformed, there is a daily risk of errors being made in the application of the Act, which the NSW Police Force cannot mitigate. </w:t>
      </w:r>
      <w:r w:rsidR="008449D6" w:rsidRPr="004A3983">
        <w:t xml:space="preserve">As the Commission’s case studies in Chapter 3 illustrate, </w:t>
      </w:r>
      <w:r w:rsidR="00E953A2" w:rsidRPr="004A3983">
        <w:t xml:space="preserve">the consequences of these errors can be significant. </w:t>
      </w:r>
    </w:p>
    <w:p w14:paraId="1C0CF0F4" w14:textId="3830C901" w:rsidR="00565AF8" w:rsidRPr="004A3983" w:rsidRDefault="00E953A2" w:rsidP="003549F3">
      <w:pPr>
        <w:rPr>
          <w:rFonts w:ascii="Gotham Book" w:hAnsi="Gotham Book" w:cs="Arial"/>
        </w:rPr>
      </w:pPr>
      <w:r w:rsidRPr="004A3983">
        <w:rPr>
          <w:rFonts w:ascii="Gotham Book" w:hAnsi="Gotham Book" w:cs="Arial"/>
        </w:rPr>
        <w:t xml:space="preserve">The Commission’s view is that the NSW </w:t>
      </w:r>
      <w:r w:rsidR="00AF6709" w:rsidRPr="004A3983">
        <w:rPr>
          <w:rFonts w:ascii="Gotham Book" w:hAnsi="Gotham Book" w:cs="Arial"/>
        </w:rPr>
        <w:t xml:space="preserve">Law Reform Commission </w:t>
      </w:r>
      <w:r w:rsidRPr="004A3983">
        <w:rPr>
          <w:rFonts w:ascii="Gotham Book" w:hAnsi="Gotham Book" w:cs="Arial"/>
        </w:rPr>
        <w:t>is best placed to conduct a comprehensive, consultative review of the CPOR Act</w:t>
      </w:r>
      <w:r w:rsidR="009176FF" w:rsidRPr="004A3983">
        <w:rPr>
          <w:rFonts w:ascii="Gotham Book" w:hAnsi="Gotham Book" w:cs="Arial"/>
        </w:rPr>
        <w:t>, and make detailed recommendations for new legislative provisions</w:t>
      </w:r>
      <w:r w:rsidRPr="004A3983">
        <w:rPr>
          <w:rFonts w:ascii="Gotham Book" w:hAnsi="Gotham Book" w:cs="Arial"/>
        </w:rPr>
        <w:t xml:space="preserve">. </w:t>
      </w:r>
    </w:p>
    <w:p w14:paraId="0D0CC586" w14:textId="208CDB4C" w:rsidR="00235DE6" w:rsidRPr="004A3983" w:rsidRDefault="00E953A2" w:rsidP="003549F3">
      <w:r w:rsidRPr="004A3983">
        <w:rPr>
          <w:rFonts w:ascii="Gotham Book" w:hAnsi="Gotham Book" w:cs="Arial"/>
        </w:rPr>
        <w:t xml:space="preserve">The NSW Police Force </w:t>
      </w:r>
      <w:r w:rsidR="003549F3" w:rsidRPr="004A3983">
        <w:rPr>
          <w:rFonts w:ascii="Gotham Book" w:hAnsi="Gotham Book" w:cs="Arial"/>
        </w:rPr>
        <w:t>has stated</w:t>
      </w:r>
      <w:r w:rsidR="00AB2AD9" w:rsidRPr="004A3983">
        <w:rPr>
          <w:rFonts w:ascii="Gotham Book" w:hAnsi="Gotham Book" w:cs="Arial"/>
        </w:rPr>
        <w:t xml:space="preserve"> to the Commission</w:t>
      </w:r>
      <w:r w:rsidR="003549F3" w:rsidRPr="004A3983">
        <w:rPr>
          <w:rFonts w:ascii="Gotham Book" w:hAnsi="Gotham Book" w:cs="Arial"/>
        </w:rPr>
        <w:t xml:space="preserve"> that it ‘</w:t>
      </w:r>
      <w:r w:rsidR="003549F3" w:rsidRPr="004A3983">
        <w:t>supports legislative reform as a matter of urgency but does not support referral to the NSW Law Reform Commission’, d</w:t>
      </w:r>
      <w:r w:rsidR="00AF6709" w:rsidRPr="004A3983">
        <w:t>ue to concerns about the length of time it will take for the Law Reform Commission to complete its review, and then</w:t>
      </w:r>
      <w:r w:rsidR="00F76853" w:rsidRPr="004A3983">
        <w:t xml:space="preserve"> for co</w:t>
      </w:r>
      <w:r w:rsidR="00AF23A7" w:rsidRPr="004A3983">
        <w:t xml:space="preserve">nsideration </w:t>
      </w:r>
      <w:r w:rsidR="00F76853" w:rsidRPr="004A3983">
        <w:t xml:space="preserve">and </w:t>
      </w:r>
      <w:r w:rsidR="00AF23A7" w:rsidRPr="004A3983">
        <w:t>implementation of</w:t>
      </w:r>
      <w:r w:rsidR="00AF6709" w:rsidRPr="004A3983">
        <w:t xml:space="preserve"> its recommendations.</w:t>
      </w:r>
      <w:r w:rsidR="00235DE6" w:rsidRPr="004A3983">
        <w:rPr>
          <w:rStyle w:val="FootnoteReference"/>
        </w:rPr>
        <w:footnoteReference w:id="425"/>
      </w:r>
      <w:r w:rsidR="00A877F2" w:rsidRPr="004A3983">
        <w:t xml:space="preserve"> </w:t>
      </w:r>
    </w:p>
    <w:p w14:paraId="64761508" w14:textId="23C814C3" w:rsidR="00892683" w:rsidRPr="004A3983" w:rsidRDefault="00235DE6" w:rsidP="003549F3">
      <w:r w:rsidRPr="004A3983">
        <w:t>T</w:t>
      </w:r>
      <w:r w:rsidR="00AF6709" w:rsidRPr="004A3983">
        <w:t xml:space="preserve">he NSW Police Force </w:t>
      </w:r>
      <w:r w:rsidR="001E6C1F" w:rsidRPr="004A3983">
        <w:t>advised the Commission on 30 September 2019 that</w:t>
      </w:r>
      <w:r w:rsidR="00565AF8" w:rsidRPr="004A3983">
        <w:t xml:space="preserve"> it had</w:t>
      </w:r>
      <w:r w:rsidR="001E6C1F" w:rsidRPr="004A3983">
        <w:t xml:space="preserve"> prepared a proposal for a ‘wholesale redraft of the CPOR Act’</w:t>
      </w:r>
      <w:r w:rsidR="00565AF8" w:rsidRPr="004A3983">
        <w:t>, drawing on the Commission’s analysis. The NSW Police Force stated that it intended</w:t>
      </w:r>
      <w:r w:rsidR="001E6C1F" w:rsidRPr="004A3983">
        <w:t xml:space="preserve"> to </w:t>
      </w:r>
      <w:r w:rsidR="00FF4E7F" w:rsidRPr="004A3983">
        <w:t>consult with</w:t>
      </w:r>
      <w:r w:rsidR="00795D15">
        <w:t xml:space="preserve"> ‘key Government stakeholders</w:t>
      </w:r>
      <w:r w:rsidR="00565AF8" w:rsidRPr="004A3983">
        <w:t xml:space="preserve"> (NSW Heal</w:t>
      </w:r>
      <w:r w:rsidR="00FF4E7F" w:rsidRPr="004A3983">
        <w:t>th and Communities and Justice)</w:t>
      </w:r>
      <w:r w:rsidR="00795D15">
        <w:t>’</w:t>
      </w:r>
      <w:r w:rsidR="00FF4E7F" w:rsidRPr="004A3983">
        <w:t xml:space="preserve"> about t</w:t>
      </w:r>
      <w:r w:rsidR="00A877F2" w:rsidRPr="004A3983">
        <w:t>hat proposal, and then submit it to the NSW Government on an urgent basis. The NSW Police Force stated that ‘g</w:t>
      </w:r>
      <w:r w:rsidR="003549F3" w:rsidRPr="004A3983">
        <w:t>iven LECC’s extensive review, it is appropriate to approach Government to seek legislative reform’</w:t>
      </w:r>
      <w:r w:rsidR="00A877F2" w:rsidRPr="004A3983">
        <w:t>, rather than a referral to the Law Reform Commission.</w:t>
      </w:r>
      <w:r w:rsidR="00A877F2" w:rsidRPr="004A3983">
        <w:rPr>
          <w:rStyle w:val="FootnoteReference"/>
        </w:rPr>
        <w:footnoteReference w:id="426"/>
      </w:r>
      <w:r w:rsidR="00AF1C9F" w:rsidRPr="004A3983">
        <w:t xml:space="preserve"> </w:t>
      </w:r>
    </w:p>
    <w:p w14:paraId="58DB6E02" w14:textId="6059406A" w:rsidR="00971210" w:rsidRPr="004A3983" w:rsidRDefault="00752E22" w:rsidP="003549F3">
      <w:r w:rsidRPr="004A3983">
        <w:t>The Commissi</w:t>
      </w:r>
      <w:r w:rsidR="004A1E57" w:rsidRPr="004A3983">
        <w:t xml:space="preserve">on shares the </w:t>
      </w:r>
      <w:r w:rsidR="00C03E48" w:rsidRPr="004A3983">
        <w:t xml:space="preserve">concern raised by the </w:t>
      </w:r>
      <w:r w:rsidR="004A1E57" w:rsidRPr="004A3983">
        <w:t>NSW Police Force</w:t>
      </w:r>
      <w:r w:rsidRPr="004A3983">
        <w:t xml:space="preserve"> about the need for law reform as soon as possible. </w:t>
      </w:r>
      <w:r w:rsidR="00267E96" w:rsidRPr="004A3983">
        <w:t>However,</w:t>
      </w:r>
      <w:r w:rsidR="007811E1" w:rsidRPr="004A3983">
        <w:t xml:space="preserve"> </w:t>
      </w:r>
      <w:r w:rsidR="00EB200A" w:rsidRPr="004A3983">
        <w:t xml:space="preserve">this must be balanced against the need to carefully consider </w:t>
      </w:r>
      <w:r w:rsidR="00A83FF0" w:rsidRPr="004A3983">
        <w:t>any</w:t>
      </w:r>
      <w:r w:rsidR="00EB200A" w:rsidRPr="004A3983">
        <w:t xml:space="preserve"> proposed reform</w:t>
      </w:r>
      <w:r w:rsidR="00F84D5F" w:rsidRPr="004A3983">
        <w:t>s to</w:t>
      </w:r>
      <w:r w:rsidR="00EB200A" w:rsidRPr="004A3983">
        <w:t xml:space="preserve"> t</w:t>
      </w:r>
      <w:r w:rsidR="00A83FF0" w:rsidRPr="004A3983">
        <w:t xml:space="preserve">he statutory framework for the </w:t>
      </w:r>
      <w:r w:rsidR="00A83FF0" w:rsidRPr="004A3983">
        <w:lastRenderedPageBreak/>
        <w:t>R</w:t>
      </w:r>
      <w:r w:rsidR="00EB200A" w:rsidRPr="004A3983">
        <w:t xml:space="preserve">egister, as well as feedback from all authorities who have been or would be involved in its implementation. Such careful consideration is crucial to avoid the </w:t>
      </w:r>
      <w:r w:rsidR="0098761C" w:rsidRPr="004A3983">
        <w:t xml:space="preserve">kind of </w:t>
      </w:r>
      <w:r w:rsidR="00EB200A" w:rsidRPr="004A3983">
        <w:t>drafting issues th</w:t>
      </w:r>
      <w:r w:rsidR="00971210" w:rsidRPr="004A3983">
        <w:t xml:space="preserve">at affect the current statute. </w:t>
      </w:r>
      <w:r w:rsidR="00892683" w:rsidRPr="004A3983">
        <w:t xml:space="preserve">The Commission accepts that this could potentially be achieved without the involvement of the Law Reform Commission. </w:t>
      </w:r>
    </w:p>
    <w:p w14:paraId="7C1E5462" w14:textId="4435C2AB" w:rsidR="00971210" w:rsidRPr="004A3983" w:rsidRDefault="00E96283" w:rsidP="003549F3">
      <w:r w:rsidRPr="004A3983">
        <w:t xml:space="preserve">The NSW Police Force provided a draft of its proposal for reform of the CPOR Act to the Commission on 11 October 2019, at which point this report was being finalised. </w:t>
      </w:r>
      <w:r w:rsidR="006534F4" w:rsidRPr="004A3983">
        <w:t>T</w:t>
      </w:r>
      <w:r w:rsidRPr="004A3983">
        <w:t xml:space="preserve">he Commission will review this proposal and </w:t>
      </w:r>
      <w:r w:rsidR="006534F4" w:rsidRPr="004A3983">
        <w:t xml:space="preserve">provide its views to </w:t>
      </w:r>
      <w:r w:rsidRPr="004A3983">
        <w:t>the Commissioner of Police and the Minister for Police and Emergency Services (as the minister responsible for the CPOR Act)</w:t>
      </w:r>
      <w:r w:rsidR="006534F4" w:rsidRPr="004A3983">
        <w:t xml:space="preserve"> separate to this report.</w:t>
      </w:r>
    </w:p>
    <w:p w14:paraId="02D36FEA" w14:textId="32D38AC6" w:rsidR="0011018B" w:rsidRPr="004A3983" w:rsidRDefault="00AB7C12" w:rsidP="003549F3">
      <w:r w:rsidRPr="004A3983">
        <w:t xml:space="preserve">Whichever </w:t>
      </w:r>
      <w:r w:rsidR="006534F4" w:rsidRPr="004A3983">
        <w:t>law reform process</w:t>
      </w:r>
      <w:r w:rsidRPr="004A3983">
        <w:t xml:space="preserve"> is ultimately followed,</w:t>
      </w:r>
      <w:r w:rsidR="007D521D" w:rsidRPr="004A3983">
        <w:t xml:space="preserve"> </w:t>
      </w:r>
      <w:r w:rsidRPr="004A3983">
        <w:t xml:space="preserve">the Commission </w:t>
      </w:r>
      <w:r w:rsidR="00892683" w:rsidRPr="004A3983">
        <w:t>strongly urge</w:t>
      </w:r>
      <w:r w:rsidRPr="004A3983">
        <w:t>s</w:t>
      </w:r>
      <w:r w:rsidR="007D521D" w:rsidRPr="004A3983">
        <w:t xml:space="preserve"> the NSW Government to release an exposure draft of any proposed new bill for consultation</w:t>
      </w:r>
      <w:r w:rsidR="0011018B" w:rsidRPr="004A3983">
        <w:t xml:space="preserve"> prior to finalising it for introduction in Parliament.</w:t>
      </w:r>
      <w:r w:rsidR="007D521D" w:rsidRPr="004A3983">
        <w:t xml:space="preserve"> </w:t>
      </w:r>
      <w:r w:rsidRPr="004A3983">
        <w:t>This may assist in the detection of problems before the bill becomes law.</w:t>
      </w:r>
    </w:p>
    <w:p w14:paraId="45E1AE17" w14:textId="231E7D1A" w:rsidR="00E754FA" w:rsidRPr="004A3983" w:rsidRDefault="002A6853" w:rsidP="00E754FA">
      <w:pPr>
        <w:pStyle w:val="RecommendationHeadings"/>
        <w:spacing w:after="160"/>
      </w:pPr>
      <w:bookmarkStart w:id="398" w:name="_Toc22277340"/>
      <w:r w:rsidRPr="004A3983">
        <w:rPr>
          <w:b/>
        </w:rPr>
        <w:t xml:space="preserve">Refer </w:t>
      </w:r>
      <w:r w:rsidR="00286E0B" w:rsidRPr="004A3983">
        <w:rPr>
          <w:b/>
        </w:rPr>
        <w:t>the CPOR Act to the NSW Law Reform Commission</w:t>
      </w:r>
      <w:r w:rsidR="00E13BE0">
        <w:rPr>
          <w:b/>
        </w:rPr>
        <w:t> </w:t>
      </w:r>
      <w:r w:rsidRPr="004A3983">
        <w:rPr>
          <w:b/>
        </w:rPr>
        <w:t>for review</w:t>
      </w:r>
      <w:r w:rsidR="006151AC" w:rsidRPr="004A3983">
        <w:t xml:space="preserve">. </w:t>
      </w:r>
      <w:r w:rsidR="00286E0B" w:rsidRPr="004A3983">
        <w:t>The Attorney-General</w:t>
      </w:r>
      <w:r w:rsidR="00267E96" w:rsidRPr="004A3983">
        <w:t xml:space="preserve"> urgently</w:t>
      </w:r>
      <w:r w:rsidR="00286E0B" w:rsidRPr="004A3983">
        <w:t xml:space="preserve"> refer the </w:t>
      </w:r>
      <w:r w:rsidR="00286E0B" w:rsidRPr="004A3983">
        <w:rPr>
          <w:i/>
        </w:rPr>
        <w:t>Child Protection (Offenders Registration) Act 2000</w:t>
      </w:r>
      <w:r w:rsidR="00286E0B" w:rsidRPr="004A3983">
        <w:t xml:space="preserve"> (NSW) to the NSW Law Reform Commission for comprehensive review</w:t>
      </w:r>
      <w:r w:rsidR="00267E96" w:rsidRPr="004A3983">
        <w:t>, to be completed within six months</w:t>
      </w:r>
      <w:r w:rsidR="00286E0B" w:rsidRPr="004A3983">
        <w:t>.</w:t>
      </w:r>
      <w:bookmarkEnd w:id="398"/>
    </w:p>
    <w:p w14:paraId="1DE5544B" w14:textId="4AE8B40C" w:rsidR="006151AC" w:rsidRPr="004A3983" w:rsidRDefault="00AD2945" w:rsidP="00E754FA">
      <w:pPr>
        <w:pStyle w:val="Heading3"/>
        <w:spacing w:after="160"/>
      </w:pPr>
      <w:bookmarkStart w:id="399" w:name="_Toc8913547"/>
      <w:bookmarkStart w:id="400" w:name="_Toc9428408"/>
      <w:bookmarkStart w:id="401" w:name="_Toc12020360"/>
      <w:bookmarkStart w:id="402" w:name="_Toc14790526"/>
      <w:bookmarkStart w:id="403" w:name="_Toc15478409"/>
      <w:bookmarkStart w:id="404" w:name="_Toc22627808"/>
      <w:r w:rsidRPr="004A3983">
        <w:t>S</w:t>
      </w:r>
      <w:r w:rsidR="006151AC" w:rsidRPr="004A3983">
        <w:t>tatutory review mechanism for registrable status and reporting period determinations</w:t>
      </w:r>
      <w:bookmarkEnd w:id="399"/>
      <w:bookmarkEnd w:id="400"/>
      <w:bookmarkEnd w:id="401"/>
      <w:bookmarkEnd w:id="402"/>
      <w:bookmarkEnd w:id="403"/>
      <w:bookmarkEnd w:id="404"/>
      <w:r w:rsidR="006151AC" w:rsidRPr="004A3983">
        <w:t xml:space="preserve">   </w:t>
      </w:r>
    </w:p>
    <w:p w14:paraId="01D1982F" w14:textId="10DA8503" w:rsidR="006151AC" w:rsidRPr="004A3983" w:rsidRDefault="006151AC" w:rsidP="00E15D0F">
      <w:pPr>
        <w:spacing w:after="160"/>
        <w:ind w:right="-2"/>
        <w:rPr>
          <w:rFonts w:ascii="Gotham Book" w:hAnsi="Gotham Book"/>
        </w:rPr>
      </w:pPr>
      <w:r w:rsidRPr="004A3983">
        <w:rPr>
          <w:rFonts w:ascii="Gotham Book" w:hAnsi="Gotham Book"/>
        </w:rPr>
        <w:t>The CPOR Act does not contain any provision that gives a person the right to ask the NSW Police Force to review its decision that he or she meets the definition of a registrable person under s 3A, or the calculation of</w:t>
      </w:r>
      <w:r w:rsidR="000108FC" w:rsidRPr="004A3983">
        <w:rPr>
          <w:rFonts w:ascii="Gotham Book" w:hAnsi="Gotham Book"/>
        </w:rPr>
        <w:t xml:space="preserve"> their reporting period under s </w:t>
      </w:r>
      <w:r w:rsidRPr="004A3983">
        <w:rPr>
          <w:rFonts w:ascii="Gotham Book" w:hAnsi="Gotham Book"/>
        </w:rPr>
        <w:t>14A.</w:t>
      </w:r>
      <w:r w:rsidRPr="004A3983">
        <w:rPr>
          <w:rStyle w:val="FootnoteReference"/>
          <w:rFonts w:ascii="Gotham Book" w:hAnsi="Gotham Book"/>
        </w:rPr>
        <w:footnoteReference w:id="427"/>
      </w:r>
      <w:r w:rsidRPr="004A3983">
        <w:rPr>
          <w:rFonts w:ascii="Gotham Book" w:hAnsi="Gotham Book"/>
        </w:rPr>
        <w:t xml:space="preserve"> </w:t>
      </w:r>
    </w:p>
    <w:p w14:paraId="60C7E983" w14:textId="08CD2465" w:rsidR="006151AC" w:rsidRPr="004A3983" w:rsidRDefault="006151AC" w:rsidP="00FC3D3A">
      <w:pPr>
        <w:spacing w:after="160"/>
        <w:rPr>
          <w:rFonts w:ascii="Gotham Book" w:hAnsi="Gotham Book"/>
        </w:rPr>
      </w:pPr>
      <w:r w:rsidRPr="004A3983">
        <w:rPr>
          <w:rFonts w:ascii="Gotham Book" w:hAnsi="Gotham Book"/>
        </w:rPr>
        <w:t xml:space="preserve">Given the complexity and potential for varying interpretations of provisions in the CPOR Act, and the history of errors in the Register, it would be beneficial </w:t>
      </w:r>
      <w:r w:rsidR="00C542E2" w:rsidRPr="004A3983">
        <w:rPr>
          <w:rFonts w:ascii="Gotham Book" w:hAnsi="Gotham Book"/>
        </w:rPr>
        <w:t>if the Act (or any statute</w:t>
      </w:r>
      <w:r w:rsidRPr="004A3983">
        <w:rPr>
          <w:rFonts w:ascii="Gotham Book" w:hAnsi="Gotham Book"/>
        </w:rPr>
        <w:t xml:space="preserve"> that replaces it) contained such a provision. Such a mechanism would:</w:t>
      </w:r>
    </w:p>
    <w:p w14:paraId="70562766" w14:textId="77777777" w:rsidR="006151AC" w:rsidRPr="004A3983" w:rsidRDefault="006151AC" w:rsidP="00D14727">
      <w:pPr>
        <w:pStyle w:val="ListBullet"/>
      </w:pPr>
      <w:r w:rsidRPr="004A3983">
        <w:t xml:space="preserve">allow for the initiation of another level of quality assurance; </w:t>
      </w:r>
    </w:p>
    <w:p w14:paraId="3432589C" w14:textId="77777777" w:rsidR="006151AC" w:rsidRPr="004A3983" w:rsidRDefault="006151AC" w:rsidP="00D14727">
      <w:pPr>
        <w:pStyle w:val="ListBullet"/>
      </w:pPr>
      <w:r w:rsidRPr="004A3983">
        <w:t>provide the NSW Police Force with an early opportunity to rectify errors made at the case creation stage, avoiding unlawful consequences later, and</w:t>
      </w:r>
    </w:p>
    <w:p w14:paraId="34BE28B4" w14:textId="0BA4D452" w:rsidR="006151AC" w:rsidRPr="004A3983" w:rsidRDefault="006151AC" w:rsidP="00D14727">
      <w:pPr>
        <w:pStyle w:val="ListBullet"/>
      </w:pPr>
      <w:r w:rsidRPr="004A3983">
        <w:t xml:space="preserve">help protect the rights of persons who may otherwise be </w:t>
      </w:r>
      <w:r w:rsidR="008814E1" w:rsidRPr="004A3983">
        <w:t>subjected to unlawful actions by the NSW Police Force</w:t>
      </w:r>
      <w:r w:rsidRPr="004A3983">
        <w:t>.</w:t>
      </w:r>
    </w:p>
    <w:p w14:paraId="5C4DF7D3" w14:textId="07BF81FA" w:rsidR="006151AC" w:rsidRPr="004A3983" w:rsidRDefault="006151AC" w:rsidP="00E15D0F">
      <w:pPr>
        <w:spacing w:after="160"/>
        <w:ind w:right="-2"/>
        <w:rPr>
          <w:rFonts w:ascii="Gotham Book" w:hAnsi="Gotham Book"/>
        </w:rPr>
      </w:pPr>
      <w:r w:rsidRPr="004A3983">
        <w:rPr>
          <w:rFonts w:ascii="Gotham Book" w:hAnsi="Gotham Book"/>
        </w:rPr>
        <w:t xml:space="preserve">The NSW Police Force officers </w:t>
      </w:r>
      <w:r w:rsidR="00FC326A" w:rsidRPr="004A3983">
        <w:rPr>
          <w:rFonts w:ascii="Gotham Book" w:hAnsi="Gotham Book"/>
        </w:rPr>
        <w:t>who</w:t>
      </w:r>
      <w:r w:rsidRPr="004A3983">
        <w:rPr>
          <w:rFonts w:ascii="Gotham Book" w:hAnsi="Gotham Book"/>
        </w:rPr>
        <w:t xml:space="preserve"> the Commission consulted about the CPOR Act supported the idea of a review mechanism in the Act. They stated that in practice </w:t>
      </w:r>
      <w:r w:rsidRPr="004A3983">
        <w:rPr>
          <w:rFonts w:ascii="Gotham Book" w:hAnsi="Gotham Book"/>
        </w:rPr>
        <w:lastRenderedPageBreak/>
        <w:t>people can, and do, request that the Registry review the decision that they are registrable, or the initial calculation of their reporting period</w:t>
      </w:r>
      <w:r w:rsidR="00B56BD0" w:rsidRPr="004A3983">
        <w:rPr>
          <w:rFonts w:ascii="Gotham Book" w:hAnsi="Gotham Book"/>
        </w:rPr>
        <w:t>, and the Registry conducts these reviews</w:t>
      </w:r>
      <w:r w:rsidRPr="004A3983">
        <w:rPr>
          <w:rFonts w:ascii="Gotham Book" w:hAnsi="Gotham Book"/>
        </w:rPr>
        <w:t>.</w:t>
      </w:r>
      <w:r w:rsidRPr="004A3983">
        <w:rPr>
          <w:rStyle w:val="FootnoteReference"/>
          <w:rFonts w:ascii="Gotham Book" w:hAnsi="Gotham Book"/>
        </w:rPr>
        <w:footnoteReference w:id="428"/>
      </w:r>
      <w:r w:rsidRPr="004A3983">
        <w:rPr>
          <w:rFonts w:ascii="Gotham Book" w:hAnsi="Gotham Book"/>
        </w:rPr>
        <w:t xml:space="preserve"> </w:t>
      </w:r>
    </w:p>
    <w:p w14:paraId="69638F82" w14:textId="23199E37" w:rsidR="006151AC" w:rsidRPr="004A3983" w:rsidRDefault="006151AC" w:rsidP="00E15D0F">
      <w:pPr>
        <w:spacing w:after="160"/>
        <w:ind w:right="-2"/>
        <w:rPr>
          <w:rFonts w:ascii="Gotham Book" w:hAnsi="Gotham Book"/>
        </w:rPr>
      </w:pPr>
      <w:r w:rsidRPr="004A3983">
        <w:rPr>
          <w:rFonts w:ascii="Gotham Book" w:hAnsi="Gotham Book"/>
        </w:rPr>
        <w:t xml:space="preserve">Providing for a statutory right to an internal review would therefore formalise the current NSW Police Force practice. It would also help ensure that individuals are aware of their right to seek a review, and enable statutory controls to be put in place around the process, such as timeframes. </w:t>
      </w:r>
    </w:p>
    <w:p w14:paraId="3507B061" w14:textId="7790FB43" w:rsidR="006151AC" w:rsidRPr="004A3983" w:rsidRDefault="00BB141A" w:rsidP="00E15D0F">
      <w:pPr>
        <w:spacing w:after="160"/>
        <w:ind w:right="-2"/>
        <w:rPr>
          <w:rFonts w:ascii="Gotham Book" w:hAnsi="Gotham Book"/>
        </w:rPr>
      </w:pPr>
      <w:r w:rsidRPr="004A3983">
        <w:rPr>
          <w:rFonts w:ascii="Gotham Book" w:hAnsi="Gotham Book"/>
        </w:rPr>
        <w:t xml:space="preserve">The </w:t>
      </w:r>
      <w:r w:rsidR="006151AC" w:rsidRPr="004A3983">
        <w:rPr>
          <w:rFonts w:ascii="Gotham Book" w:hAnsi="Gotham Book"/>
          <w:i/>
        </w:rPr>
        <w:t>Child Protection (Offender Reporting and Offender Prohibition Order) Act 2004</w:t>
      </w:r>
      <w:r w:rsidR="00115EDE" w:rsidRPr="004A3983">
        <w:rPr>
          <w:rFonts w:ascii="Gotham Book" w:hAnsi="Gotham Book"/>
        </w:rPr>
        <w:t xml:space="preserve"> </w:t>
      </w:r>
      <w:r w:rsidRPr="004A3983">
        <w:rPr>
          <w:rFonts w:ascii="Gotham Book" w:hAnsi="Gotham Book"/>
        </w:rPr>
        <w:t>in Quee</w:t>
      </w:r>
      <w:r w:rsidR="00C224A5" w:rsidRPr="004A3983">
        <w:rPr>
          <w:rFonts w:ascii="Gotham Book" w:hAnsi="Gotham Book"/>
        </w:rPr>
        <w:t>n</w:t>
      </w:r>
      <w:r w:rsidRPr="004A3983">
        <w:rPr>
          <w:rFonts w:ascii="Gotham Book" w:hAnsi="Gotham Book"/>
        </w:rPr>
        <w:t xml:space="preserve">sland </w:t>
      </w:r>
      <w:r w:rsidR="006151AC" w:rsidRPr="004A3983">
        <w:rPr>
          <w:rFonts w:ascii="Gotham Book" w:hAnsi="Gotham Book"/>
        </w:rPr>
        <w:t>contains a possible model for a review mechanism. Section 74 of that Act permits a person who believes that they have been placed on the register in error, or an error has been made in working out their reporting period, to apply to the police commissioner for review of those decisions.</w:t>
      </w:r>
      <w:r w:rsidR="006151AC" w:rsidRPr="004A3983">
        <w:rPr>
          <w:rStyle w:val="FootnoteReference"/>
          <w:rFonts w:ascii="Gotham Book" w:hAnsi="Gotham Book"/>
        </w:rPr>
        <w:footnoteReference w:id="429"/>
      </w:r>
      <w:r w:rsidR="006151AC" w:rsidRPr="004A3983">
        <w:rPr>
          <w:rFonts w:ascii="Gotham Book" w:hAnsi="Gotham Book"/>
        </w:rPr>
        <w:t xml:space="preserve"> The person must make the application within 28 days after the person is given notice of his or her reporting obligations.</w:t>
      </w:r>
      <w:r w:rsidR="006151AC" w:rsidRPr="004A3983">
        <w:rPr>
          <w:rStyle w:val="FootnoteReference"/>
          <w:rFonts w:ascii="Gotham Book" w:hAnsi="Gotham Book"/>
        </w:rPr>
        <w:footnoteReference w:id="430"/>
      </w:r>
      <w:r w:rsidR="006151AC" w:rsidRPr="004A3983">
        <w:rPr>
          <w:rFonts w:ascii="Gotham Book" w:hAnsi="Gotham Book"/>
        </w:rPr>
        <w:t xml:space="preserve"> The police commissioner is required to review the decision and give written notice of his or her decision to either confirm or change it.</w:t>
      </w:r>
      <w:r w:rsidR="006151AC" w:rsidRPr="004A3983">
        <w:rPr>
          <w:rStyle w:val="FootnoteReference"/>
          <w:rFonts w:ascii="Gotham Book" w:hAnsi="Gotham Book"/>
        </w:rPr>
        <w:footnoteReference w:id="431"/>
      </w:r>
    </w:p>
    <w:p w14:paraId="2593ED98" w14:textId="69147CE5" w:rsidR="006151AC" w:rsidRPr="004A3983" w:rsidRDefault="006151AC" w:rsidP="00E15D0F">
      <w:pPr>
        <w:autoSpaceDE w:val="0"/>
        <w:autoSpaceDN w:val="0"/>
        <w:spacing w:after="160"/>
        <w:ind w:right="-2"/>
        <w:rPr>
          <w:rFonts w:ascii="Gotham Book" w:hAnsi="Gotham Book"/>
        </w:rPr>
      </w:pPr>
      <w:r w:rsidRPr="004A3983">
        <w:rPr>
          <w:rFonts w:ascii="Gotham Book" w:hAnsi="Gotham Book"/>
        </w:rPr>
        <w:t xml:space="preserve">New Zealand has adopted a review mechanism in its </w:t>
      </w:r>
      <w:r w:rsidRPr="004A3983">
        <w:rPr>
          <w:rFonts w:ascii="Gotham Book" w:hAnsi="Gotham Book"/>
          <w:i/>
        </w:rPr>
        <w:t>Child Protection (Child Sex Offender Government Agency Registration) Act 2016</w:t>
      </w:r>
      <w:r w:rsidRPr="004A3983">
        <w:rPr>
          <w:rFonts w:ascii="Gotham Book" w:hAnsi="Gotham Book"/>
        </w:rPr>
        <w:t xml:space="preserve"> that is very closely modelled on the Queensland provision.</w:t>
      </w:r>
      <w:r w:rsidRPr="004A3983">
        <w:rPr>
          <w:rStyle w:val="FootnoteReference"/>
          <w:rFonts w:ascii="Gotham Book" w:hAnsi="Gotham Book"/>
        </w:rPr>
        <w:footnoteReference w:id="432"/>
      </w:r>
      <w:r w:rsidRPr="004A3983">
        <w:rPr>
          <w:rFonts w:ascii="Gotham Book" w:hAnsi="Gotham Book"/>
        </w:rPr>
        <w:t xml:space="preserve"> However, the New Zealand Act also provides that if the Commissioner on review confirms the relevant decision, the offender has a right to appeal that decision in the District Court.</w:t>
      </w:r>
      <w:r w:rsidRPr="004A3983">
        <w:rPr>
          <w:rStyle w:val="FootnoteReference"/>
          <w:rFonts w:ascii="Gotham Book" w:hAnsi="Gotham Book"/>
        </w:rPr>
        <w:footnoteReference w:id="433"/>
      </w:r>
      <w:r w:rsidRPr="004A3983">
        <w:rPr>
          <w:rFonts w:ascii="Gotham Book" w:hAnsi="Gotham Book"/>
        </w:rPr>
        <w:t xml:space="preserve"> </w:t>
      </w:r>
    </w:p>
    <w:p w14:paraId="4789A237" w14:textId="0056BFA5" w:rsidR="006151AC" w:rsidRPr="004A3983" w:rsidRDefault="006151AC" w:rsidP="00E15D0F">
      <w:pPr>
        <w:pStyle w:val="ListParagraph"/>
        <w:spacing w:after="160"/>
        <w:ind w:left="0" w:right="-2"/>
        <w:rPr>
          <w:rFonts w:ascii="Gotham Book" w:hAnsi="Gotham Book"/>
        </w:rPr>
      </w:pPr>
      <w:r w:rsidRPr="004A3983">
        <w:rPr>
          <w:rFonts w:ascii="Gotham Book" w:hAnsi="Gotham Book"/>
        </w:rPr>
        <w:t xml:space="preserve">The officers </w:t>
      </w:r>
      <w:r w:rsidR="00F22842" w:rsidRPr="004A3983">
        <w:rPr>
          <w:rFonts w:ascii="Gotham Book" w:hAnsi="Gotham Book"/>
        </w:rPr>
        <w:t xml:space="preserve">in the NSW Police Force </w:t>
      </w:r>
      <w:r w:rsidRPr="004A3983">
        <w:rPr>
          <w:rFonts w:ascii="Gotham Book" w:hAnsi="Gotham Book"/>
        </w:rPr>
        <w:t xml:space="preserve">we consulted supported the idea of persons having a right of appeal from the NSW Police Force review to a tribunal or court, given some of the difficult questions of statutory interpretation which arise from the operation of the CPOR Act. They agreed this would create opportunities to obtain judicial determinations about how the CPOR Act is to be interpreted, which would assist the NSW Police Force in implementing the Act. </w:t>
      </w:r>
    </w:p>
    <w:p w14:paraId="1A302C73" w14:textId="4F6C1A8E" w:rsidR="00030A52" w:rsidRPr="004A3983" w:rsidRDefault="00525D52" w:rsidP="000C03CC">
      <w:pPr>
        <w:pStyle w:val="RecommendationHeadings"/>
        <w:spacing w:after="160"/>
        <w:ind w:right="-2"/>
      </w:pPr>
      <w:bookmarkStart w:id="405" w:name="_Ref9928752"/>
      <w:bookmarkStart w:id="406" w:name="_Toc22277341"/>
      <w:r w:rsidRPr="004A3983">
        <w:rPr>
          <w:b/>
        </w:rPr>
        <w:t>Introduce a s</w:t>
      </w:r>
      <w:r w:rsidR="006151AC" w:rsidRPr="004A3983">
        <w:rPr>
          <w:b/>
        </w:rPr>
        <w:t>tatutory review mechanism</w:t>
      </w:r>
      <w:r w:rsidR="006151AC" w:rsidRPr="004A3983">
        <w:t xml:space="preserve">. A provision should be included in the </w:t>
      </w:r>
      <w:r w:rsidR="006151AC" w:rsidRPr="004A3983">
        <w:rPr>
          <w:i/>
        </w:rPr>
        <w:t>Child Protection (Offenders Registration) Act 2000</w:t>
      </w:r>
      <w:r w:rsidR="00A03231" w:rsidRPr="004A3983">
        <w:t xml:space="preserve"> (NSW) (or any Act which</w:t>
      </w:r>
      <w:r w:rsidR="006151AC" w:rsidRPr="004A3983">
        <w:t xml:space="preserve"> replaces it) which gives a person the right to seek review by the NSW Police Force of the decision that they meet the definition of a registrable person under the Act, and/or the decision as to which reporting period applies to the </w:t>
      </w:r>
      <w:r w:rsidR="006151AC" w:rsidRPr="004A3983">
        <w:lastRenderedPageBreak/>
        <w:t>person. Consideration should be given to providing a right of appeal from the NSW Police Force review to a tribunal or court.</w:t>
      </w:r>
      <w:bookmarkEnd w:id="405"/>
      <w:bookmarkEnd w:id="406"/>
      <w:r w:rsidR="006151AC" w:rsidRPr="004A3983">
        <w:t xml:space="preserve">  </w:t>
      </w:r>
    </w:p>
    <w:p w14:paraId="4C6F79FB" w14:textId="3F8BD00B" w:rsidR="00030A52" w:rsidRPr="004A3983" w:rsidRDefault="00030A52" w:rsidP="000C03CC">
      <w:pPr>
        <w:spacing w:after="160"/>
      </w:pPr>
      <w:r w:rsidRPr="004A3983">
        <w:rPr>
          <w:b/>
        </w:rPr>
        <w:t>NSW Police Force response to Recommendation 4</w:t>
      </w:r>
      <w:r w:rsidRPr="004A3983">
        <w:t>: The NSW Police Force has stated that it supports this recommendation.</w:t>
      </w:r>
      <w:r w:rsidR="00B966B0" w:rsidRPr="004A3983">
        <w:rPr>
          <w:rStyle w:val="FootnoteReference"/>
        </w:rPr>
        <w:footnoteReference w:id="434"/>
      </w:r>
    </w:p>
    <w:p w14:paraId="257F2843" w14:textId="256512E1" w:rsidR="00D34F70" w:rsidRPr="004A3983" w:rsidRDefault="00AD2945" w:rsidP="00E15D0F">
      <w:pPr>
        <w:pStyle w:val="Heading3"/>
        <w:spacing w:after="160"/>
        <w:ind w:right="-2"/>
      </w:pPr>
      <w:bookmarkStart w:id="407" w:name="_Toc8913548"/>
      <w:bookmarkStart w:id="408" w:name="_Toc9428409"/>
      <w:bookmarkStart w:id="409" w:name="_Toc12020361"/>
      <w:bookmarkStart w:id="410" w:name="_Toc14790527"/>
      <w:bookmarkStart w:id="411" w:name="_Toc15478410"/>
      <w:bookmarkStart w:id="412" w:name="_Toc22627809"/>
      <w:r w:rsidRPr="004A3983">
        <w:t>S</w:t>
      </w:r>
      <w:r w:rsidR="00D34F70" w:rsidRPr="004A3983">
        <w:t xml:space="preserve">tatutory </w:t>
      </w:r>
      <w:r w:rsidR="00221308" w:rsidRPr="004A3983">
        <w:t>re</w:t>
      </w:r>
      <w:r w:rsidR="00EA73F6" w:rsidRPr="004A3983">
        <w:t xml:space="preserve">quirement for </w:t>
      </w:r>
      <w:r w:rsidR="005469E0" w:rsidRPr="004A3983">
        <w:t>independent auditing</w:t>
      </w:r>
      <w:r w:rsidR="00D34F70" w:rsidRPr="004A3983">
        <w:t xml:space="preserve"> of the Register</w:t>
      </w:r>
      <w:bookmarkEnd w:id="407"/>
      <w:bookmarkEnd w:id="408"/>
      <w:bookmarkEnd w:id="409"/>
      <w:bookmarkEnd w:id="410"/>
      <w:bookmarkEnd w:id="411"/>
      <w:bookmarkEnd w:id="412"/>
    </w:p>
    <w:p w14:paraId="0BB592CC" w14:textId="2E855E1A" w:rsidR="00D34F70" w:rsidRPr="004A3983" w:rsidRDefault="00D34F70" w:rsidP="00E15D0F">
      <w:pPr>
        <w:spacing w:after="160"/>
        <w:ind w:right="-2"/>
      </w:pPr>
      <w:r w:rsidRPr="004A3983">
        <w:t xml:space="preserve">In </w:t>
      </w:r>
      <w:r w:rsidR="00090149" w:rsidRPr="004A3983">
        <w:t>Chapter</w:t>
      </w:r>
      <w:r w:rsidR="000A0701" w:rsidRPr="004A3983">
        <w:t xml:space="preserve"> </w:t>
      </w:r>
      <w:r w:rsidR="000A0701" w:rsidRPr="004A3983">
        <w:fldChar w:fldCharType="begin"/>
      </w:r>
      <w:r w:rsidR="000A0701" w:rsidRPr="004A3983">
        <w:instrText xml:space="preserve"> REF _Ref9615727 \r \h </w:instrText>
      </w:r>
      <w:r w:rsidR="00BC6F33" w:rsidRPr="004A3983">
        <w:instrText xml:space="preserve"> \* MERGEFORMAT </w:instrText>
      </w:r>
      <w:r w:rsidR="000A0701" w:rsidRPr="004A3983">
        <w:fldChar w:fldCharType="separate"/>
      </w:r>
      <w:r w:rsidR="00022664">
        <w:rPr>
          <w:rFonts w:hint="cs"/>
          <w:cs/>
        </w:rPr>
        <w:t>‎</w:t>
      </w:r>
      <w:r w:rsidR="00022664">
        <w:t>9</w:t>
      </w:r>
      <w:r w:rsidR="000A0701" w:rsidRPr="004A3983">
        <w:fldChar w:fldCharType="end"/>
      </w:r>
      <w:r w:rsidRPr="004A3983">
        <w:t xml:space="preserve"> we discuss the gaps in the governance and accountability arrangements regarding the administration of the Register</w:t>
      </w:r>
      <w:r w:rsidR="00BC6F33" w:rsidRPr="004A3983">
        <w:t xml:space="preserve"> by the NSW Police Force</w:t>
      </w:r>
      <w:r w:rsidRPr="004A3983">
        <w:t xml:space="preserve">. We note that in Victoria, a statutory requirement was introduced for the Independent Broad-based Anti-corruption Commission (IBAC) to </w:t>
      </w:r>
      <w:r w:rsidR="00100923">
        <w:t>monitor</w:t>
      </w:r>
      <w:r w:rsidRPr="004A3983">
        <w:t xml:space="preserve"> the maintenance of the Sex Offender Register by Victoria Police. We recommend in that chapter that similar</w:t>
      </w:r>
      <w:r w:rsidR="00100923">
        <w:t xml:space="preserve"> provisions</w:t>
      </w:r>
      <w:r w:rsidRPr="004A3983">
        <w:t xml:space="preserve"> for independent auditing of the implementation of the statutory framework for the Register be inserted into the CPOR Act (or its successor).</w:t>
      </w:r>
      <w:r w:rsidRPr="004A3983">
        <w:rPr>
          <w:rStyle w:val="FootnoteReference"/>
          <w:rFonts w:ascii="Gotham Book" w:hAnsi="Gotham Book"/>
        </w:rPr>
        <w:footnoteReference w:id="435"/>
      </w:r>
      <w:r w:rsidR="00C5588B" w:rsidRPr="004A3983">
        <w:t xml:space="preserve"> The NSW Police Force has stated that it supports that recommendation.</w:t>
      </w:r>
      <w:r w:rsidR="00C5588B" w:rsidRPr="004A3983">
        <w:rPr>
          <w:rStyle w:val="FootnoteReference"/>
        </w:rPr>
        <w:footnoteReference w:id="436"/>
      </w:r>
    </w:p>
    <w:p w14:paraId="18F9D920" w14:textId="60625EE3" w:rsidR="00286E0B" w:rsidRPr="004A3983" w:rsidRDefault="00D34F70" w:rsidP="00E15D0F">
      <w:pPr>
        <w:pStyle w:val="Heading2"/>
        <w:spacing w:after="160"/>
        <w:ind w:right="-2"/>
      </w:pPr>
      <w:bookmarkStart w:id="413" w:name="_Ref9612666"/>
      <w:bookmarkStart w:id="414" w:name="_Toc22627810"/>
      <w:r w:rsidRPr="004A3983">
        <w:t>Recommendations to the NSW Police force</w:t>
      </w:r>
      <w:bookmarkEnd w:id="413"/>
      <w:bookmarkEnd w:id="414"/>
    </w:p>
    <w:p w14:paraId="605B82FF" w14:textId="67FB0E18" w:rsidR="00D34F70" w:rsidRPr="004A3983" w:rsidRDefault="00D34F70" w:rsidP="00E15D0F">
      <w:pPr>
        <w:pStyle w:val="Heading3"/>
        <w:spacing w:after="160"/>
        <w:ind w:right="-2"/>
      </w:pPr>
      <w:bookmarkStart w:id="415" w:name="_Toc8913550"/>
      <w:bookmarkStart w:id="416" w:name="_Toc9428411"/>
      <w:bookmarkStart w:id="417" w:name="_Toc12020363"/>
      <w:bookmarkStart w:id="418" w:name="_Toc14790529"/>
      <w:bookmarkStart w:id="419" w:name="_Toc15478412"/>
      <w:bookmarkStart w:id="420" w:name="_Toc22627811"/>
      <w:r w:rsidRPr="004A3983">
        <w:t xml:space="preserve">Need for </w:t>
      </w:r>
      <w:r w:rsidR="00571A71" w:rsidRPr="004A3983">
        <w:t>at le</w:t>
      </w:r>
      <w:r w:rsidR="004D7B01" w:rsidRPr="004A3983">
        <w:t>ast one</w:t>
      </w:r>
      <w:r w:rsidR="00DD678C" w:rsidRPr="004A3983">
        <w:t xml:space="preserve"> </w:t>
      </w:r>
      <w:r w:rsidRPr="004A3983">
        <w:t>dedicated legal officer in the</w:t>
      </w:r>
      <w:r w:rsidR="00F960B6">
        <w:t> </w:t>
      </w:r>
      <w:r w:rsidRPr="004A3983">
        <w:t>Registry</w:t>
      </w:r>
      <w:bookmarkEnd w:id="415"/>
      <w:bookmarkEnd w:id="416"/>
      <w:bookmarkEnd w:id="417"/>
      <w:bookmarkEnd w:id="418"/>
      <w:bookmarkEnd w:id="419"/>
      <w:bookmarkEnd w:id="420"/>
    </w:p>
    <w:p w14:paraId="0518215D" w14:textId="18EE404C" w:rsidR="005C3E19" w:rsidRPr="004A3983" w:rsidRDefault="005322D0" w:rsidP="00E15D0F">
      <w:pPr>
        <w:widowControl w:val="0"/>
        <w:adjustRightInd w:val="0"/>
        <w:snapToGrid w:val="0"/>
        <w:spacing w:after="160"/>
        <w:ind w:right="-2"/>
        <w:rPr>
          <w:rFonts w:ascii="Gotham Book" w:hAnsi="Gotham Book" w:cs="Arial"/>
        </w:rPr>
      </w:pPr>
      <w:r w:rsidRPr="004A3983">
        <w:rPr>
          <w:rFonts w:ascii="Gotham Book" w:hAnsi="Gotham Book" w:cs="Times New Roman"/>
        </w:rPr>
        <w:t>T</w:t>
      </w:r>
      <w:r w:rsidR="00D34F70" w:rsidRPr="004A3983">
        <w:rPr>
          <w:rFonts w:ascii="Gotham Book" w:hAnsi="Gotham Book" w:cs="Times New Roman"/>
        </w:rPr>
        <w:t xml:space="preserve">he NSW Police Force has not created a dedicated legal officer position within the Registry, despite this being recommended </w:t>
      </w:r>
      <w:r w:rsidR="00067688" w:rsidRPr="004A3983">
        <w:rPr>
          <w:rFonts w:ascii="Gotham Book" w:hAnsi="Gotham Book" w:cs="Times New Roman"/>
        </w:rPr>
        <w:t xml:space="preserve">by the </w:t>
      </w:r>
      <w:r w:rsidR="0074255B" w:rsidRPr="004A3983">
        <w:rPr>
          <w:rFonts w:ascii="Gotham Book" w:hAnsi="Gotham Book" w:cs="Times New Roman"/>
        </w:rPr>
        <w:t>NSW Police Force</w:t>
      </w:r>
      <w:r w:rsidR="00293745" w:rsidRPr="004A3983">
        <w:rPr>
          <w:rFonts w:ascii="Gotham Book" w:hAnsi="Gotham Book" w:cs="Times New Roman"/>
        </w:rPr>
        <w:t xml:space="preserve"> </w:t>
      </w:r>
      <w:r w:rsidR="0074255B" w:rsidRPr="004A3983">
        <w:rPr>
          <w:rFonts w:ascii="Gotham Book" w:hAnsi="Gotham Book" w:cs="Times New Roman"/>
        </w:rPr>
        <w:t xml:space="preserve">Workforce Intelligence Unit </w:t>
      </w:r>
      <w:r w:rsidR="00D34F70" w:rsidRPr="004A3983">
        <w:rPr>
          <w:rFonts w:ascii="Gotham Book" w:hAnsi="Gotham Book" w:cs="Times New Roman"/>
        </w:rPr>
        <w:t>in 2017</w:t>
      </w:r>
      <w:r w:rsidR="00E6662B" w:rsidRPr="004A3983">
        <w:rPr>
          <w:rFonts w:ascii="Gotham Book" w:hAnsi="Gotham Book" w:cs="Times New Roman"/>
        </w:rPr>
        <w:t>, by the Registry Manager in his 2018 report on the management of the Register, and by the Commission in its interim report on Operation Tusket</w:t>
      </w:r>
      <w:r w:rsidR="00E6662B" w:rsidRPr="004A3983">
        <w:rPr>
          <w:rFonts w:ascii="Gotham Book" w:hAnsi="Gotham Book" w:cs="Arial"/>
        </w:rPr>
        <w:t>.</w:t>
      </w:r>
      <w:r w:rsidR="00E6662B" w:rsidRPr="004A3983">
        <w:rPr>
          <w:rStyle w:val="FootnoteReference"/>
          <w:rFonts w:ascii="Gotham Book" w:hAnsi="Gotham Book" w:cs="Arial"/>
        </w:rPr>
        <w:footnoteReference w:id="437"/>
      </w:r>
      <w:r w:rsidR="009208D0" w:rsidRPr="004A3983">
        <w:rPr>
          <w:rFonts w:ascii="Gotham Book" w:hAnsi="Gotham Book" w:cs="Arial"/>
        </w:rPr>
        <w:t xml:space="preserve"> </w:t>
      </w:r>
    </w:p>
    <w:p w14:paraId="52E71036" w14:textId="7E2C9F10" w:rsidR="00D34F70" w:rsidRPr="004A3983" w:rsidRDefault="00D34F70" w:rsidP="00E15D0F">
      <w:pPr>
        <w:widowControl w:val="0"/>
        <w:adjustRightInd w:val="0"/>
        <w:snapToGrid w:val="0"/>
        <w:spacing w:after="160"/>
        <w:ind w:right="-2"/>
        <w:rPr>
          <w:rFonts w:ascii="Gotham Book" w:hAnsi="Gotham Book" w:cs="Arial"/>
        </w:rPr>
      </w:pPr>
      <w:r w:rsidRPr="004A3983">
        <w:rPr>
          <w:rFonts w:ascii="Gotham Book" w:hAnsi="Gotham Book" w:cs="Arial"/>
        </w:rPr>
        <w:t xml:space="preserve">The </w:t>
      </w:r>
      <w:r w:rsidR="005A0A6B" w:rsidRPr="004A3983">
        <w:rPr>
          <w:rFonts w:ascii="Gotham Book" w:hAnsi="Gotham Book" w:cs="Arial"/>
        </w:rPr>
        <w:t>Workforce Intelligence Unit</w:t>
      </w:r>
      <w:r w:rsidRPr="004A3983">
        <w:rPr>
          <w:rFonts w:ascii="Gotham Book" w:hAnsi="Gotham Book" w:cs="Arial"/>
        </w:rPr>
        <w:t xml:space="preserve"> emphasised</w:t>
      </w:r>
      <w:r w:rsidR="0074255B" w:rsidRPr="004A3983">
        <w:rPr>
          <w:rFonts w:ascii="Gotham Book" w:hAnsi="Gotham Book" w:cs="Arial"/>
        </w:rPr>
        <w:t xml:space="preserve"> in its Register Staffing Review</w:t>
      </w:r>
      <w:r w:rsidRPr="004A3983">
        <w:rPr>
          <w:rFonts w:ascii="Gotham Book" w:hAnsi="Gotham Book" w:cs="Arial"/>
        </w:rPr>
        <w:t xml:space="preserve"> that:</w:t>
      </w:r>
    </w:p>
    <w:p w14:paraId="0565D2EB" w14:textId="5C9DF8E7" w:rsidR="00D34F70" w:rsidRPr="004A3983" w:rsidRDefault="00D34F70" w:rsidP="00D14727">
      <w:pPr>
        <w:pStyle w:val="Quotesmall1cm"/>
      </w:pPr>
      <w:r w:rsidRPr="004A3983">
        <w:t>The level of complexity and ambiguity with some CPR cases is often beyond the [Registry officer’s] expertise. It is impossible to have a matrix that encompasses the numerous variables and exceptions that cover every CPR case. Each CPR case has to be</w:t>
      </w:r>
      <w:r w:rsidR="00F960B6">
        <w:t> </w:t>
      </w:r>
      <w:r w:rsidRPr="004A3983">
        <w:t xml:space="preserve">treated on its own merits and circumstances. This highlights the important of legal </w:t>
      </w:r>
      <w:r w:rsidRPr="004A3983">
        <w:lastRenderedPageBreak/>
        <w:t>advice on these matters, and emphasises the benefits of legal expertise in making an accurate determination of their registration and reporting periods.</w:t>
      </w:r>
      <w:r w:rsidRPr="004A3983">
        <w:rPr>
          <w:rStyle w:val="FootnoteReference"/>
        </w:rPr>
        <w:footnoteReference w:id="438"/>
      </w:r>
    </w:p>
    <w:p w14:paraId="37B38323" w14:textId="2FA25D6D" w:rsidR="00176B8A" w:rsidRPr="004A3983" w:rsidRDefault="00D34F70" w:rsidP="00E15D0F">
      <w:pPr>
        <w:widowControl w:val="0"/>
        <w:adjustRightInd w:val="0"/>
        <w:snapToGrid w:val="0"/>
        <w:spacing w:after="160"/>
        <w:ind w:right="-2"/>
        <w:rPr>
          <w:rFonts w:ascii="Gotham Book" w:hAnsi="Gotham Book"/>
        </w:rPr>
      </w:pPr>
      <w:r w:rsidRPr="004A3983">
        <w:rPr>
          <w:rFonts w:ascii="Gotham Book" w:hAnsi="Gotham Book"/>
        </w:rPr>
        <w:t xml:space="preserve">The analysis in this chapter and </w:t>
      </w:r>
      <w:r w:rsidR="00235455" w:rsidRPr="004A3983">
        <w:rPr>
          <w:rFonts w:ascii="Gotham Book" w:hAnsi="Gotham Book"/>
        </w:rPr>
        <w:t>Appendix 2</w:t>
      </w:r>
      <w:r w:rsidRPr="004A3983">
        <w:rPr>
          <w:rFonts w:ascii="Gotham Book" w:hAnsi="Gotham Book"/>
        </w:rPr>
        <w:t xml:space="preserve"> of the difficulty </w:t>
      </w:r>
      <w:r w:rsidR="005C381B" w:rsidRPr="004A3983">
        <w:rPr>
          <w:rFonts w:ascii="Gotham Book" w:hAnsi="Gotham Book"/>
        </w:rPr>
        <w:t>of applying the CPOR Act in</w:t>
      </w:r>
      <w:r w:rsidRPr="004A3983">
        <w:rPr>
          <w:rFonts w:ascii="Gotham Book" w:hAnsi="Gotham Book"/>
        </w:rPr>
        <w:t xml:space="preserve"> certain cases, and the risk of errors this creates, makes plain the need for Registry staff to have ready access to expert legal advice. Errors in the application of the CPOR Act can have very serious </w:t>
      </w:r>
      <w:r w:rsidR="000C594F" w:rsidRPr="004A3983">
        <w:rPr>
          <w:rFonts w:ascii="Gotham Book" w:hAnsi="Gotham Book"/>
        </w:rPr>
        <w:t xml:space="preserve">consequences, </w:t>
      </w:r>
      <w:r w:rsidR="005C381B" w:rsidRPr="004A3983">
        <w:rPr>
          <w:rFonts w:ascii="Gotham Book" w:hAnsi="Gotham Book"/>
        </w:rPr>
        <w:t xml:space="preserve">including child sex offenders being unmonitored, and other persons being wrongly convicted, </w:t>
      </w:r>
      <w:r w:rsidR="000C594F" w:rsidRPr="004A3983">
        <w:rPr>
          <w:rFonts w:ascii="Gotham Book" w:hAnsi="Gotham Book"/>
        </w:rPr>
        <w:t>as demonstrated by</w:t>
      </w:r>
      <w:r w:rsidRPr="004A3983">
        <w:rPr>
          <w:rFonts w:ascii="Gotham Book" w:hAnsi="Gotham Book"/>
        </w:rPr>
        <w:t xml:space="preserve"> the case studies in </w:t>
      </w:r>
      <w:r w:rsidR="000A0701" w:rsidRPr="004A3983">
        <w:rPr>
          <w:rFonts w:ascii="Gotham Book" w:hAnsi="Gotham Book"/>
        </w:rPr>
        <w:t xml:space="preserve">Chapter </w:t>
      </w:r>
      <w:r w:rsidR="000A0701" w:rsidRPr="004A3983">
        <w:rPr>
          <w:rFonts w:ascii="Gotham Book" w:hAnsi="Gotham Book"/>
        </w:rPr>
        <w:fldChar w:fldCharType="begin"/>
      </w:r>
      <w:r w:rsidR="000A0701" w:rsidRPr="004A3983">
        <w:rPr>
          <w:rFonts w:ascii="Gotham Book" w:hAnsi="Gotham Book"/>
        </w:rPr>
        <w:instrText xml:space="preserve"> REF _Ref9615752 \r \h </w:instrText>
      </w:r>
      <w:r w:rsidR="00985973" w:rsidRPr="004A3983">
        <w:rPr>
          <w:rFonts w:ascii="Gotham Book" w:hAnsi="Gotham Book"/>
        </w:rPr>
        <w:instrText xml:space="preserve"> \* MERGEFORMAT </w:instrText>
      </w:r>
      <w:r w:rsidR="000A0701" w:rsidRPr="004A3983">
        <w:rPr>
          <w:rFonts w:ascii="Gotham Book" w:hAnsi="Gotham Book"/>
        </w:rPr>
      </w:r>
      <w:r w:rsidR="000A0701" w:rsidRPr="004A3983">
        <w:rPr>
          <w:rFonts w:ascii="Gotham Book" w:hAnsi="Gotham Book"/>
        </w:rPr>
        <w:fldChar w:fldCharType="separate"/>
      </w:r>
      <w:r w:rsidR="00022664">
        <w:rPr>
          <w:rFonts w:ascii="Gotham Book" w:hAnsi="Gotham Book" w:hint="cs"/>
          <w:cs/>
        </w:rPr>
        <w:t>‎</w:t>
      </w:r>
      <w:r w:rsidR="00022664">
        <w:rPr>
          <w:rFonts w:ascii="Gotham Book" w:hAnsi="Gotham Book"/>
        </w:rPr>
        <w:t>3</w:t>
      </w:r>
      <w:r w:rsidR="000A0701" w:rsidRPr="004A3983">
        <w:rPr>
          <w:rFonts w:ascii="Gotham Book" w:hAnsi="Gotham Book"/>
        </w:rPr>
        <w:fldChar w:fldCharType="end"/>
      </w:r>
      <w:r w:rsidR="00C31B02" w:rsidRPr="004A3983">
        <w:rPr>
          <w:rFonts w:ascii="Gotham Book" w:hAnsi="Gotham Book"/>
        </w:rPr>
        <w:t>.</w:t>
      </w:r>
    </w:p>
    <w:p w14:paraId="75FF6657" w14:textId="1F45D521" w:rsidR="007445C9" w:rsidRPr="004A3983" w:rsidRDefault="009A18E6" w:rsidP="00E15D0F">
      <w:pPr>
        <w:widowControl w:val="0"/>
        <w:adjustRightInd w:val="0"/>
        <w:snapToGrid w:val="0"/>
        <w:spacing w:after="160"/>
        <w:ind w:right="-2"/>
        <w:rPr>
          <w:rFonts w:ascii="Gotham Book" w:hAnsi="Gotham Book"/>
        </w:rPr>
      </w:pPr>
      <w:r w:rsidRPr="004A3983">
        <w:rPr>
          <w:rFonts w:ascii="Gotham Book" w:hAnsi="Gotham Book"/>
        </w:rPr>
        <w:t>T</w:t>
      </w:r>
      <w:r w:rsidR="0065179C" w:rsidRPr="004A3983">
        <w:rPr>
          <w:rFonts w:ascii="Gotham Book" w:hAnsi="Gotham Book"/>
        </w:rPr>
        <w:t xml:space="preserve">he </w:t>
      </w:r>
      <w:r w:rsidR="007445C9" w:rsidRPr="004A3983">
        <w:rPr>
          <w:rFonts w:ascii="Gotham Book" w:hAnsi="Gotham Book"/>
        </w:rPr>
        <w:t xml:space="preserve">Workforce Intelligence Unit recommended that at least one </w:t>
      </w:r>
      <w:r w:rsidR="0065179C" w:rsidRPr="004A3983">
        <w:rPr>
          <w:rFonts w:ascii="Gotham Book" w:hAnsi="Gotham Book"/>
        </w:rPr>
        <w:t>legal officer position dedicated to providing legal support to the Registry should be established.</w:t>
      </w:r>
      <w:r w:rsidRPr="004A3983">
        <w:rPr>
          <w:rStyle w:val="FootnoteReference"/>
          <w:rFonts w:ascii="Gotham Book" w:hAnsi="Gotham Book"/>
        </w:rPr>
        <w:footnoteReference w:id="439"/>
      </w:r>
      <w:r w:rsidR="0065179C" w:rsidRPr="004A3983">
        <w:rPr>
          <w:rFonts w:ascii="Gotham Book" w:hAnsi="Gotham Book"/>
        </w:rPr>
        <w:t xml:space="preserve"> This was one of the Unit’s key recommendations</w:t>
      </w:r>
      <w:r w:rsidR="00A23FCA" w:rsidRPr="004A3983">
        <w:rPr>
          <w:rFonts w:ascii="Gotham Book" w:hAnsi="Gotham Book"/>
        </w:rPr>
        <w:t>,</w:t>
      </w:r>
      <w:r w:rsidR="0065179C" w:rsidRPr="004A3983">
        <w:rPr>
          <w:rFonts w:ascii="Gotham Book" w:hAnsi="Gotham Book"/>
        </w:rPr>
        <w:t xml:space="preserve"> which</w:t>
      </w:r>
      <w:r w:rsidR="00A23FCA" w:rsidRPr="004A3983">
        <w:rPr>
          <w:rFonts w:ascii="Gotham Book" w:hAnsi="Gotham Book"/>
        </w:rPr>
        <w:t xml:space="preserve"> it</w:t>
      </w:r>
      <w:r w:rsidR="0065179C" w:rsidRPr="004A3983">
        <w:rPr>
          <w:rFonts w:ascii="Gotham Book" w:hAnsi="Gotham Book"/>
        </w:rPr>
        <w:t xml:space="preserve"> identified as </w:t>
      </w:r>
      <w:r w:rsidR="00A23FCA" w:rsidRPr="004A3983">
        <w:rPr>
          <w:rFonts w:ascii="Gotham Book" w:hAnsi="Gotham Book"/>
        </w:rPr>
        <w:t>being ‘</w:t>
      </w:r>
      <w:r w:rsidR="0065179C" w:rsidRPr="004A3983">
        <w:rPr>
          <w:rFonts w:ascii="Gotham Book" w:hAnsi="Gotham Book"/>
        </w:rPr>
        <w:t>critical’ to addressing the issues facing the Registry.</w:t>
      </w:r>
      <w:r w:rsidR="0065179C" w:rsidRPr="004A3983">
        <w:rPr>
          <w:rStyle w:val="FootnoteReference"/>
          <w:rFonts w:ascii="Gotham Book" w:hAnsi="Gotham Book"/>
        </w:rPr>
        <w:footnoteReference w:id="440"/>
      </w:r>
      <w:r w:rsidRPr="004A3983">
        <w:rPr>
          <w:rFonts w:ascii="Gotham Book" w:hAnsi="Gotham Book"/>
        </w:rPr>
        <w:t xml:space="preserve"> The Workforce Intellig</w:t>
      </w:r>
      <w:r w:rsidR="009D7185" w:rsidRPr="004A3983">
        <w:rPr>
          <w:rFonts w:ascii="Gotham Book" w:hAnsi="Gotham Book"/>
        </w:rPr>
        <w:t xml:space="preserve">ence Unit did not consider </w:t>
      </w:r>
      <w:r w:rsidRPr="004A3983">
        <w:rPr>
          <w:rFonts w:ascii="Gotham Book" w:hAnsi="Gotham Book"/>
        </w:rPr>
        <w:t xml:space="preserve">the legal support provided </w:t>
      </w:r>
      <w:r w:rsidR="009D7185" w:rsidRPr="004A3983">
        <w:rPr>
          <w:rFonts w:ascii="Gotham Book" w:hAnsi="Gotham Book"/>
        </w:rPr>
        <w:t xml:space="preserve">to the Registry </w:t>
      </w:r>
      <w:r w:rsidRPr="004A3983">
        <w:rPr>
          <w:rFonts w:ascii="Gotham Book" w:hAnsi="Gotham Book"/>
        </w:rPr>
        <w:t>by two legal officers</w:t>
      </w:r>
      <w:r w:rsidR="009D7185" w:rsidRPr="004A3983">
        <w:rPr>
          <w:rFonts w:ascii="Gotham Book" w:hAnsi="Gotham Book"/>
        </w:rPr>
        <w:t xml:space="preserve"> in the State Crime Command to be sufficient, as both </w:t>
      </w:r>
      <w:r w:rsidRPr="004A3983">
        <w:rPr>
          <w:rFonts w:ascii="Gotham Book" w:hAnsi="Gotham Book"/>
        </w:rPr>
        <w:t xml:space="preserve">those officers </w:t>
      </w:r>
      <w:r w:rsidR="00A163F3" w:rsidRPr="004A3983">
        <w:rPr>
          <w:rFonts w:ascii="Gotham Book" w:hAnsi="Gotham Book"/>
        </w:rPr>
        <w:t xml:space="preserve">also </w:t>
      </w:r>
      <w:r w:rsidRPr="004A3983">
        <w:rPr>
          <w:rFonts w:ascii="Gotham Book" w:hAnsi="Gotham Book"/>
        </w:rPr>
        <w:t>support</w:t>
      </w:r>
      <w:r w:rsidR="00657DAC" w:rsidRPr="004A3983">
        <w:rPr>
          <w:rFonts w:ascii="Gotham Book" w:hAnsi="Gotham Book"/>
        </w:rPr>
        <w:t>ed</w:t>
      </w:r>
      <w:r w:rsidRPr="004A3983">
        <w:rPr>
          <w:rFonts w:ascii="Gotham Book" w:hAnsi="Gotham Book"/>
        </w:rPr>
        <w:t xml:space="preserve"> other squads. </w:t>
      </w:r>
      <w:r w:rsidR="00564204" w:rsidRPr="004A3983">
        <w:rPr>
          <w:rFonts w:ascii="Gotham Book" w:hAnsi="Gotham Book"/>
        </w:rPr>
        <w:t>T</w:t>
      </w:r>
      <w:r w:rsidR="00943134" w:rsidRPr="004A3983">
        <w:rPr>
          <w:rFonts w:ascii="Gotham Book" w:hAnsi="Gotham Book"/>
        </w:rPr>
        <w:t>his led to delays in advice being provided, and reluctance on the part of Registry officers to overload those legal officers with requests for assistance.</w:t>
      </w:r>
      <w:r w:rsidR="00943134" w:rsidRPr="004A3983">
        <w:rPr>
          <w:rStyle w:val="FootnoteReference"/>
          <w:rFonts w:ascii="Gotham Book" w:hAnsi="Gotham Book"/>
        </w:rPr>
        <w:footnoteReference w:id="441"/>
      </w:r>
      <w:r w:rsidR="00943134" w:rsidRPr="004A3983">
        <w:rPr>
          <w:rFonts w:ascii="Gotham Book" w:hAnsi="Gotham Book"/>
        </w:rPr>
        <w:t xml:space="preserve"> </w:t>
      </w:r>
      <w:r w:rsidR="00F16B86" w:rsidRPr="004A3983">
        <w:rPr>
          <w:rFonts w:ascii="Gotham Book" w:hAnsi="Gotham Book"/>
        </w:rPr>
        <w:t>The Wo</w:t>
      </w:r>
      <w:r w:rsidR="009D7185" w:rsidRPr="004A3983">
        <w:rPr>
          <w:rFonts w:ascii="Gotham Book" w:hAnsi="Gotham Book"/>
        </w:rPr>
        <w:t>rkforce Intelligence Unit reported</w:t>
      </w:r>
      <w:r w:rsidR="00F16B86" w:rsidRPr="004A3983">
        <w:rPr>
          <w:rFonts w:ascii="Gotham Book" w:hAnsi="Gotham Book"/>
        </w:rPr>
        <w:t xml:space="preserve"> that:</w:t>
      </w:r>
    </w:p>
    <w:p w14:paraId="6932AAFB" w14:textId="23A728F2" w:rsidR="00F16B86" w:rsidRPr="004A3983" w:rsidRDefault="00F16B86" w:rsidP="00D14727">
      <w:pPr>
        <w:pStyle w:val="Quotesmall1cm"/>
      </w:pPr>
      <w:r w:rsidRPr="004A3983">
        <w:t>Most [Registry] staff interviewed strongly advocated for the provision of dedicated legal support within the structure of the Registry. A dedicated legal officer…whose only functions were to support the activities of the Registry, would improve the time it takes to respond to enquiries and provide better and more consistent quality assessments of reporting periods and registrable offences.</w:t>
      </w:r>
      <w:r w:rsidR="00564204" w:rsidRPr="004A3983">
        <w:rPr>
          <w:rStyle w:val="FootnoteReference"/>
        </w:rPr>
        <w:footnoteReference w:id="442"/>
      </w:r>
    </w:p>
    <w:p w14:paraId="2695C0A8" w14:textId="46E92914" w:rsidR="00F16B86" w:rsidRPr="004A3983" w:rsidRDefault="00F16B86" w:rsidP="00E15D0F">
      <w:pPr>
        <w:widowControl w:val="0"/>
        <w:adjustRightInd w:val="0"/>
        <w:snapToGrid w:val="0"/>
        <w:spacing w:after="160"/>
        <w:ind w:right="-2"/>
        <w:rPr>
          <w:rFonts w:ascii="Gotham Book" w:hAnsi="Gotham Book"/>
        </w:rPr>
      </w:pPr>
      <w:r w:rsidRPr="004A3983">
        <w:rPr>
          <w:rFonts w:ascii="Gotham Book" w:hAnsi="Gotham Book"/>
        </w:rPr>
        <w:t xml:space="preserve">The Workforce Intelligence Unit emphasised the significant amount of legal support needed by Registry officers to interpret and apply the CPOR Act. </w:t>
      </w:r>
      <w:r w:rsidR="00487F05" w:rsidRPr="004A3983">
        <w:rPr>
          <w:rFonts w:ascii="Gotham Book" w:hAnsi="Gotham Book"/>
        </w:rPr>
        <w:t>It stated that due to a lack of capacity, legal officers were not involved in the quality assurance process for creating Register cases, even though this would ‘greatly assist in lowering risks and errors’.</w:t>
      </w:r>
      <w:r w:rsidR="00487F05" w:rsidRPr="004A3983">
        <w:rPr>
          <w:rStyle w:val="FootnoteReference"/>
          <w:rFonts w:ascii="Gotham Book" w:hAnsi="Gotham Book"/>
        </w:rPr>
        <w:footnoteReference w:id="443"/>
      </w:r>
      <w:r w:rsidR="00487F05" w:rsidRPr="004A3983">
        <w:rPr>
          <w:rFonts w:ascii="Gotham Book" w:hAnsi="Gotham Book"/>
        </w:rPr>
        <w:t xml:space="preserve">  </w:t>
      </w:r>
      <w:r w:rsidRPr="004A3983">
        <w:rPr>
          <w:rFonts w:ascii="Gotham Book" w:hAnsi="Gotham Book"/>
        </w:rPr>
        <w:t>It stated that even once a dedicated legal offic</w:t>
      </w:r>
      <w:r w:rsidR="006C65CE" w:rsidRPr="004A3983">
        <w:rPr>
          <w:rFonts w:ascii="Gotham Book" w:hAnsi="Gotham Book"/>
        </w:rPr>
        <w:t>er position was</w:t>
      </w:r>
      <w:r w:rsidRPr="004A3983">
        <w:rPr>
          <w:rFonts w:ascii="Gotham Book" w:hAnsi="Gotham Book"/>
        </w:rPr>
        <w:t xml:space="preserve"> established in the Registry, </w:t>
      </w:r>
      <w:r w:rsidR="00943134" w:rsidRPr="004A3983">
        <w:rPr>
          <w:rFonts w:ascii="Gotham Book" w:hAnsi="Gotham Book"/>
        </w:rPr>
        <w:t xml:space="preserve">the Registry would still require support from the legal officers in the State Crime Command to manage the volume of </w:t>
      </w:r>
      <w:r w:rsidR="00E23126" w:rsidRPr="004A3983">
        <w:rPr>
          <w:rFonts w:ascii="Gotham Book" w:hAnsi="Gotham Book"/>
        </w:rPr>
        <w:t xml:space="preserve">legal </w:t>
      </w:r>
      <w:r w:rsidR="00943134" w:rsidRPr="004A3983">
        <w:rPr>
          <w:rFonts w:ascii="Gotham Book" w:hAnsi="Gotham Book"/>
        </w:rPr>
        <w:t>work.</w:t>
      </w:r>
      <w:r w:rsidR="00E23126" w:rsidRPr="004A3983">
        <w:rPr>
          <w:rStyle w:val="FootnoteReference"/>
          <w:rFonts w:ascii="Gotham Book" w:hAnsi="Gotham Book"/>
        </w:rPr>
        <w:footnoteReference w:id="444"/>
      </w:r>
      <w:r w:rsidRPr="004A3983">
        <w:rPr>
          <w:rFonts w:ascii="Gotham Book" w:hAnsi="Gotham Book"/>
        </w:rPr>
        <w:t xml:space="preserve"> </w:t>
      </w:r>
    </w:p>
    <w:p w14:paraId="69477925" w14:textId="2EBE52C8" w:rsidR="007445C9" w:rsidRPr="004A3983" w:rsidRDefault="00C31B02" w:rsidP="00E15D0F">
      <w:pPr>
        <w:widowControl w:val="0"/>
        <w:adjustRightInd w:val="0"/>
        <w:snapToGrid w:val="0"/>
        <w:spacing w:after="160"/>
        <w:ind w:right="-2"/>
        <w:rPr>
          <w:rFonts w:ascii="Gotham Book" w:hAnsi="Gotham Book"/>
        </w:rPr>
      </w:pPr>
      <w:r w:rsidRPr="004A3983">
        <w:rPr>
          <w:rFonts w:ascii="Gotham Book" w:hAnsi="Gotham Book" w:cs="Times New Roman"/>
        </w:rPr>
        <w:t xml:space="preserve">While </w:t>
      </w:r>
      <w:r w:rsidRPr="004A3983">
        <w:rPr>
          <w:rFonts w:ascii="Gotham Book" w:hAnsi="Gotham Book" w:cs="Arial"/>
        </w:rPr>
        <w:t>a full-time legal officer is currently ‘on loan’ to the Registry from the Prosecutions Command, t</w:t>
      </w:r>
      <w:r w:rsidR="00176B8A" w:rsidRPr="004A3983">
        <w:rPr>
          <w:rFonts w:ascii="Gotham Book" w:hAnsi="Gotham Book" w:cs="Arial"/>
        </w:rPr>
        <w:t xml:space="preserve">he Commission does not consider </w:t>
      </w:r>
      <w:r w:rsidRPr="004A3983">
        <w:rPr>
          <w:rFonts w:ascii="Gotham Book" w:hAnsi="Gotham Book" w:cs="Arial"/>
        </w:rPr>
        <w:t>this to be</w:t>
      </w:r>
      <w:r w:rsidR="00176B8A" w:rsidRPr="004A3983">
        <w:rPr>
          <w:rFonts w:ascii="Gotham Book" w:hAnsi="Gotham Book" w:cs="Arial"/>
        </w:rPr>
        <w:t xml:space="preserve"> adequate to ensure that Registry staff have </w:t>
      </w:r>
      <w:r w:rsidR="00874D04" w:rsidRPr="004A3983">
        <w:rPr>
          <w:rFonts w:ascii="Gotham Book" w:hAnsi="Gotham Book" w:cs="Arial"/>
        </w:rPr>
        <w:t>timely</w:t>
      </w:r>
      <w:r w:rsidR="00487F05" w:rsidRPr="004A3983">
        <w:rPr>
          <w:rFonts w:ascii="Gotham Book" w:hAnsi="Gotham Book" w:cs="Arial"/>
        </w:rPr>
        <w:t xml:space="preserve"> access to expert legal advice</w:t>
      </w:r>
      <w:r w:rsidR="00176B8A" w:rsidRPr="004A3983">
        <w:rPr>
          <w:rFonts w:ascii="Gotham Book" w:hAnsi="Gotham Book" w:cs="Arial"/>
        </w:rPr>
        <w:t xml:space="preserve"> on an ongoing basis.</w:t>
      </w:r>
      <w:r w:rsidRPr="004A3983">
        <w:rPr>
          <w:rFonts w:ascii="Gotham Book" w:hAnsi="Gotham Book"/>
        </w:rPr>
        <w:t xml:space="preserve"> </w:t>
      </w:r>
      <w:r w:rsidR="003A24DC" w:rsidRPr="004A3983">
        <w:rPr>
          <w:rFonts w:ascii="Gotham Book" w:hAnsi="Gotham Book"/>
        </w:rPr>
        <w:t>T</w:t>
      </w:r>
      <w:r w:rsidR="00874D04" w:rsidRPr="004A3983">
        <w:rPr>
          <w:rFonts w:ascii="Gotham Book" w:hAnsi="Gotham Book"/>
        </w:rPr>
        <w:t xml:space="preserve">his </w:t>
      </w:r>
      <w:r w:rsidR="003A24DC" w:rsidRPr="004A3983">
        <w:rPr>
          <w:rFonts w:ascii="Gotham Book" w:hAnsi="Gotham Book"/>
        </w:rPr>
        <w:t>legal officer is also responsible for providing legal support to the Homicide Squad</w:t>
      </w:r>
      <w:r w:rsidR="005965DC" w:rsidRPr="004A3983">
        <w:rPr>
          <w:rFonts w:ascii="Gotham Book" w:hAnsi="Gotham Book"/>
        </w:rPr>
        <w:t>,</w:t>
      </w:r>
      <w:r w:rsidR="003A24DC" w:rsidRPr="004A3983">
        <w:rPr>
          <w:rStyle w:val="FootnoteReference"/>
          <w:rFonts w:ascii="Gotham Book" w:hAnsi="Gotham Book"/>
        </w:rPr>
        <w:footnoteReference w:id="445"/>
      </w:r>
      <w:r w:rsidR="005965DC" w:rsidRPr="004A3983">
        <w:rPr>
          <w:rFonts w:ascii="Gotham Book" w:hAnsi="Gotham Book"/>
        </w:rPr>
        <w:t xml:space="preserve"> and the fact that </w:t>
      </w:r>
      <w:r w:rsidR="001A2BF0" w:rsidRPr="004A3983">
        <w:rPr>
          <w:rFonts w:ascii="Gotham Book" w:hAnsi="Gotham Book"/>
        </w:rPr>
        <w:t xml:space="preserve">the </w:t>
      </w:r>
      <w:r w:rsidR="005965DC" w:rsidRPr="004A3983">
        <w:rPr>
          <w:rFonts w:ascii="Gotham Book" w:hAnsi="Gotham Book"/>
        </w:rPr>
        <w:t xml:space="preserve">officer is ‘on loan’ means that the needs of other </w:t>
      </w:r>
      <w:r w:rsidR="005965DC" w:rsidRPr="004A3983">
        <w:rPr>
          <w:rFonts w:ascii="Gotham Book" w:hAnsi="Gotham Book"/>
        </w:rPr>
        <w:lastRenderedPageBreak/>
        <w:t>squads may in future cause that officer to be reallocated away from the Registry.</w:t>
      </w:r>
      <w:r w:rsidR="00874D04" w:rsidRPr="004A3983">
        <w:rPr>
          <w:rFonts w:ascii="Gotham Book" w:hAnsi="Gotham Book"/>
        </w:rPr>
        <w:t xml:space="preserve"> </w:t>
      </w:r>
    </w:p>
    <w:p w14:paraId="4DC76A67" w14:textId="7A838D82" w:rsidR="00874D04" w:rsidRPr="004A3983" w:rsidRDefault="00FA028B" w:rsidP="00FA028B">
      <w:pPr>
        <w:widowControl w:val="0"/>
        <w:adjustRightInd w:val="0"/>
        <w:snapToGrid w:val="0"/>
        <w:spacing w:after="160"/>
        <w:ind w:right="-2"/>
        <w:rPr>
          <w:rFonts w:ascii="Gotham Book" w:hAnsi="Gotham Book"/>
        </w:rPr>
      </w:pPr>
      <w:r w:rsidRPr="004A3983">
        <w:rPr>
          <w:rFonts w:ascii="Gotham Book" w:hAnsi="Gotham Book"/>
        </w:rPr>
        <w:t>The NSW Police Force in its response to a draft of this final report stated that it ‘</w:t>
      </w:r>
      <w:r w:rsidR="00874D04" w:rsidRPr="004A3983">
        <w:t>agrees the Registry requires ongoing legal support</w:t>
      </w:r>
      <w:r w:rsidRPr="004A3983">
        <w:t>’ but ‘does</w:t>
      </w:r>
      <w:r w:rsidR="00874D04" w:rsidRPr="004A3983">
        <w:t xml:space="preserve"> not want to restrict its legal services delivery model, noting that the Registry is supported by both the Police Prosecutions Command and the Office of the General Counsel</w:t>
      </w:r>
      <w:r w:rsidRPr="004A3983">
        <w:t>’.</w:t>
      </w:r>
      <w:r w:rsidR="00874D04" w:rsidRPr="004A3983">
        <w:rPr>
          <w:rStyle w:val="FootnoteReference"/>
        </w:rPr>
        <w:footnoteReference w:id="446"/>
      </w:r>
    </w:p>
    <w:p w14:paraId="40B871CE" w14:textId="0E232F7F" w:rsidR="00831D7E" w:rsidRPr="004A3983" w:rsidRDefault="00874D04" w:rsidP="00831D7E">
      <w:pPr>
        <w:spacing w:after="160"/>
        <w:rPr>
          <w:rFonts w:ascii="Gotham Book" w:hAnsi="Gotham Book" w:cs="Arial"/>
        </w:rPr>
      </w:pPr>
      <w:r w:rsidRPr="004A3983">
        <w:rPr>
          <w:rFonts w:ascii="Gotham Book" w:hAnsi="Gotham Book" w:cs="Arial"/>
        </w:rPr>
        <w:t xml:space="preserve">The NSW Police Force has </w:t>
      </w:r>
      <w:r w:rsidR="00FA028B" w:rsidRPr="004A3983">
        <w:rPr>
          <w:rFonts w:ascii="Gotham Book" w:hAnsi="Gotham Book" w:cs="Arial"/>
        </w:rPr>
        <w:t>acknowledged that</w:t>
      </w:r>
      <w:r w:rsidRPr="004A3983">
        <w:rPr>
          <w:rFonts w:ascii="Gotham Book" w:hAnsi="Gotham Book" w:cs="Arial"/>
        </w:rPr>
        <w:t xml:space="preserve"> the statutory framework </w:t>
      </w:r>
      <w:r w:rsidR="00C621FD" w:rsidRPr="004A3983">
        <w:rPr>
          <w:rFonts w:ascii="Gotham Book" w:hAnsi="Gotham Book" w:cs="Arial"/>
        </w:rPr>
        <w:t>provided by the CPOR Act is ‘</w:t>
      </w:r>
      <w:r w:rsidRPr="004A3983">
        <w:rPr>
          <w:rFonts w:ascii="Gotham Book" w:hAnsi="Gotham Book" w:cs="Arial"/>
        </w:rPr>
        <w:t>complex, ambiguous, and provides for uncertainty’,</w:t>
      </w:r>
      <w:r w:rsidRPr="004A3983">
        <w:rPr>
          <w:rStyle w:val="FootnoteReference"/>
          <w:rFonts w:ascii="Gotham Book" w:hAnsi="Gotham Book" w:cs="Arial"/>
        </w:rPr>
        <w:footnoteReference w:id="447"/>
      </w:r>
      <w:r w:rsidRPr="004A3983">
        <w:rPr>
          <w:rFonts w:ascii="Gotham Book" w:hAnsi="Gotham Book" w:cs="Arial"/>
        </w:rPr>
        <w:t xml:space="preserve"> </w:t>
      </w:r>
      <w:r w:rsidR="00FA028B" w:rsidRPr="004A3983">
        <w:rPr>
          <w:rFonts w:ascii="Gotham Book" w:hAnsi="Gotham Book" w:cs="Arial"/>
        </w:rPr>
        <w:t>and that</w:t>
      </w:r>
      <w:r w:rsidRPr="004A3983">
        <w:rPr>
          <w:rFonts w:ascii="Gotham Book" w:hAnsi="Gotham Book" w:cs="Arial"/>
        </w:rPr>
        <w:t xml:space="preserve"> the Registry faces ‘significant challenges’ in performing its functions under the current legislation.</w:t>
      </w:r>
      <w:r w:rsidRPr="004A3983">
        <w:rPr>
          <w:rStyle w:val="FootnoteReference"/>
          <w:rFonts w:ascii="Gotham Book" w:hAnsi="Gotham Book" w:cs="Arial"/>
        </w:rPr>
        <w:footnoteReference w:id="448"/>
      </w:r>
      <w:r w:rsidR="00292D38" w:rsidRPr="004A3983">
        <w:rPr>
          <w:rFonts w:ascii="Gotham Book" w:hAnsi="Gotham Book" w:cs="Arial"/>
        </w:rPr>
        <w:t xml:space="preserve"> To ensure that the Registry has guaranteed and ongoing access to the expert legal support it needs to apply such a difficult legal framework, a dedicated legal position, for the reasons given by the Workforce Intelligence Unit, is a necessity.</w:t>
      </w:r>
      <w:r w:rsidR="00831D7E" w:rsidRPr="004A3983">
        <w:rPr>
          <w:rFonts w:ascii="Gotham Book" w:hAnsi="Gotham Book" w:cs="Arial"/>
        </w:rPr>
        <w:t xml:space="preserve"> </w:t>
      </w:r>
    </w:p>
    <w:p w14:paraId="188A4027" w14:textId="53EF074D" w:rsidR="00647DF5" w:rsidRPr="004A3983" w:rsidRDefault="00D34F70" w:rsidP="00292D38">
      <w:pPr>
        <w:spacing w:after="160"/>
        <w:ind w:right="-2"/>
        <w:rPr>
          <w:rFonts w:ascii="Gotham Book" w:hAnsi="Gotham Book" w:cs="Arial"/>
        </w:rPr>
      </w:pPr>
      <w:r w:rsidRPr="004A3983">
        <w:rPr>
          <w:rFonts w:ascii="Gotham Book" w:hAnsi="Gotham Book"/>
        </w:rPr>
        <w:t>The</w:t>
      </w:r>
      <w:r w:rsidR="00292D38" w:rsidRPr="004A3983">
        <w:rPr>
          <w:rFonts w:ascii="Gotham Book" w:hAnsi="Gotham Book"/>
        </w:rPr>
        <w:t xml:space="preserve"> Commission </w:t>
      </w:r>
      <w:r w:rsidRPr="004A3983">
        <w:rPr>
          <w:rFonts w:ascii="Gotham Book" w:hAnsi="Gotham Book"/>
        </w:rPr>
        <w:t xml:space="preserve">recommends that the NSW Police Force establish one (if not more) legal officer positions within the Registry, dedicated solely to supporting Registry staff, and ensure that position is filled as soon as possible. </w:t>
      </w:r>
    </w:p>
    <w:p w14:paraId="5F1DBDC4" w14:textId="5F6B3F64" w:rsidR="00E155A4" w:rsidRPr="004A3983" w:rsidRDefault="004A6CE4" w:rsidP="00540010">
      <w:pPr>
        <w:pStyle w:val="RecommendationHeadings"/>
        <w:spacing w:after="160"/>
      </w:pPr>
      <w:bookmarkStart w:id="421" w:name="_Ref9612678"/>
      <w:bookmarkStart w:id="422" w:name="_Toc22277342"/>
      <w:r w:rsidRPr="004A3983">
        <w:rPr>
          <w:b/>
        </w:rPr>
        <w:t>Establish a d</w:t>
      </w:r>
      <w:r w:rsidR="00E155A4" w:rsidRPr="004A3983">
        <w:rPr>
          <w:b/>
        </w:rPr>
        <w:t>edic</w:t>
      </w:r>
      <w:r w:rsidRPr="004A3983">
        <w:rPr>
          <w:b/>
        </w:rPr>
        <w:t xml:space="preserve">ated legal officer position in </w:t>
      </w:r>
      <w:r w:rsidR="00E155A4" w:rsidRPr="004A3983">
        <w:rPr>
          <w:b/>
        </w:rPr>
        <w:t xml:space="preserve">the </w:t>
      </w:r>
      <w:r w:rsidR="00C1407E" w:rsidRPr="004A3983">
        <w:rPr>
          <w:b/>
        </w:rPr>
        <w:t xml:space="preserve">Child Protection </w:t>
      </w:r>
      <w:r w:rsidR="00E155A4" w:rsidRPr="004A3983">
        <w:rPr>
          <w:b/>
        </w:rPr>
        <w:t>Registry</w:t>
      </w:r>
      <w:r w:rsidR="00E155A4" w:rsidRPr="004A3983">
        <w:t>. The NSW Police Force establish a</w:t>
      </w:r>
      <w:r w:rsidR="000C4C49" w:rsidRPr="004A3983">
        <w:t>t</w:t>
      </w:r>
      <w:r w:rsidR="00E155A4" w:rsidRPr="004A3983">
        <w:t xml:space="preserve"> least one ongoing legal officer position within the Registry that is dedicated solely to supporting Registry staff, and fill that position as a matter of priority.</w:t>
      </w:r>
      <w:bookmarkEnd w:id="421"/>
      <w:bookmarkEnd w:id="422"/>
    </w:p>
    <w:p w14:paraId="0BFE4320" w14:textId="5225ADC5" w:rsidR="000539F5" w:rsidRPr="004A3983" w:rsidRDefault="000539F5" w:rsidP="00E15D0F">
      <w:pPr>
        <w:pStyle w:val="Heading3"/>
        <w:spacing w:after="160"/>
        <w:ind w:right="-2"/>
      </w:pPr>
      <w:bookmarkStart w:id="423" w:name="_Toc8913551"/>
      <w:bookmarkStart w:id="424" w:name="_Toc9428412"/>
      <w:bookmarkStart w:id="425" w:name="_Toc12020364"/>
      <w:bookmarkStart w:id="426" w:name="_Toc14790530"/>
      <w:bookmarkStart w:id="427" w:name="_Toc15478413"/>
      <w:bookmarkStart w:id="428" w:name="_Toc22627812"/>
      <w:r w:rsidRPr="004A3983">
        <w:t>Registrable persons should be provi</w:t>
      </w:r>
      <w:r w:rsidR="00656CF9" w:rsidRPr="004A3983">
        <w:t>ded with the</w:t>
      </w:r>
      <w:r w:rsidR="00D14727">
        <w:t> </w:t>
      </w:r>
      <w:r w:rsidR="00656CF9" w:rsidRPr="004A3983">
        <w:t>basis for decision</w:t>
      </w:r>
      <w:r w:rsidRPr="004A3983">
        <w:t>s about their status and reporting period</w:t>
      </w:r>
      <w:bookmarkEnd w:id="423"/>
      <w:bookmarkEnd w:id="424"/>
      <w:bookmarkEnd w:id="425"/>
      <w:bookmarkEnd w:id="426"/>
      <w:bookmarkEnd w:id="427"/>
      <w:bookmarkEnd w:id="428"/>
    </w:p>
    <w:p w14:paraId="01E0957E" w14:textId="53D5B843" w:rsidR="000539F5" w:rsidRPr="004A3983" w:rsidRDefault="000539F5" w:rsidP="00E15D0F">
      <w:pPr>
        <w:spacing w:after="160"/>
        <w:ind w:right="-2"/>
        <w:rPr>
          <w:rFonts w:ascii="Gotham Book" w:hAnsi="Gotham Book"/>
        </w:rPr>
      </w:pPr>
      <w:r w:rsidRPr="004A3983">
        <w:rPr>
          <w:rFonts w:ascii="Gotham Book" w:hAnsi="Gotham Book"/>
        </w:rPr>
        <w:t xml:space="preserve">The Commission recommends that the NSW Police Force increase the transparency and accountability of its decision-making under the CPOR Act. </w:t>
      </w:r>
    </w:p>
    <w:p w14:paraId="1A7BEA7A" w14:textId="444C0F9E" w:rsidR="000539F5" w:rsidRPr="004A3983" w:rsidRDefault="000539F5" w:rsidP="00E15D0F">
      <w:pPr>
        <w:spacing w:after="160"/>
        <w:ind w:right="-2"/>
        <w:rPr>
          <w:rFonts w:ascii="Gotham Book" w:hAnsi="Gotham Book"/>
        </w:rPr>
      </w:pPr>
      <w:r w:rsidRPr="004A3983">
        <w:rPr>
          <w:rFonts w:ascii="Gotham Book" w:hAnsi="Gotham Book"/>
        </w:rPr>
        <w:t xml:space="preserve">Once the NSW Police Force has determined that an offender is a registrable person under the CPOR Act, it would be beneficial for the NSW Police Force to provide that person with a letter setting out the factual and legal basis upon which </w:t>
      </w:r>
      <w:r w:rsidR="00A335A6" w:rsidRPr="004A3983">
        <w:rPr>
          <w:rFonts w:ascii="Gotham Book" w:hAnsi="Gotham Book"/>
        </w:rPr>
        <w:t>it</w:t>
      </w:r>
      <w:r w:rsidRPr="004A3983">
        <w:rPr>
          <w:rFonts w:ascii="Gotham Book" w:hAnsi="Gotham Book"/>
        </w:rPr>
        <w:t xml:space="preserve"> has concluded they are registrable. The letter should also inform the person of their reporting period, as at the date of the letter, and how that period had been calculated.</w:t>
      </w:r>
      <w:r w:rsidRPr="004A3983">
        <w:rPr>
          <w:rStyle w:val="FootnoteReference"/>
          <w:rFonts w:ascii="Gotham Book" w:hAnsi="Gotham Book"/>
        </w:rPr>
        <w:footnoteReference w:id="449"/>
      </w:r>
      <w:r w:rsidRPr="004A3983">
        <w:rPr>
          <w:rFonts w:ascii="Gotham Book" w:hAnsi="Gotham Book"/>
        </w:rPr>
        <w:t xml:space="preserve"> </w:t>
      </w:r>
    </w:p>
    <w:p w14:paraId="63BE4EFC" w14:textId="04A083F0" w:rsidR="008B2B0C" w:rsidRPr="004A3983" w:rsidRDefault="008B2B0C" w:rsidP="00E15D0F">
      <w:pPr>
        <w:spacing w:after="160"/>
        <w:ind w:right="-2"/>
        <w:rPr>
          <w:rFonts w:ascii="Gotham Book" w:hAnsi="Gotham Book"/>
        </w:rPr>
      </w:pPr>
      <w:r w:rsidRPr="004A3983">
        <w:rPr>
          <w:rFonts w:ascii="Gotham Book" w:hAnsi="Gotham Book"/>
        </w:rPr>
        <w:t>This could be achieved by providing the registrable person with a document very similar to the ‘Child Protection Registry Case Determination’ form that the Registry current</w:t>
      </w:r>
      <w:r w:rsidR="00095D05" w:rsidRPr="004A3983">
        <w:rPr>
          <w:rFonts w:ascii="Gotham Book" w:hAnsi="Gotham Book"/>
        </w:rPr>
        <w:t>ly</w:t>
      </w:r>
      <w:r w:rsidRPr="004A3983">
        <w:rPr>
          <w:rFonts w:ascii="Gotham Book" w:hAnsi="Gotham Book"/>
        </w:rPr>
        <w:t xml:space="preserve"> completes for each new Register case. That f</w:t>
      </w:r>
      <w:r w:rsidR="00B77902" w:rsidRPr="004A3983">
        <w:rPr>
          <w:rFonts w:ascii="Gotham Book" w:hAnsi="Gotham Book"/>
        </w:rPr>
        <w:t xml:space="preserve">orm sets out </w:t>
      </w:r>
      <w:r w:rsidRPr="004A3983">
        <w:rPr>
          <w:rFonts w:ascii="Gotham Book" w:hAnsi="Gotham Book"/>
        </w:rPr>
        <w:t xml:space="preserve">the </w:t>
      </w:r>
      <w:r w:rsidR="00B77902" w:rsidRPr="004A3983">
        <w:rPr>
          <w:rFonts w:ascii="Gotham Book" w:hAnsi="Gotham Book"/>
        </w:rPr>
        <w:t xml:space="preserve">Registry’s understanding of the </w:t>
      </w:r>
      <w:r w:rsidRPr="004A3983">
        <w:rPr>
          <w:rFonts w:ascii="Gotham Book" w:hAnsi="Gotham Book"/>
        </w:rPr>
        <w:t>details of the person’s offending, and which sections of the CPOR Act apply to the person.</w:t>
      </w:r>
    </w:p>
    <w:p w14:paraId="6B792FC1" w14:textId="5BD507C9" w:rsidR="000539F5" w:rsidRPr="004A3983" w:rsidRDefault="000539F5" w:rsidP="00E15D0F">
      <w:pPr>
        <w:spacing w:after="160"/>
        <w:ind w:right="-2"/>
        <w:rPr>
          <w:rFonts w:ascii="Gotham Book" w:hAnsi="Gotham Book"/>
        </w:rPr>
      </w:pPr>
      <w:r w:rsidRPr="004A3983">
        <w:rPr>
          <w:rFonts w:ascii="Gotham Book" w:hAnsi="Gotham Book"/>
        </w:rPr>
        <w:lastRenderedPageBreak/>
        <w:t>This information would enable registrable persons to alert the NSW Police Force to errors in details about their offending, or raise any legal questions regarding interpretation of the Act. It would therefore contribute towards quality assurance.</w:t>
      </w:r>
    </w:p>
    <w:p w14:paraId="2329EA90" w14:textId="77777777" w:rsidR="000539F5" w:rsidRPr="004A3983" w:rsidRDefault="000539F5" w:rsidP="00E15D0F">
      <w:pPr>
        <w:spacing w:after="160"/>
        <w:ind w:right="-2"/>
        <w:rPr>
          <w:rFonts w:ascii="Gotham Book" w:hAnsi="Gotham Book"/>
        </w:rPr>
      </w:pPr>
      <w:r w:rsidRPr="004A3983">
        <w:rPr>
          <w:rFonts w:ascii="Gotham Book" w:hAnsi="Gotham Book"/>
        </w:rPr>
        <w:t>As a matter of principle and good administrative practice, when a decision is made that a person is required to comply with legal obligations which do not apply to other persons, that person should be given the reasons for that decision.</w:t>
      </w:r>
    </w:p>
    <w:p w14:paraId="1A185C13" w14:textId="77777777" w:rsidR="000539F5" w:rsidRPr="004A3983" w:rsidRDefault="000539F5" w:rsidP="00E15D0F">
      <w:pPr>
        <w:spacing w:after="160"/>
        <w:ind w:right="-2"/>
        <w:rPr>
          <w:rFonts w:ascii="Gotham Book" w:hAnsi="Gotham Book" w:cs="Swiss721BT-Light"/>
        </w:rPr>
      </w:pPr>
      <w:r w:rsidRPr="004A3983">
        <w:rPr>
          <w:rFonts w:ascii="Gotham Book" w:hAnsi="Gotham Book"/>
        </w:rPr>
        <w:t>The NSW Ombudsman in its review of the first few years of the Register’s operation noted there was support amongst those stakeholders who made submissions ‘for an enhanced process to allow persons to question or better understand the calculation of their reporting period’</w:t>
      </w:r>
      <w:r w:rsidRPr="004A3983">
        <w:rPr>
          <w:rFonts w:ascii="Gotham Book" w:hAnsi="Gotham Book" w:cs="Swiss721BT-Light"/>
        </w:rPr>
        <w:t>.</w:t>
      </w:r>
      <w:r w:rsidRPr="004A3983">
        <w:rPr>
          <w:rStyle w:val="FootnoteReference"/>
          <w:rFonts w:ascii="Gotham Book" w:hAnsi="Gotham Book" w:cs="Swiss721BT-Light"/>
        </w:rPr>
        <w:footnoteReference w:id="450"/>
      </w:r>
      <w:r w:rsidRPr="004A3983">
        <w:rPr>
          <w:rFonts w:ascii="Gotham Book" w:hAnsi="Gotham Book" w:cs="Swiss721BT-Light"/>
        </w:rPr>
        <w:t xml:space="preserve"> The Ombudsman suggested that if, for example, the initial notification given to a person included information about how their reporting period had been calculated, this may reduce the requests for explanations or recalculations, and therefore have a positive impact on the Registry’s workload.</w:t>
      </w:r>
      <w:r w:rsidRPr="004A3983">
        <w:rPr>
          <w:rStyle w:val="FootnoteReference"/>
          <w:rFonts w:ascii="Gotham Book" w:hAnsi="Gotham Book" w:cs="Swiss721BT-Light"/>
        </w:rPr>
        <w:footnoteReference w:id="451"/>
      </w:r>
      <w:r w:rsidRPr="004A3983">
        <w:rPr>
          <w:rFonts w:ascii="Gotham Book" w:hAnsi="Gotham Book" w:cs="Swiss721BT-Light"/>
        </w:rPr>
        <w:t xml:space="preserve"> </w:t>
      </w:r>
    </w:p>
    <w:p w14:paraId="5C338BCC" w14:textId="55146621" w:rsidR="000539F5" w:rsidRPr="004A3983" w:rsidRDefault="00AE78A8" w:rsidP="00E15D0F">
      <w:pPr>
        <w:pStyle w:val="RecommendationHeadings"/>
        <w:spacing w:after="160"/>
        <w:ind w:right="-2"/>
      </w:pPr>
      <w:bookmarkStart w:id="429" w:name="_Toc22277343"/>
      <w:r w:rsidRPr="004A3983">
        <w:rPr>
          <w:b/>
        </w:rPr>
        <w:t>Provi</w:t>
      </w:r>
      <w:r w:rsidR="00EF2489" w:rsidRPr="004A3983">
        <w:rPr>
          <w:b/>
        </w:rPr>
        <w:t>de</w:t>
      </w:r>
      <w:r w:rsidRPr="004A3983">
        <w:rPr>
          <w:b/>
        </w:rPr>
        <w:t xml:space="preserve"> </w:t>
      </w:r>
      <w:r w:rsidR="00656CF9" w:rsidRPr="004A3983">
        <w:rPr>
          <w:b/>
        </w:rPr>
        <w:t xml:space="preserve">reasons for </w:t>
      </w:r>
      <w:r w:rsidR="00735330" w:rsidRPr="004A3983">
        <w:rPr>
          <w:b/>
        </w:rPr>
        <w:t>decisions</w:t>
      </w:r>
      <w:r w:rsidR="00656CF9" w:rsidRPr="004A3983">
        <w:rPr>
          <w:b/>
        </w:rPr>
        <w:t xml:space="preserve"> under the CPOR Act</w:t>
      </w:r>
      <w:r w:rsidR="00656CF9" w:rsidRPr="004A3983">
        <w:t xml:space="preserve">. </w:t>
      </w:r>
      <w:r w:rsidR="000539F5" w:rsidRPr="004A3983">
        <w:t>The</w:t>
      </w:r>
      <w:r w:rsidR="00D14727">
        <w:t> </w:t>
      </w:r>
      <w:r w:rsidR="000539F5" w:rsidRPr="004A3983">
        <w:t xml:space="preserve">NSW Police Force provide written notification to each person </w:t>
      </w:r>
      <w:r w:rsidR="00AA6A6F" w:rsidRPr="004A3983">
        <w:t>placed on</w:t>
      </w:r>
      <w:r w:rsidR="000539F5" w:rsidRPr="004A3983">
        <w:t xml:space="preserve"> the Register of the basis upon which their status as a registrable person and their reporting period has been determined, including the sections of the CPOR Act </w:t>
      </w:r>
      <w:r w:rsidR="00AA6A6F" w:rsidRPr="004A3983">
        <w:t>relied</w:t>
      </w:r>
      <w:r w:rsidR="00D14727">
        <w:t> </w:t>
      </w:r>
      <w:r w:rsidR="00AA6A6F" w:rsidRPr="004A3983">
        <w:t>on. For persons already o</w:t>
      </w:r>
      <w:r w:rsidR="000539F5" w:rsidRPr="004A3983">
        <w:t>n the Register, this information is to be provided upon request.</w:t>
      </w:r>
      <w:bookmarkEnd w:id="429"/>
    </w:p>
    <w:p w14:paraId="26984313" w14:textId="77777777" w:rsidR="00874547" w:rsidRDefault="000177DF" w:rsidP="00E15D0F">
      <w:pPr>
        <w:spacing w:after="160"/>
        <w:ind w:right="-2"/>
        <w:rPr>
          <w:rFonts w:ascii="Gotham Book" w:hAnsi="Gotham Book"/>
        </w:rPr>
      </w:pPr>
      <w:r w:rsidRPr="00D14727">
        <w:rPr>
          <w:rStyle w:val="Bold"/>
        </w:rPr>
        <w:t>NSW Police Force response to Recommendation 6:</w:t>
      </w:r>
      <w:r w:rsidRPr="004A3983">
        <w:rPr>
          <w:rFonts w:ascii="Gotham Book" w:hAnsi="Gotham Book"/>
          <w:b/>
        </w:rPr>
        <w:t xml:space="preserve"> </w:t>
      </w:r>
      <w:r w:rsidRPr="004A3983">
        <w:rPr>
          <w:rFonts w:ascii="Gotham Book" w:hAnsi="Gotham Book"/>
        </w:rPr>
        <w:t xml:space="preserve">The NSW Police Force stated that it supports this recommendation. </w:t>
      </w:r>
    </w:p>
    <w:p w14:paraId="7846CFF3" w14:textId="77777777" w:rsidR="00D14727" w:rsidRDefault="00D14727" w:rsidP="00E15D0F">
      <w:pPr>
        <w:spacing w:after="160"/>
        <w:ind w:right="-2"/>
        <w:rPr>
          <w:rFonts w:ascii="Gotham Book" w:hAnsi="Gotham Book"/>
        </w:rPr>
      </w:pPr>
    </w:p>
    <w:p w14:paraId="6FAD5451" w14:textId="3A520998" w:rsidR="00D14727" w:rsidRPr="004A3983" w:rsidRDefault="00D14727" w:rsidP="00E15D0F">
      <w:pPr>
        <w:spacing w:after="160"/>
        <w:ind w:right="-2"/>
        <w:rPr>
          <w:rFonts w:ascii="Gotham Book" w:hAnsi="Gotham Book"/>
        </w:rPr>
        <w:sectPr w:rsidR="00D14727" w:rsidRPr="004A3983" w:rsidSect="00C36AFD">
          <w:headerReference w:type="even" r:id="rId51"/>
          <w:headerReference w:type="default" r:id="rId52"/>
          <w:headerReference w:type="first" r:id="rId53"/>
          <w:pgSz w:w="11906" w:h="16838"/>
          <w:pgMar w:top="720" w:right="1276" w:bottom="1418" w:left="1276" w:header="709" w:footer="567" w:gutter="0"/>
          <w:cols w:space="708"/>
          <w:titlePg/>
          <w:docGrid w:linePitch="360"/>
        </w:sectPr>
      </w:pPr>
    </w:p>
    <w:p w14:paraId="0BF9EA21" w14:textId="77777777" w:rsidR="00874547" w:rsidRPr="004A3983" w:rsidRDefault="00874547" w:rsidP="00F03C93">
      <w:pPr>
        <w:spacing w:after="160"/>
        <w:ind w:right="260"/>
      </w:pPr>
    </w:p>
    <w:p w14:paraId="166F2759" w14:textId="263EBC65" w:rsidR="008B1CB3" w:rsidRPr="004A3983" w:rsidRDefault="008B1CB3" w:rsidP="001C3982">
      <w:pPr>
        <w:pStyle w:val="Heading1"/>
        <w:framePr w:wrap="around"/>
      </w:pPr>
      <w:bookmarkStart w:id="430" w:name="_Ref9250310"/>
      <w:bookmarkStart w:id="431" w:name="_Ref9250443"/>
      <w:r w:rsidRPr="004A3983">
        <w:rPr>
          <w:color w:val="auto"/>
        </w:rPr>
        <w:br/>
      </w:r>
      <w:bookmarkStart w:id="432" w:name="_Ref9350160"/>
      <w:bookmarkStart w:id="433" w:name="_Toc22627813"/>
      <w:r w:rsidRPr="004A3983">
        <w:t>Responsibilit</w:t>
      </w:r>
      <w:r w:rsidR="006E699C" w:rsidRPr="004A3983">
        <w:t>i</w:t>
      </w:r>
      <w:r w:rsidRPr="004A3983">
        <w:t>es of courts and</w:t>
      </w:r>
      <w:r w:rsidR="00D14727">
        <w:t> </w:t>
      </w:r>
      <w:r w:rsidRPr="004A3983">
        <w:t>other authorities in relation to the</w:t>
      </w:r>
      <w:r w:rsidR="00D14727">
        <w:t> </w:t>
      </w:r>
      <w:r w:rsidRPr="004A3983">
        <w:t>register</w:t>
      </w:r>
      <w:bookmarkEnd w:id="430"/>
      <w:bookmarkEnd w:id="431"/>
      <w:bookmarkEnd w:id="432"/>
      <w:bookmarkEnd w:id="433"/>
    </w:p>
    <w:p w14:paraId="0E0BD163" w14:textId="77777777" w:rsidR="00874547" w:rsidRPr="004A3983" w:rsidRDefault="00874547" w:rsidP="00F03C93">
      <w:pPr>
        <w:spacing w:after="160"/>
        <w:ind w:right="260"/>
        <w:rPr>
          <w:color w:val="0067A0" w:themeColor="accent1"/>
          <w:sz w:val="29"/>
          <w:szCs w:val="24"/>
        </w:rPr>
      </w:pPr>
      <w:r w:rsidRPr="004A3983">
        <w:br w:type="page"/>
      </w:r>
    </w:p>
    <w:p w14:paraId="00EF44F0" w14:textId="71D50DC3" w:rsidR="00874547" w:rsidRPr="004A3983" w:rsidRDefault="00874547" w:rsidP="003C5904">
      <w:pPr>
        <w:pStyle w:val="Heading2"/>
        <w:spacing w:after="160"/>
        <w:ind w:right="-2"/>
      </w:pPr>
      <w:bookmarkStart w:id="434" w:name="_Toc22627814"/>
      <w:r w:rsidRPr="004A3983">
        <w:lastRenderedPageBreak/>
        <w:t>Introduction</w:t>
      </w:r>
      <w:bookmarkEnd w:id="434"/>
    </w:p>
    <w:p w14:paraId="750C2CB6" w14:textId="1CEFE0A0" w:rsidR="00874547" w:rsidRPr="004A3983" w:rsidRDefault="00874547" w:rsidP="003C5904">
      <w:pPr>
        <w:spacing w:after="160"/>
        <w:ind w:right="-2"/>
        <w:rPr>
          <w:rFonts w:ascii="Gotham Book" w:eastAsia="Source Sans Pro Light" w:hAnsi="Gotham Book" w:cs="ArialMT"/>
        </w:rPr>
      </w:pPr>
      <w:r w:rsidRPr="004A3983">
        <w:rPr>
          <w:rFonts w:ascii="Gotham Book" w:eastAsia="Source Sans Pro Light" w:hAnsi="Gotham Book"/>
        </w:rPr>
        <w:t>The NSW Police Force is not the only organisation that has statutory obligations in relation to the Child Protection Register</w:t>
      </w:r>
      <w:r w:rsidR="00964127" w:rsidRPr="004A3983">
        <w:rPr>
          <w:rFonts w:ascii="Gotham Book" w:eastAsia="Source Sans Pro Light" w:hAnsi="Gotham Book"/>
        </w:rPr>
        <w:t xml:space="preserve"> (the Register)</w:t>
      </w:r>
      <w:r w:rsidRPr="004A3983">
        <w:rPr>
          <w:rFonts w:ascii="Gotham Book" w:eastAsia="Source Sans Pro Light" w:hAnsi="Gotham Book"/>
        </w:rPr>
        <w:t xml:space="preserve">. The </w:t>
      </w:r>
      <w:r w:rsidRPr="004A3983">
        <w:rPr>
          <w:rFonts w:ascii="Gotham Book" w:hAnsi="Gotham Book"/>
          <w:i/>
        </w:rPr>
        <w:t>Child Protection (Offenders Registration) Act 2000</w:t>
      </w:r>
      <w:r w:rsidRPr="004A3983">
        <w:rPr>
          <w:rFonts w:ascii="Gotham Book" w:hAnsi="Gotham Book"/>
        </w:rPr>
        <w:t xml:space="preserve"> </w:t>
      </w:r>
      <w:r w:rsidR="002C59A9" w:rsidRPr="004A3983">
        <w:rPr>
          <w:rFonts w:ascii="Gotham Book" w:hAnsi="Gotham Book"/>
        </w:rPr>
        <w:t xml:space="preserve">(NSW) </w:t>
      </w:r>
      <w:r w:rsidRPr="004A3983">
        <w:rPr>
          <w:rFonts w:ascii="Gotham Book" w:hAnsi="Gotham Book"/>
        </w:rPr>
        <w:t>(</w:t>
      </w:r>
      <w:r w:rsidR="004119C1" w:rsidRPr="004A3983">
        <w:rPr>
          <w:rFonts w:ascii="Gotham Book" w:hAnsi="Gotham Book"/>
        </w:rPr>
        <w:t xml:space="preserve">the </w:t>
      </w:r>
      <w:r w:rsidRPr="004A3983">
        <w:rPr>
          <w:rFonts w:ascii="Gotham Book" w:hAnsi="Gotham Book"/>
        </w:rPr>
        <w:t xml:space="preserve">CPOR Act) and the </w:t>
      </w:r>
      <w:r w:rsidRPr="004A3983">
        <w:rPr>
          <w:rFonts w:ascii="Gotham Book" w:hAnsi="Gotham Book"/>
          <w:i/>
        </w:rPr>
        <w:t>Child Protection (Offenders Registration) Regulation 2015</w:t>
      </w:r>
      <w:r w:rsidRPr="004A3983">
        <w:rPr>
          <w:rFonts w:ascii="Gotham Book" w:hAnsi="Gotham Book"/>
        </w:rPr>
        <w:t xml:space="preserve"> </w:t>
      </w:r>
      <w:r w:rsidR="002C59A9" w:rsidRPr="004A3983">
        <w:rPr>
          <w:rFonts w:ascii="Gotham Book" w:hAnsi="Gotham Book"/>
        </w:rPr>
        <w:t xml:space="preserve">(NSW) </w:t>
      </w:r>
      <w:r w:rsidR="00E70A04" w:rsidRPr="004A3983">
        <w:rPr>
          <w:rFonts w:ascii="Gotham Book" w:hAnsi="Gotham Book"/>
        </w:rPr>
        <w:t>(</w:t>
      </w:r>
      <w:r w:rsidR="004119C1" w:rsidRPr="004A3983">
        <w:rPr>
          <w:rFonts w:ascii="Gotham Book" w:hAnsi="Gotham Book"/>
        </w:rPr>
        <w:t xml:space="preserve">the </w:t>
      </w:r>
      <w:r w:rsidRPr="004A3983">
        <w:rPr>
          <w:rFonts w:ascii="Gotham Book" w:hAnsi="Gotham Book"/>
        </w:rPr>
        <w:t>CPOR Regulation) require courts and ‘supervising authorities’ to assist in the implementation of the Register</w:t>
      </w:r>
      <w:r w:rsidRPr="004A3983">
        <w:rPr>
          <w:rFonts w:ascii="Gotham Book" w:eastAsia="Source Sans Pro Light" w:hAnsi="Gotham Book" w:cs="ArialMT"/>
        </w:rPr>
        <w:t xml:space="preserve">. Supervising authorities include those </w:t>
      </w:r>
      <w:r w:rsidR="004D1EB4" w:rsidRPr="004A3983">
        <w:rPr>
          <w:rFonts w:ascii="Gotham Book" w:eastAsia="Source Sans Pro Light" w:hAnsi="Gotham Book" w:cs="ArialMT"/>
        </w:rPr>
        <w:t>agencies</w:t>
      </w:r>
      <w:r w:rsidRPr="004A3983">
        <w:rPr>
          <w:rFonts w:ascii="Gotham Book" w:eastAsia="Source Sans Pro Light" w:hAnsi="Gotham Book" w:cs="ArialMT"/>
        </w:rPr>
        <w:t xml:space="preserve"> that supervise persons while they are serving their sentence, for example Corrective Services NSW or the Department of Justice.</w:t>
      </w:r>
      <w:r w:rsidRPr="004A3983">
        <w:rPr>
          <w:rStyle w:val="FootnoteReference"/>
          <w:rFonts w:ascii="Gotham Book" w:eastAsia="Source Sans Pro Light" w:hAnsi="Gotham Book" w:cs="ArialMT"/>
        </w:rPr>
        <w:footnoteReference w:id="452"/>
      </w:r>
    </w:p>
    <w:p w14:paraId="2B48889B" w14:textId="1BB84E26" w:rsidR="00874547" w:rsidRPr="004A3983" w:rsidRDefault="00874547" w:rsidP="003C5904">
      <w:pPr>
        <w:spacing w:after="160"/>
        <w:ind w:right="-2"/>
        <w:rPr>
          <w:rFonts w:ascii="Gotham Book" w:eastAsia="Source Sans Pro Light" w:hAnsi="Gotham Book" w:cs="ArialMT"/>
        </w:rPr>
      </w:pPr>
      <w:r w:rsidRPr="004A3983">
        <w:rPr>
          <w:rFonts w:ascii="Gotham Book" w:eastAsia="Source Sans Pro Light" w:hAnsi="Gotham Book" w:cs="ArialMT"/>
        </w:rPr>
        <w:t xml:space="preserve">Under the CPOR Act courts are responsible for notifying the NSW Police Force and other authorities when they sentence a </w:t>
      </w:r>
      <w:r w:rsidR="004D1EB4" w:rsidRPr="004A3983">
        <w:rPr>
          <w:rFonts w:ascii="Gotham Book" w:eastAsia="Source Sans Pro Light" w:hAnsi="Gotham Book" w:cs="ArialMT"/>
        </w:rPr>
        <w:t xml:space="preserve">‘registrable’ </w:t>
      </w:r>
      <w:r w:rsidRPr="004A3983">
        <w:rPr>
          <w:rFonts w:ascii="Gotham Book" w:eastAsia="Source Sans Pro Light" w:hAnsi="Gotham Book" w:cs="ArialMT"/>
        </w:rPr>
        <w:t>person. However, in practice</w:t>
      </w:r>
      <w:r w:rsidR="004D1EB4" w:rsidRPr="004A3983">
        <w:rPr>
          <w:rFonts w:ascii="Gotham Book" w:eastAsia="Source Sans Pro Light" w:hAnsi="Gotham Book" w:cs="ArialMT"/>
        </w:rPr>
        <w:t>, responsibility for determining that a person is</w:t>
      </w:r>
      <w:r w:rsidRPr="004A3983">
        <w:rPr>
          <w:rFonts w:ascii="Gotham Book" w:eastAsia="Source Sans Pro Light" w:hAnsi="Gotham Book" w:cs="ArialMT"/>
        </w:rPr>
        <w:t xml:space="preserve"> </w:t>
      </w:r>
      <w:r w:rsidR="004D1EB4" w:rsidRPr="004A3983">
        <w:rPr>
          <w:rFonts w:ascii="Gotham Book" w:eastAsia="Source Sans Pro Light" w:hAnsi="Gotham Book" w:cs="ArialMT"/>
        </w:rPr>
        <w:t xml:space="preserve">registrable </w:t>
      </w:r>
      <w:r w:rsidRPr="004A3983">
        <w:rPr>
          <w:rFonts w:ascii="Gotham Book" w:eastAsia="Source Sans Pro Light" w:hAnsi="Gotham Book" w:cs="ArialMT"/>
        </w:rPr>
        <w:t xml:space="preserve">has fallen to the NSW Police Force.  Courts and other authorities also have statutory obligations to notify persons about their reporting obligations under the CPOR Act. </w:t>
      </w:r>
    </w:p>
    <w:p w14:paraId="4F39353D" w14:textId="555D8115" w:rsidR="00874547" w:rsidRPr="004A3983" w:rsidRDefault="00874547" w:rsidP="003C5904">
      <w:pPr>
        <w:spacing w:after="160"/>
        <w:ind w:right="-2"/>
        <w:rPr>
          <w:rFonts w:ascii="Gotham Book" w:eastAsia="Source Sans Pro Light" w:hAnsi="Gotham Book" w:cs="ArialMT"/>
        </w:rPr>
      </w:pPr>
      <w:r w:rsidRPr="004A3983">
        <w:rPr>
          <w:rFonts w:ascii="Gotham Book" w:hAnsi="Gotham Book"/>
        </w:rPr>
        <w:t xml:space="preserve">Independent reviews of the CPOR Act </w:t>
      </w:r>
      <w:r w:rsidR="004D1EB4" w:rsidRPr="004A3983">
        <w:rPr>
          <w:rFonts w:ascii="Gotham Book" w:hAnsi="Gotham Book"/>
        </w:rPr>
        <w:t xml:space="preserve">have </w:t>
      </w:r>
      <w:r w:rsidRPr="004A3983">
        <w:rPr>
          <w:rFonts w:ascii="Gotham Book" w:hAnsi="Gotham Book"/>
        </w:rPr>
        <w:t>indicate</w:t>
      </w:r>
      <w:r w:rsidR="004D1EB4" w:rsidRPr="004A3983">
        <w:rPr>
          <w:rFonts w:ascii="Gotham Book" w:hAnsi="Gotham Book"/>
        </w:rPr>
        <w:t>d</w:t>
      </w:r>
      <w:r w:rsidRPr="004A3983">
        <w:rPr>
          <w:rFonts w:ascii="Gotham Book" w:hAnsi="Gotham Book"/>
        </w:rPr>
        <w:t xml:space="preserve"> that there have been problems with the performance of these interagency responsibilities </w:t>
      </w:r>
      <w:r w:rsidR="00A8568F" w:rsidRPr="004A3983">
        <w:rPr>
          <w:rFonts w:ascii="Gotham Book" w:hAnsi="Gotham Book"/>
        </w:rPr>
        <w:t>for</w:t>
      </w:r>
      <w:r w:rsidRPr="004A3983">
        <w:rPr>
          <w:rFonts w:ascii="Gotham Book" w:hAnsi="Gotham Book"/>
        </w:rPr>
        <w:t xml:space="preserve"> many years.</w:t>
      </w:r>
      <w:r w:rsidRPr="004A3983">
        <w:rPr>
          <w:rStyle w:val="FootnoteReference"/>
          <w:rFonts w:ascii="Gotham Book" w:hAnsi="Gotham Book"/>
        </w:rPr>
        <w:footnoteReference w:id="453"/>
      </w:r>
      <w:r w:rsidR="007B5F62" w:rsidRPr="004A3983">
        <w:rPr>
          <w:rFonts w:ascii="Gotham Book" w:hAnsi="Gotham Book"/>
        </w:rPr>
        <w:t xml:space="preserve"> These problems </w:t>
      </w:r>
      <w:r w:rsidRPr="004A3983">
        <w:rPr>
          <w:rFonts w:ascii="Gotham Book" w:hAnsi="Gotham Book"/>
        </w:rPr>
        <w:t>and the impact</w:t>
      </w:r>
      <w:r w:rsidR="007B5F62" w:rsidRPr="004A3983">
        <w:rPr>
          <w:rFonts w:ascii="Gotham Book" w:hAnsi="Gotham Book"/>
        </w:rPr>
        <w:t xml:space="preserve"> they have had</w:t>
      </w:r>
      <w:r w:rsidRPr="004A3983">
        <w:rPr>
          <w:rFonts w:ascii="Gotham Book" w:hAnsi="Gotham Book"/>
        </w:rPr>
        <w:t xml:space="preserve"> on the workload of the Child Protection Registry are discussed in this chapter.</w:t>
      </w:r>
    </w:p>
    <w:p w14:paraId="32D4DD23" w14:textId="7D26A9EE" w:rsidR="00874547" w:rsidRPr="004A3983" w:rsidRDefault="00874547" w:rsidP="003C5904">
      <w:pPr>
        <w:spacing w:after="160"/>
        <w:ind w:right="-2"/>
        <w:rPr>
          <w:rFonts w:ascii="Gotham Book" w:hAnsi="Gotham Book"/>
        </w:rPr>
      </w:pPr>
      <w:r w:rsidRPr="004A3983">
        <w:rPr>
          <w:rFonts w:ascii="Gotham Book" w:hAnsi="Gotham Book"/>
        </w:rPr>
        <w:t xml:space="preserve">Throughout Operation Tusket we have worked with the NSW Police Force to facilitate interim solutions to some of the problems encountered by Registry staff created by the breakdown in performance of interagency responsibilities. These interim solutions are outlined in this chapter and we make recommendations regarding interagency governance arrangements in </w:t>
      </w:r>
      <w:r w:rsidR="006D3B7A" w:rsidRPr="004A3983">
        <w:rPr>
          <w:rFonts w:ascii="Gotham Book" w:hAnsi="Gotham Book"/>
        </w:rPr>
        <w:t>C</w:t>
      </w:r>
      <w:r w:rsidR="00141F1A" w:rsidRPr="004A3983">
        <w:rPr>
          <w:rFonts w:ascii="Gotham Book" w:hAnsi="Gotham Book"/>
        </w:rPr>
        <w:t xml:space="preserve">hapter </w:t>
      </w:r>
      <w:r w:rsidR="004E38CE" w:rsidRPr="004A3983">
        <w:rPr>
          <w:rFonts w:ascii="Gotham Book" w:hAnsi="Gotham Book"/>
        </w:rPr>
        <w:fldChar w:fldCharType="begin"/>
      </w:r>
      <w:r w:rsidR="004E38CE" w:rsidRPr="004A3983">
        <w:rPr>
          <w:rFonts w:ascii="Gotham Book" w:hAnsi="Gotham Book"/>
        </w:rPr>
        <w:instrText xml:space="preserve"> REF _Ref9615727 \r \h </w:instrText>
      </w:r>
      <w:r w:rsidR="007B5F62" w:rsidRPr="004A3983">
        <w:rPr>
          <w:rFonts w:ascii="Gotham Book" w:hAnsi="Gotham Book"/>
        </w:rPr>
        <w:instrText xml:space="preserve"> \* MERGEFORMAT </w:instrText>
      </w:r>
      <w:r w:rsidR="004E38CE" w:rsidRPr="004A3983">
        <w:rPr>
          <w:rFonts w:ascii="Gotham Book" w:hAnsi="Gotham Book"/>
        </w:rPr>
      </w:r>
      <w:r w:rsidR="004E38CE" w:rsidRPr="004A3983">
        <w:rPr>
          <w:rFonts w:ascii="Gotham Book" w:hAnsi="Gotham Book"/>
        </w:rPr>
        <w:fldChar w:fldCharType="separate"/>
      </w:r>
      <w:r w:rsidR="00022664">
        <w:rPr>
          <w:rFonts w:ascii="Gotham Book" w:hAnsi="Gotham Book" w:hint="cs"/>
          <w:cs/>
        </w:rPr>
        <w:t>‎</w:t>
      </w:r>
      <w:r w:rsidR="00022664">
        <w:rPr>
          <w:rFonts w:ascii="Gotham Book" w:hAnsi="Gotham Book"/>
        </w:rPr>
        <w:t>9</w:t>
      </w:r>
      <w:r w:rsidR="004E38CE" w:rsidRPr="004A3983">
        <w:rPr>
          <w:rFonts w:ascii="Gotham Book" w:hAnsi="Gotham Book"/>
        </w:rPr>
        <w:fldChar w:fldCharType="end"/>
      </w:r>
      <w:r w:rsidRPr="004A3983">
        <w:rPr>
          <w:rFonts w:ascii="Gotham Book" w:hAnsi="Gotham Book"/>
        </w:rPr>
        <w:t xml:space="preserve">. </w:t>
      </w:r>
    </w:p>
    <w:p w14:paraId="2B344BFA" w14:textId="4646B439" w:rsidR="00874547" w:rsidRPr="004A3983" w:rsidRDefault="00B02215" w:rsidP="003C5904">
      <w:pPr>
        <w:spacing w:after="160"/>
        <w:ind w:right="-2"/>
        <w:rPr>
          <w:rFonts w:cs="Arial"/>
        </w:rPr>
      </w:pPr>
      <w:r w:rsidRPr="004A3983">
        <w:rPr>
          <w:rFonts w:ascii="Gotham Book" w:hAnsi="Gotham Book"/>
        </w:rPr>
        <w:t>Ultimately,</w:t>
      </w:r>
      <w:r w:rsidR="00874547" w:rsidRPr="004A3983">
        <w:rPr>
          <w:rFonts w:ascii="Gotham Book" w:hAnsi="Gotham Book" w:cs="Arial"/>
        </w:rPr>
        <w:t xml:space="preserve"> the </w:t>
      </w:r>
      <w:r w:rsidR="00A53A56" w:rsidRPr="004A3983">
        <w:rPr>
          <w:rFonts w:ascii="Gotham Book" w:hAnsi="Gotham Book" w:cs="Arial"/>
        </w:rPr>
        <w:t xml:space="preserve">respective </w:t>
      </w:r>
      <w:r w:rsidR="00874547" w:rsidRPr="004A3983">
        <w:rPr>
          <w:rFonts w:ascii="Gotham Book" w:hAnsi="Gotham Book" w:cs="Arial"/>
        </w:rPr>
        <w:t>role</w:t>
      </w:r>
      <w:r w:rsidRPr="004A3983">
        <w:rPr>
          <w:rFonts w:ascii="Gotham Book" w:hAnsi="Gotham Book" w:cs="Arial"/>
        </w:rPr>
        <w:t>s</w:t>
      </w:r>
      <w:r w:rsidR="00874547" w:rsidRPr="004A3983">
        <w:rPr>
          <w:rFonts w:ascii="Gotham Book" w:hAnsi="Gotham Book" w:cs="Arial"/>
        </w:rPr>
        <w:t xml:space="preserve"> of the courts</w:t>
      </w:r>
      <w:r w:rsidR="005B5239" w:rsidRPr="004A3983">
        <w:rPr>
          <w:rFonts w:ascii="Gotham Book" w:hAnsi="Gotham Book" w:cs="Arial"/>
        </w:rPr>
        <w:t>, the NSW Police Force</w:t>
      </w:r>
      <w:r w:rsidR="00874547" w:rsidRPr="004A3983">
        <w:rPr>
          <w:rFonts w:ascii="Gotham Book" w:hAnsi="Gotham Book" w:cs="Arial"/>
        </w:rPr>
        <w:t xml:space="preserve"> and </w:t>
      </w:r>
      <w:r w:rsidR="00863075" w:rsidRPr="004A3983">
        <w:rPr>
          <w:rFonts w:ascii="Gotham Book" w:hAnsi="Gotham Book" w:cs="Arial"/>
        </w:rPr>
        <w:t xml:space="preserve">supervising </w:t>
      </w:r>
      <w:r w:rsidR="00874547" w:rsidRPr="004A3983">
        <w:rPr>
          <w:rFonts w:ascii="Gotham Book" w:hAnsi="Gotham Book" w:cs="Arial"/>
        </w:rPr>
        <w:t xml:space="preserve">authorities in relation to the </w:t>
      </w:r>
      <w:r w:rsidR="003651F0" w:rsidRPr="004A3983">
        <w:rPr>
          <w:rFonts w:ascii="Gotham Book" w:hAnsi="Gotham Book" w:cs="Arial"/>
        </w:rPr>
        <w:t xml:space="preserve">maintenance of the </w:t>
      </w:r>
      <w:r w:rsidR="00874547" w:rsidRPr="004A3983">
        <w:rPr>
          <w:rFonts w:ascii="Gotham Book" w:hAnsi="Gotham Book" w:cs="Arial"/>
        </w:rPr>
        <w:t xml:space="preserve">Register need to be reconsidered as part of the comprehensive legislative review of the CPOR Act that we recommend in </w:t>
      </w:r>
      <w:r w:rsidR="004E38CE" w:rsidRPr="004A3983">
        <w:rPr>
          <w:rFonts w:ascii="Gotham Book" w:hAnsi="Gotham Book" w:cs="Arial"/>
        </w:rPr>
        <w:t xml:space="preserve">Chapter </w:t>
      </w:r>
      <w:r w:rsidR="004E38CE" w:rsidRPr="004A3983">
        <w:rPr>
          <w:rFonts w:ascii="Gotham Book" w:hAnsi="Gotham Book" w:cs="Arial"/>
        </w:rPr>
        <w:fldChar w:fldCharType="begin"/>
      </w:r>
      <w:r w:rsidR="004E38CE" w:rsidRPr="004A3983">
        <w:rPr>
          <w:rFonts w:ascii="Gotham Book" w:hAnsi="Gotham Book" w:cs="Arial"/>
        </w:rPr>
        <w:instrText xml:space="preserve"> REF _Ref9350149 \r \h </w:instrText>
      </w:r>
      <w:r w:rsidR="007B5F62" w:rsidRPr="004A3983">
        <w:rPr>
          <w:rFonts w:ascii="Gotham Book" w:hAnsi="Gotham Book" w:cs="Arial"/>
        </w:rPr>
        <w:instrText xml:space="preserve"> \* MERGEFORMAT </w:instrText>
      </w:r>
      <w:r w:rsidR="004E38CE" w:rsidRPr="004A3983">
        <w:rPr>
          <w:rFonts w:ascii="Gotham Book" w:hAnsi="Gotham Book" w:cs="Arial"/>
        </w:rPr>
      </w:r>
      <w:r w:rsidR="004E38CE" w:rsidRPr="004A3983">
        <w:rPr>
          <w:rFonts w:ascii="Gotham Book" w:hAnsi="Gotham Book" w:cs="Arial"/>
        </w:rPr>
        <w:fldChar w:fldCharType="separate"/>
      </w:r>
      <w:r w:rsidR="00022664">
        <w:rPr>
          <w:rFonts w:ascii="Gotham Book" w:hAnsi="Gotham Book" w:cs="Arial" w:hint="cs"/>
          <w:cs/>
        </w:rPr>
        <w:t>‎</w:t>
      </w:r>
      <w:r w:rsidR="00022664">
        <w:rPr>
          <w:rFonts w:ascii="Gotham Book" w:hAnsi="Gotham Book" w:cs="Arial"/>
        </w:rPr>
        <w:t>6</w:t>
      </w:r>
      <w:r w:rsidR="004E38CE" w:rsidRPr="004A3983">
        <w:rPr>
          <w:rFonts w:ascii="Gotham Book" w:hAnsi="Gotham Book" w:cs="Arial"/>
        </w:rPr>
        <w:fldChar w:fldCharType="end"/>
      </w:r>
      <w:r w:rsidR="00874547" w:rsidRPr="004A3983">
        <w:rPr>
          <w:rFonts w:ascii="Gotham Book" w:hAnsi="Gotham Book" w:cs="Arial"/>
        </w:rPr>
        <w:t xml:space="preserve">. </w:t>
      </w:r>
    </w:p>
    <w:p w14:paraId="287BFF91" w14:textId="2DF71518" w:rsidR="00AF13F7" w:rsidRPr="004A3983" w:rsidRDefault="00AF13F7" w:rsidP="003C5904">
      <w:pPr>
        <w:pStyle w:val="Heading2"/>
        <w:spacing w:after="160"/>
        <w:ind w:right="-2"/>
      </w:pPr>
      <w:bookmarkStart w:id="435" w:name="_Ref9429882"/>
      <w:bookmarkStart w:id="436" w:name="_Toc22627815"/>
      <w:r w:rsidRPr="004A3983">
        <w:t>Courts’ obligations to inform the NSW Police Force and other authorities that a registrable person has been sentenced</w:t>
      </w:r>
      <w:bookmarkEnd w:id="435"/>
      <w:bookmarkEnd w:id="436"/>
      <w:r w:rsidRPr="004A3983">
        <w:t xml:space="preserve"> </w:t>
      </w:r>
    </w:p>
    <w:p w14:paraId="608F82B6" w14:textId="6DB25F7F" w:rsidR="00AF13F7" w:rsidRPr="004A3983" w:rsidRDefault="00AF13F7" w:rsidP="003C5904">
      <w:pPr>
        <w:spacing w:after="160"/>
        <w:ind w:right="-2"/>
        <w:rPr>
          <w:rFonts w:ascii="Gotham Book" w:hAnsi="Gotham Book"/>
        </w:rPr>
      </w:pPr>
      <w:r w:rsidRPr="004A3983">
        <w:rPr>
          <w:rFonts w:ascii="Gotham Book" w:hAnsi="Gotham Book"/>
        </w:rPr>
        <w:t>The CPOR Act does not expressly give any agency or authority responsibility for determining whether a particular offender is a registrable person, or for deciding which reporting period applies to them under the CPOR Act.</w:t>
      </w:r>
    </w:p>
    <w:p w14:paraId="31812119" w14:textId="6F9B9ABA" w:rsidR="00AF13F7" w:rsidRPr="004A3983" w:rsidRDefault="00AF13F7" w:rsidP="003C5904">
      <w:pPr>
        <w:autoSpaceDE w:val="0"/>
        <w:autoSpaceDN w:val="0"/>
        <w:adjustRightInd w:val="0"/>
        <w:spacing w:after="160"/>
        <w:ind w:right="-2"/>
        <w:rPr>
          <w:rFonts w:ascii="Gotham Book" w:eastAsia="Source Sans Pro Light" w:hAnsi="Gotham Book" w:cs="ArialMT"/>
        </w:rPr>
      </w:pPr>
      <w:r w:rsidRPr="004A3983">
        <w:rPr>
          <w:rFonts w:ascii="Gotham Book" w:eastAsia="Source Sans Pro Light" w:hAnsi="Gotham Book" w:cs="ArialMT"/>
        </w:rPr>
        <w:t>However, s 4 of the CPOR Act requires the court that sentences a person for a registrable offence (the ‘sentencing court’) to notify the Commissioner of Police that it has done so, ‘as soon as practicable’ after the sentencing.</w:t>
      </w:r>
      <w:r w:rsidRPr="004A3983">
        <w:rPr>
          <w:rStyle w:val="FootnoteReference"/>
          <w:rFonts w:ascii="Gotham Book" w:eastAsia="Source Sans Pro Light" w:hAnsi="Gotham Book" w:cs="ArialMT"/>
        </w:rPr>
        <w:footnoteReference w:id="454"/>
      </w:r>
      <w:r w:rsidRPr="004A3983">
        <w:rPr>
          <w:rFonts w:ascii="Gotham Book" w:eastAsia="Source Sans Pro Light" w:hAnsi="Gotham Book" w:cs="ArialMT"/>
        </w:rPr>
        <w:t xml:space="preserve"> Section 4 also requires the sentencing court to notify the person’s ‘supervising authority’, and provide </w:t>
      </w:r>
      <w:r w:rsidRPr="004A3983">
        <w:rPr>
          <w:rFonts w:ascii="Gotham Book" w:eastAsia="Source Sans Pro Light" w:hAnsi="Gotham Book" w:cs="ArialMT"/>
        </w:rPr>
        <w:lastRenderedPageBreak/>
        <w:t>written notification to the registrable person themselves of their reporting obligations under the CPOR Act.</w:t>
      </w:r>
      <w:r w:rsidRPr="004A3983">
        <w:rPr>
          <w:rStyle w:val="FootnoteReference"/>
          <w:rFonts w:ascii="Gotham Book" w:eastAsia="Source Sans Pro Light" w:hAnsi="Gotham Book" w:cs="ArialMT"/>
        </w:rPr>
        <w:footnoteReference w:id="455"/>
      </w:r>
      <w:r w:rsidRPr="004A3983">
        <w:rPr>
          <w:rFonts w:ascii="Gotham Book" w:eastAsia="Source Sans Pro Light" w:hAnsi="Gotham Book" w:cs="ArialMT"/>
        </w:rPr>
        <w:t xml:space="preserve"> </w:t>
      </w:r>
    </w:p>
    <w:p w14:paraId="35378211" w14:textId="0C6B1C6D" w:rsidR="00AF13F7" w:rsidRPr="004A3983" w:rsidRDefault="00AF13F7" w:rsidP="003C5904">
      <w:pPr>
        <w:autoSpaceDE w:val="0"/>
        <w:autoSpaceDN w:val="0"/>
        <w:adjustRightInd w:val="0"/>
        <w:spacing w:after="160"/>
        <w:ind w:right="-2"/>
        <w:rPr>
          <w:rFonts w:ascii="Gotham Book" w:eastAsia="Source Sans Pro Light" w:hAnsi="Gotham Book" w:cs="ArialMT"/>
        </w:rPr>
      </w:pPr>
      <w:r w:rsidRPr="004A3983">
        <w:rPr>
          <w:rFonts w:ascii="Gotham Book" w:eastAsia="Source Sans Pro Light" w:hAnsi="Gotham Book" w:cs="ArialMT"/>
        </w:rPr>
        <w:t xml:space="preserve">Parliament did not intend judicial officers to have a role in deciding whether or not a person was a ‘registrable person’ under the CPOR Act. In 2001, the Minister for Police stated during parliamentary debate about the CPOR Act (prior </w:t>
      </w:r>
      <w:r w:rsidR="0037633C" w:rsidRPr="004A3983">
        <w:rPr>
          <w:rFonts w:ascii="Gotham Book" w:eastAsia="Source Sans Pro Light" w:hAnsi="Gotham Book" w:cs="ArialMT"/>
        </w:rPr>
        <w:t>to the Act actually commencing):</w:t>
      </w:r>
      <w:r w:rsidRPr="004A3983">
        <w:rPr>
          <w:rFonts w:ascii="Gotham Book" w:eastAsia="Source Sans Pro Light" w:hAnsi="Gotham Book" w:cs="ArialMT"/>
        </w:rPr>
        <w:t xml:space="preserve"> </w:t>
      </w:r>
    </w:p>
    <w:p w14:paraId="7BB73B58" w14:textId="19EB29E1" w:rsidR="00AF13F7" w:rsidRPr="004A3983" w:rsidRDefault="00AF13F7" w:rsidP="007F69F3">
      <w:pPr>
        <w:pStyle w:val="Quotesmall1cm"/>
      </w:pPr>
      <w:r w:rsidRPr="004A3983">
        <w:t>The Act creates a system under which a person's registrable person status or registration period is not a matter for determination by the courts. Rather, these matters flow automatically from a finding of guilt, subject to very low sentencing thresholds being met, and the offender's overall registrable offence record. The role of the courts is simply to inform registrable persons of their obligations under the Act, with this being done by the administrative arm of the courts, rather than by the judiciary.</w:t>
      </w:r>
      <w:r w:rsidRPr="004A3983">
        <w:rPr>
          <w:rStyle w:val="FootnoteReference"/>
          <w:rFonts w:eastAsia="Source Sans Pro Light" w:cs="Times New Roman"/>
        </w:rPr>
        <w:footnoteReference w:id="456"/>
      </w:r>
      <w:r w:rsidRPr="004A3983">
        <w:t xml:space="preserve"> </w:t>
      </w:r>
    </w:p>
    <w:p w14:paraId="4476B47E" w14:textId="4AB98007" w:rsidR="00AF13F7" w:rsidRPr="004A3983" w:rsidRDefault="00AF13F7" w:rsidP="003C5904">
      <w:pPr>
        <w:spacing w:after="160"/>
        <w:ind w:right="-2"/>
        <w:rPr>
          <w:rFonts w:ascii="Gotham Book" w:eastAsia="Source Sans Pro Light" w:hAnsi="Gotham Book" w:cs="ArialMT"/>
        </w:rPr>
      </w:pPr>
      <w:r w:rsidRPr="004A3983">
        <w:rPr>
          <w:rFonts w:ascii="Gotham Book" w:eastAsia="Source Sans Pro Light" w:hAnsi="Gotham Book" w:cs="ArialMT"/>
        </w:rPr>
        <w:t>Unfortunatel</w:t>
      </w:r>
      <w:r w:rsidR="0088353C" w:rsidRPr="004A3983">
        <w:rPr>
          <w:rFonts w:ascii="Gotham Book" w:eastAsia="Source Sans Pro Light" w:hAnsi="Gotham Book" w:cs="ArialMT"/>
        </w:rPr>
        <w:t>y</w:t>
      </w:r>
      <w:r w:rsidRPr="004A3983">
        <w:rPr>
          <w:rFonts w:ascii="Gotham Book" w:eastAsia="Source Sans Pro Light" w:hAnsi="Gotham Book" w:cs="ArialMT"/>
        </w:rPr>
        <w:t xml:space="preserve"> it became clear early </w:t>
      </w:r>
      <w:r w:rsidR="0088353C" w:rsidRPr="004A3983">
        <w:rPr>
          <w:rFonts w:ascii="Gotham Book" w:eastAsia="Source Sans Pro Light" w:hAnsi="Gotham Book" w:cs="ArialMT"/>
        </w:rPr>
        <w:t>on</w:t>
      </w:r>
      <w:r w:rsidRPr="004A3983">
        <w:rPr>
          <w:rFonts w:ascii="Gotham Book" w:eastAsia="Source Sans Pro Light" w:hAnsi="Gotham Book" w:cs="ArialMT"/>
        </w:rPr>
        <w:t xml:space="preserve"> that interpreting and applying the provisions of the CPOR Act to identify who was a registrable person was not a simple exercise. In many cases it required the consideration of a significant amount of information and the exercise of judgement, and could not merely ‘flow automatically from a finding of guilt’. </w:t>
      </w:r>
    </w:p>
    <w:p w14:paraId="594E552F" w14:textId="717A1769" w:rsidR="00AF13F7" w:rsidRPr="004A3983" w:rsidRDefault="00AF13F7" w:rsidP="003C5904">
      <w:pPr>
        <w:spacing w:after="160"/>
        <w:ind w:right="-2"/>
        <w:rPr>
          <w:rFonts w:ascii="Gotham Book" w:eastAsia="Source Sans Pro Light" w:hAnsi="Gotham Book" w:cs="ArialMT"/>
        </w:rPr>
      </w:pPr>
      <w:r w:rsidRPr="004A3983">
        <w:rPr>
          <w:rFonts w:ascii="Gotham Book" w:eastAsia="Source Sans Pro Light" w:hAnsi="Gotham Book" w:cs="ArialMT"/>
        </w:rPr>
        <w:t>In 2003 the NSW Ombudsman initiated a review of the first two years of operation of the Register.</w:t>
      </w:r>
      <w:r w:rsidRPr="004A3983">
        <w:rPr>
          <w:rStyle w:val="FootnoteReference"/>
          <w:rFonts w:ascii="Gotham Book" w:eastAsia="Source Sans Pro Light" w:hAnsi="Gotham Book" w:cs="ArialMT"/>
        </w:rPr>
        <w:footnoteReference w:id="457"/>
      </w:r>
      <w:r w:rsidRPr="004A3983">
        <w:rPr>
          <w:rFonts w:ascii="Gotham Book" w:eastAsia="Source Sans Pro Light" w:hAnsi="Gotham Book" w:cs="ArialMT"/>
        </w:rPr>
        <w:t xml:space="preserve"> The Director of Local Courts in her submission to the Ombudsman acknowledged there was ‘a high incidence of written notification not being provided to registrable persons at the time a relevant sentence is imposed’.</w:t>
      </w:r>
      <w:r w:rsidRPr="004A3983">
        <w:rPr>
          <w:rStyle w:val="FootnoteReference"/>
          <w:rFonts w:ascii="Gotham Book" w:eastAsia="Source Sans Pro Light" w:hAnsi="Gotham Book" w:cs="ArialMT"/>
        </w:rPr>
        <w:footnoteReference w:id="458"/>
      </w:r>
      <w:r w:rsidRPr="004A3983">
        <w:rPr>
          <w:rFonts w:ascii="Gotham Book" w:eastAsia="Source Sans Pro Light" w:hAnsi="Gotham Book" w:cs="ArialMT"/>
        </w:rPr>
        <w:t xml:space="preserve"> She submitted that one of the main reasons for the courts’ difficulties in notifying registrable persons of their obligations was the ‘complex criterion applying to registrable persons’.</w:t>
      </w:r>
      <w:r w:rsidRPr="004A3983">
        <w:rPr>
          <w:rStyle w:val="FootnoteReference"/>
          <w:rFonts w:ascii="Gotham Book" w:eastAsia="Source Sans Pro Light" w:hAnsi="Gotham Book" w:cs="ArialMT"/>
        </w:rPr>
        <w:footnoteReference w:id="459"/>
      </w:r>
      <w:r w:rsidRPr="004A3983">
        <w:rPr>
          <w:rFonts w:ascii="Gotham Book" w:eastAsia="Source Sans Pro Light" w:hAnsi="Gotham Book" w:cs="ArialMT"/>
        </w:rPr>
        <w:t xml:space="preserve"> The Director further submitted that:</w:t>
      </w:r>
    </w:p>
    <w:p w14:paraId="4460C9B9" w14:textId="752BADA2" w:rsidR="00AF13F7" w:rsidRPr="004A3983" w:rsidRDefault="00963B9C" w:rsidP="007F69F3">
      <w:pPr>
        <w:pStyle w:val="Quotesmall1cm"/>
      </w:pPr>
      <w:r w:rsidRPr="004A3983">
        <w:t>[</w:t>
      </w:r>
      <w:r w:rsidR="003C7A46" w:rsidRPr="004A3983">
        <w:t>c</w:t>
      </w:r>
      <w:r w:rsidR="00AF13F7" w:rsidRPr="004A3983">
        <w:t>ourt registry</w:t>
      </w:r>
      <w:r w:rsidRPr="004A3983">
        <w:t xml:space="preserve"> staff]</w:t>
      </w:r>
      <w:r w:rsidR="00AF13F7" w:rsidRPr="004A3983">
        <w:t xml:space="preserve"> must have regard to a variety of factors including the nature of the offence, the age of the victim, the existence of previous relevant convictions and the nature of the sentence imposed. The complexity of the interplay of these factors precludes any automatic electronic flag being created on case management systems to identify offenders as registrable persons.</w:t>
      </w:r>
      <w:r w:rsidR="00AF13F7" w:rsidRPr="004A3983">
        <w:rPr>
          <w:rStyle w:val="FootnoteReference"/>
        </w:rPr>
        <w:footnoteReference w:id="460"/>
      </w:r>
    </w:p>
    <w:p w14:paraId="186008C9" w14:textId="1B7E6DDC" w:rsidR="00AF13F7" w:rsidRPr="004A3983" w:rsidRDefault="00AF13F7" w:rsidP="003C5904">
      <w:pPr>
        <w:spacing w:after="160"/>
        <w:ind w:right="-2"/>
        <w:rPr>
          <w:rFonts w:ascii="Gotham Book" w:eastAsia="Source Sans Pro Light" w:hAnsi="Gotham Book" w:cs="ArialMT"/>
        </w:rPr>
      </w:pPr>
      <w:r w:rsidRPr="004A3983">
        <w:rPr>
          <w:rFonts w:ascii="Gotham Book" w:eastAsia="Source Sans Pro Light" w:hAnsi="Gotham Book" w:cs="ArialMT"/>
        </w:rPr>
        <w:t>The Director of Local Courts raised the argument that:</w:t>
      </w:r>
    </w:p>
    <w:p w14:paraId="5967266F" w14:textId="5C493F87" w:rsidR="00AF13F7" w:rsidRPr="004A3983" w:rsidRDefault="00AF13F7" w:rsidP="007F69F3">
      <w:pPr>
        <w:pStyle w:val="Quotesmall1cm"/>
      </w:pPr>
      <w:r w:rsidRPr="004A3983">
        <w:t>… there is an ‘inherent incongruity’ in a situation that removes judicial officers from involvement in advising of registration obligations, but that retains the requirement for sentencing courts…this, combined with the complexity of the assessment process, creates an unreasonable burden for [court registry] staff.</w:t>
      </w:r>
      <w:r w:rsidRPr="004A3983">
        <w:rPr>
          <w:rStyle w:val="FootnoteReference"/>
          <w:rFonts w:cs="Swiss721BT-Light"/>
          <w:color w:val="000000"/>
        </w:rPr>
        <w:footnoteReference w:id="461"/>
      </w:r>
    </w:p>
    <w:p w14:paraId="07E8A2AF" w14:textId="25F7137B" w:rsidR="00AF13F7" w:rsidRPr="004A3983" w:rsidRDefault="00AF13F7" w:rsidP="003C5904">
      <w:pPr>
        <w:spacing w:after="160"/>
        <w:ind w:right="-2"/>
        <w:rPr>
          <w:rFonts w:ascii="Gotham Book" w:eastAsia="Source Sans Pro Light" w:hAnsi="Gotham Book" w:cs="ArialMT"/>
        </w:rPr>
      </w:pPr>
      <w:r w:rsidRPr="004A3983">
        <w:rPr>
          <w:rFonts w:ascii="Gotham Book" w:eastAsia="Source Sans Pro Light" w:hAnsi="Gotham Book" w:cs="ArialMT"/>
        </w:rPr>
        <w:lastRenderedPageBreak/>
        <w:t xml:space="preserve">The Director of Local Courts informed the NSW Ombudsman that given the difficulty court staff experienced in applying the CPOR Act, the NSW Police </w:t>
      </w:r>
      <w:r w:rsidR="00701E21" w:rsidRPr="004A3983">
        <w:rPr>
          <w:rFonts w:ascii="Gotham Book" w:eastAsia="Source Sans Pro Light" w:hAnsi="Gotham Book" w:cs="ArialMT"/>
        </w:rPr>
        <w:t xml:space="preserve">Force </w:t>
      </w:r>
      <w:r w:rsidR="00175CB7" w:rsidRPr="004A3983">
        <w:rPr>
          <w:rFonts w:ascii="Gotham Book" w:eastAsia="Source Sans Pro Light" w:hAnsi="Gotham Book" w:cs="ArialMT"/>
        </w:rPr>
        <w:t xml:space="preserve">had </w:t>
      </w:r>
      <w:r w:rsidRPr="004A3983">
        <w:rPr>
          <w:rFonts w:ascii="Gotham Book" w:eastAsia="Source Sans Pro Light" w:hAnsi="Gotham Book" w:cs="ArialMT"/>
        </w:rPr>
        <w:t>agreed to assist those staff to identify registrable persons. The NSW Police Force would identify when a person had been charged with a registrable offence, and would notify the court staff by filing a particular form with the court papers, with the information necessary to apply the CPOR Act (except finding of guilt and sentence).</w:t>
      </w:r>
      <w:r w:rsidRPr="004A3983">
        <w:rPr>
          <w:rStyle w:val="FootnoteReference"/>
          <w:rFonts w:ascii="Gotham Book" w:eastAsia="Source Sans Pro Light" w:hAnsi="Gotham Book" w:cs="ArialMT"/>
        </w:rPr>
        <w:footnoteReference w:id="462"/>
      </w:r>
      <w:r w:rsidRPr="004A3983">
        <w:rPr>
          <w:rFonts w:ascii="Gotham Book" w:eastAsia="Source Sans Pro Light" w:hAnsi="Gotham Book" w:cs="ArialMT"/>
        </w:rPr>
        <w:t xml:space="preserve"> After sentencing, court staff would complete the form and send it to the NSW Police Force Registry.</w:t>
      </w:r>
      <w:r w:rsidRPr="004A3983">
        <w:rPr>
          <w:rStyle w:val="FootnoteReference"/>
          <w:rFonts w:ascii="Gotham Book" w:eastAsia="Source Sans Pro Light" w:hAnsi="Gotham Book" w:cs="ArialMT"/>
        </w:rPr>
        <w:footnoteReference w:id="463"/>
      </w:r>
      <w:r w:rsidRPr="004A3983">
        <w:rPr>
          <w:rFonts w:ascii="Gotham Book" w:eastAsia="Source Sans Pro Light" w:hAnsi="Gotham Book" w:cs="ArialMT"/>
        </w:rPr>
        <w:t xml:space="preserve"> </w:t>
      </w:r>
    </w:p>
    <w:p w14:paraId="3473DE45" w14:textId="59F0231D" w:rsidR="00175CB7" w:rsidRPr="004A3983" w:rsidRDefault="00AF13F7" w:rsidP="003C5904">
      <w:pPr>
        <w:spacing w:after="160"/>
        <w:ind w:right="-2"/>
        <w:rPr>
          <w:rFonts w:ascii="Gotham Book" w:eastAsia="Source Sans Pro Light" w:hAnsi="Gotham Book" w:cs="ArialMT"/>
        </w:rPr>
      </w:pPr>
      <w:r w:rsidRPr="004A3983">
        <w:rPr>
          <w:rFonts w:ascii="Gotham Book" w:eastAsia="Source Sans Pro Light" w:hAnsi="Gotham Book" w:cs="ArialMT"/>
        </w:rPr>
        <w:t>The difficulties court staff experienced in attem</w:t>
      </w:r>
      <w:r w:rsidR="00C84911" w:rsidRPr="004A3983">
        <w:rPr>
          <w:rFonts w:ascii="Gotham Book" w:eastAsia="Source Sans Pro Light" w:hAnsi="Gotham Book" w:cs="ArialMT"/>
        </w:rPr>
        <w:t xml:space="preserve">pting to determine which </w:t>
      </w:r>
      <w:r w:rsidR="004B42EA" w:rsidRPr="004A3983">
        <w:rPr>
          <w:rFonts w:ascii="Gotham Book" w:eastAsia="Source Sans Pro Light" w:hAnsi="Gotham Book" w:cs="ArialMT"/>
        </w:rPr>
        <w:t>offenders</w:t>
      </w:r>
      <w:r w:rsidRPr="004A3983">
        <w:rPr>
          <w:rFonts w:ascii="Gotham Book" w:eastAsia="Source Sans Pro Light" w:hAnsi="Gotham Book" w:cs="ArialMT"/>
        </w:rPr>
        <w:t xml:space="preserve"> were ‘registrable persons’ under the CPOR Act resulted in that responsibility being shifted onto the NSW Police Force</w:t>
      </w:r>
      <w:r w:rsidR="0027798E" w:rsidRPr="004A3983">
        <w:rPr>
          <w:rFonts w:ascii="Gotham Book" w:eastAsia="Source Sans Pro Light" w:hAnsi="Gotham Book" w:cs="ArialMT"/>
        </w:rPr>
        <w:t>, specifically the Child Protection Registry (the Registry)</w:t>
      </w:r>
      <w:r w:rsidRPr="004A3983">
        <w:rPr>
          <w:rFonts w:ascii="Gotham Book" w:eastAsia="Source Sans Pro Light" w:hAnsi="Gotham Book" w:cs="ArialMT"/>
        </w:rPr>
        <w:t xml:space="preserve">. </w:t>
      </w:r>
      <w:r w:rsidR="00175CB7" w:rsidRPr="004A3983">
        <w:rPr>
          <w:rFonts w:ascii="Gotham Book" w:eastAsia="Source Sans Pro Light" w:hAnsi="Gotham Book" w:cs="ArialMT"/>
        </w:rPr>
        <w:t>In practice it is the Registry that makes the ultimate decision as to whether a person meets the definition of a registrable person under the CPOR Act, and creates a Register case for the person.</w:t>
      </w:r>
      <w:r w:rsidR="00175CB7" w:rsidRPr="004A3983">
        <w:rPr>
          <w:rStyle w:val="FootnoteReference"/>
          <w:rFonts w:ascii="Gotham Book" w:eastAsia="Source Sans Pro Light" w:hAnsi="Gotham Book" w:cs="ArialMT"/>
        </w:rPr>
        <w:footnoteReference w:id="464"/>
      </w:r>
      <w:r w:rsidR="00175CB7" w:rsidRPr="004A3983">
        <w:rPr>
          <w:rFonts w:ascii="Gotham Book" w:eastAsia="Source Sans Pro Light" w:hAnsi="Gotham Book" w:cs="ArialMT"/>
        </w:rPr>
        <w:t xml:space="preserve"> </w:t>
      </w:r>
    </w:p>
    <w:p w14:paraId="33325BC3" w14:textId="4D29E62A" w:rsidR="00AF13F7" w:rsidRPr="004A3983" w:rsidRDefault="00B1269A" w:rsidP="003C5904">
      <w:pPr>
        <w:spacing w:after="160"/>
        <w:ind w:right="-2"/>
        <w:rPr>
          <w:rFonts w:ascii="Gotham Book" w:eastAsia="Source Sans Pro Light" w:hAnsi="Gotham Book" w:cs="ArialMT"/>
        </w:rPr>
      </w:pPr>
      <w:r w:rsidRPr="004A3983">
        <w:rPr>
          <w:rFonts w:ascii="Gotham Book" w:eastAsia="Source Sans Pro Light" w:hAnsi="Gotham Book" w:cs="ArialMT"/>
        </w:rPr>
        <w:t>T</w:t>
      </w:r>
      <w:r w:rsidR="00AF13F7" w:rsidRPr="004A3983">
        <w:rPr>
          <w:rFonts w:ascii="Gotham Book" w:eastAsia="Source Sans Pro Light" w:hAnsi="Gotham Book" w:cs="ArialMT"/>
        </w:rPr>
        <w:t>he Regist</w:t>
      </w:r>
      <w:r w:rsidRPr="004A3983">
        <w:rPr>
          <w:rFonts w:ascii="Gotham Book" w:eastAsia="Source Sans Pro Light" w:hAnsi="Gotham Book" w:cs="ArialMT"/>
        </w:rPr>
        <w:t>ry</w:t>
      </w:r>
      <w:r w:rsidR="00F7615A" w:rsidRPr="004A3983">
        <w:rPr>
          <w:rFonts w:ascii="Gotham Book" w:eastAsia="Source Sans Pro Light" w:hAnsi="Gotham Book" w:cs="ArialMT"/>
        </w:rPr>
        <w:t xml:space="preserve"> </w:t>
      </w:r>
      <w:r w:rsidRPr="004A3983">
        <w:rPr>
          <w:rFonts w:ascii="Gotham Book" w:eastAsia="Source Sans Pro Light" w:hAnsi="Gotham Book" w:cs="ArialMT"/>
        </w:rPr>
        <w:t xml:space="preserve">also </w:t>
      </w:r>
      <w:r w:rsidR="00AF13F7" w:rsidRPr="004A3983">
        <w:rPr>
          <w:rFonts w:ascii="Gotham Book" w:eastAsia="Source Sans Pro Light" w:hAnsi="Gotham Book" w:cs="ArialMT"/>
        </w:rPr>
        <w:t>notifies the person’s supervising authority that it has a registrab</w:t>
      </w:r>
      <w:r w:rsidRPr="004A3983">
        <w:rPr>
          <w:rFonts w:ascii="Gotham Book" w:eastAsia="Source Sans Pro Light" w:hAnsi="Gotham Book" w:cs="ArialMT"/>
        </w:rPr>
        <w:t xml:space="preserve">le person under its supervision, and </w:t>
      </w:r>
      <w:r w:rsidR="00850877" w:rsidRPr="004A3983">
        <w:rPr>
          <w:rFonts w:ascii="Gotham Book" w:eastAsia="Source Sans Pro Light" w:hAnsi="Gotham Book" w:cs="ArialMT"/>
        </w:rPr>
        <w:t>calculates the person’s reporting period.</w:t>
      </w:r>
      <w:r w:rsidR="00850877" w:rsidRPr="004A3983">
        <w:rPr>
          <w:rStyle w:val="FootnoteReference"/>
          <w:rFonts w:ascii="Gotham Book" w:eastAsia="Source Sans Pro Light" w:hAnsi="Gotham Book" w:cs="ArialMT"/>
        </w:rPr>
        <w:footnoteReference w:id="465"/>
      </w:r>
    </w:p>
    <w:p w14:paraId="546AB113" w14:textId="5B3A8339" w:rsidR="00A47BC7" w:rsidRPr="004A3983" w:rsidRDefault="00A47BC7" w:rsidP="00A47BC7">
      <w:pPr>
        <w:pStyle w:val="Heading2"/>
        <w:spacing w:after="160"/>
        <w:ind w:right="-2"/>
      </w:pPr>
      <w:bookmarkStart w:id="437" w:name="_Toc22627816"/>
      <w:r w:rsidRPr="004A3983">
        <w:t>Registry’s reliance on information from court</w:t>
      </w:r>
      <w:r w:rsidR="007F69F3">
        <w:t> </w:t>
      </w:r>
      <w:r w:rsidRPr="004A3983">
        <w:t>proceedings</w:t>
      </w:r>
      <w:bookmarkEnd w:id="437"/>
    </w:p>
    <w:p w14:paraId="770F9DE6" w14:textId="4F2CB6DF" w:rsidR="00AF13F7" w:rsidRPr="004A3983" w:rsidRDefault="00AF13F7" w:rsidP="003C5904">
      <w:pPr>
        <w:spacing w:after="160"/>
        <w:ind w:right="-2"/>
        <w:rPr>
          <w:rFonts w:ascii="Gotham Book" w:hAnsi="Gotham Book"/>
        </w:rPr>
      </w:pPr>
      <w:r w:rsidRPr="004A3983">
        <w:rPr>
          <w:rFonts w:ascii="Gotham Book" w:hAnsi="Gotham Book"/>
        </w:rPr>
        <w:t xml:space="preserve">The Registry requires </w:t>
      </w:r>
      <w:r w:rsidR="002A491B" w:rsidRPr="004A3983">
        <w:rPr>
          <w:rFonts w:ascii="Gotham Book" w:hAnsi="Gotham Book"/>
        </w:rPr>
        <w:t>the details of the offence or offences a person wa</w:t>
      </w:r>
      <w:r w:rsidRPr="004A3983">
        <w:rPr>
          <w:rFonts w:ascii="Gotham Book" w:hAnsi="Gotham Book"/>
        </w:rPr>
        <w:t xml:space="preserve">s </w:t>
      </w:r>
      <w:r w:rsidR="00940C17" w:rsidRPr="004A3983">
        <w:rPr>
          <w:rFonts w:ascii="Gotham Book" w:hAnsi="Gotham Book"/>
        </w:rPr>
        <w:t>sentenced for, the sentence they received</w:t>
      </w:r>
      <w:r w:rsidR="00605D7C" w:rsidRPr="004A3983">
        <w:rPr>
          <w:rFonts w:ascii="Gotham Book" w:hAnsi="Gotham Book"/>
        </w:rPr>
        <w:t>, the offender</w:t>
      </w:r>
      <w:r w:rsidRPr="004A3983">
        <w:rPr>
          <w:rFonts w:ascii="Gotham Book" w:hAnsi="Gotham Book"/>
        </w:rPr>
        <w:t xml:space="preserve">’s age at the time, and the facts of </w:t>
      </w:r>
      <w:r w:rsidR="00940C17" w:rsidRPr="004A3983">
        <w:rPr>
          <w:rFonts w:ascii="Gotham Book" w:hAnsi="Gotham Book"/>
        </w:rPr>
        <w:t xml:space="preserve">any </w:t>
      </w:r>
      <w:r w:rsidRPr="004A3983">
        <w:rPr>
          <w:rFonts w:ascii="Gotham Book" w:hAnsi="Gotham Book"/>
        </w:rPr>
        <w:t>relevant previous convictions, in order to accurately determine whether that person is required to be placed on the Register</w:t>
      </w:r>
      <w:r w:rsidR="008B7308" w:rsidRPr="004A3983">
        <w:rPr>
          <w:rFonts w:ascii="Gotham Book" w:hAnsi="Gotham Book"/>
        </w:rPr>
        <w:t>,</w:t>
      </w:r>
      <w:r w:rsidRPr="004A3983">
        <w:rPr>
          <w:rFonts w:ascii="Gotham Book" w:hAnsi="Gotham Book"/>
        </w:rPr>
        <w:t xml:space="preserve"> and if so, the length of their reporting period.</w:t>
      </w:r>
    </w:p>
    <w:p w14:paraId="2D297642" w14:textId="77777777" w:rsidR="00AF13F7" w:rsidRPr="004A3983" w:rsidRDefault="00AF13F7" w:rsidP="003C5904">
      <w:pPr>
        <w:spacing w:after="160"/>
        <w:ind w:right="-2"/>
        <w:rPr>
          <w:rFonts w:ascii="Gotham Book" w:hAnsi="Gotham Book"/>
        </w:rPr>
      </w:pPr>
      <w:r w:rsidRPr="004A3983">
        <w:rPr>
          <w:rFonts w:ascii="Gotham Book" w:hAnsi="Gotham Book"/>
        </w:rPr>
        <w:t xml:space="preserve">It is common for changes to charges and/or to facts (proven or agreed between the prosecution and defence) to occur during criminal proceedings. Such changes must be communicated to Registry staff in order for them to make correct decisions under the CPOR Act about a person’s ‘registrable’ status and their reporting period. </w:t>
      </w:r>
    </w:p>
    <w:p w14:paraId="6C8A4AB3" w14:textId="0FB1CE8C" w:rsidR="00AF13F7" w:rsidRPr="004A3983" w:rsidRDefault="00AF13F7" w:rsidP="003C5904">
      <w:pPr>
        <w:pStyle w:val="Heading3"/>
        <w:spacing w:after="160"/>
        <w:ind w:right="-2"/>
      </w:pPr>
      <w:bookmarkStart w:id="438" w:name="_Toc8913556"/>
      <w:bookmarkStart w:id="439" w:name="_Toc9428417"/>
      <w:bookmarkStart w:id="440" w:name="_Toc12020369"/>
      <w:bookmarkStart w:id="441" w:name="_Toc14790535"/>
      <w:bookmarkStart w:id="442" w:name="_Toc15478418"/>
      <w:bookmarkStart w:id="443" w:name="_Toc22627817"/>
      <w:r w:rsidRPr="004A3983">
        <w:t>Difficulties which arise when charges are amended or replaced</w:t>
      </w:r>
      <w:bookmarkEnd w:id="438"/>
      <w:bookmarkEnd w:id="439"/>
      <w:bookmarkEnd w:id="440"/>
      <w:bookmarkEnd w:id="441"/>
      <w:bookmarkEnd w:id="442"/>
      <w:bookmarkEnd w:id="443"/>
    </w:p>
    <w:p w14:paraId="171D949F" w14:textId="777FDEDB" w:rsidR="00AF13F7" w:rsidRPr="004A3983" w:rsidRDefault="00AF13F7" w:rsidP="003C5904">
      <w:pPr>
        <w:spacing w:after="160"/>
        <w:ind w:right="-2"/>
        <w:rPr>
          <w:rFonts w:ascii="Gotham Book" w:hAnsi="Gotham Book"/>
        </w:rPr>
      </w:pPr>
      <w:r w:rsidRPr="004A3983">
        <w:rPr>
          <w:rFonts w:ascii="Gotham Book" w:hAnsi="Gotham Book"/>
        </w:rPr>
        <w:t xml:space="preserve">Registry staff advised us that </w:t>
      </w:r>
      <w:r w:rsidR="008A197A" w:rsidRPr="004A3983">
        <w:rPr>
          <w:rFonts w:ascii="Gotham Book" w:hAnsi="Gotham Book"/>
        </w:rPr>
        <w:t>problems can</w:t>
      </w:r>
      <w:r w:rsidRPr="004A3983">
        <w:rPr>
          <w:rFonts w:ascii="Gotham Book" w:hAnsi="Gotham Book"/>
        </w:rPr>
        <w:t xml:space="preserve"> arise when prosecutors amend or withdraw charges involving registrable offences, and replace them with charges for non-registrable offences.</w:t>
      </w:r>
      <w:r w:rsidRPr="004A3983">
        <w:rPr>
          <w:rStyle w:val="FootnoteReference"/>
          <w:rFonts w:ascii="Gotham Book" w:hAnsi="Gotham Book"/>
        </w:rPr>
        <w:footnoteReference w:id="466"/>
      </w:r>
      <w:r w:rsidRPr="004A3983">
        <w:rPr>
          <w:rFonts w:ascii="Gotham Book" w:hAnsi="Gotham Book"/>
        </w:rPr>
        <w:t xml:space="preserve"> Registry staff stated this occurs on a weekly basis. If the </w:t>
      </w:r>
      <w:r w:rsidRPr="004A3983">
        <w:rPr>
          <w:rFonts w:ascii="Gotham Book" w:hAnsi="Gotham Book"/>
        </w:rPr>
        <w:lastRenderedPageBreak/>
        <w:t xml:space="preserve">Registry is not made aware of these changes, it can result in persons being incorrectly placed on the Register. </w:t>
      </w:r>
    </w:p>
    <w:p w14:paraId="64DB6529" w14:textId="6E3AB44A" w:rsidR="00AF13F7" w:rsidRPr="004A3983" w:rsidRDefault="008A197A" w:rsidP="003C5904">
      <w:pPr>
        <w:spacing w:after="160"/>
        <w:ind w:right="-2"/>
        <w:rPr>
          <w:rFonts w:ascii="Gotham Book" w:hAnsi="Gotham Book"/>
        </w:rPr>
      </w:pPr>
      <w:r w:rsidRPr="004A3983">
        <w:rPr>
          <w:rFonts w:ascii="Gotham Book" w:hAnsi="Gotham Book"/>
        </w:rPr>
        <w:t>Difficulties also arise</w:t>
      </w:r>
      <w:r w:rsidR="00AF13F7" w:rsidRPr="004A3983">
        <w:rPr>
          <w:rFonts w:ascii="Gotham Book" w:hAnsi="Gotham Book"/>
        </w:rPr>
        <w:t xml:space="preserve"> when</w:t>
      </w:r>
      <w:r w:rsidR="004754F8" w:rsidRPr="004A3983">
        <w:rPr>
          <w:rFonts w:ascii="Gotham Book" w:hAnsi="Gotham Book"/>
        </w:rPr>
        <w:t>,</w:t>
      </w:r>
      <w:r w:rsidR="00AF13F7" w:rsidRPr="004A3983">
        <w:rPr>
          <w:rFonts w:ascii="Gotham Book" w:hAnsi="Gotham Book"/>
        </w:rPr>
        <w:t xml:space="preserve"> during sentencing for a non-registrable offence (the principal offence), the offender </w:t>
      </w:r>
      <w:r w:rsidRPr="004A3983">
        <w:rPr>
          <w:rFonts w:ascii="Gotham Book" w:hAnsi="Gotham Book"/>
        </w:rPr>
        <w:t>asks</w:t>
      </w:r>
      <w:r w:rsidR="00AF13F7" w:rsidRPr="004A3983">
        <w:rPr>
          <w:rFonts w:ascii="Gotham Book" w:hAnsi="Gotham Book"/>
        </w:rPr>
        <w:t xml:space="preserve"> the court to take into account registrable offences </w:t>
      </w:r>
      <w:r w:rsidRPr="004A3983">
        <w:rPr>
          <w:rFonts w:ascii="Gotham Book" w:hAnsi="Gotham Book"/>
        </w:rPr>
        <w:t>for</w:t>
      </w:r>
      <w:r w:rsidR="00AF13F7" w:rsidRPr="004A3983">
        <w:rPr>
          <w:rFonts w:ascii="Gotham Book" w:hAnsi="Gotham Book"/>
        </w:rPr>
        <w:t xml:space="preserve"> which he or she has been charged, but not convicted. This is a sentencing practice referred to as ‘taking into account matters on a Form 1’.</w:t>
      </w:r>
      <w:r w:rsidR="00AF13F7" w:rsidRPr="004A3983">
        <w:rPr>
          <w:rStyle w:val="FootnoteReference"/>
          <w:rFonts w:ascii="Gotham Book" w:hAnsi="Gotham Book"/>
        </w:rPr>
        <w:footnoteReference w:id="467"/>
      </w:r>
      <w:r w:rsidR="00AF13F7" w:rsidRPr="004A3983">
        <w:rPr>
          <w:rFonts w:ascii="Gotham Book" w:hAnsi="Gotham Book"/>
        </w:rPr>
        <w:t xml:space="preserve"> An example is the case of Mr SS </w:t>
      </w:r>
      <w:r w:rsidRPr="004A3983">
        <w:rPr>
          <w:rFonts w:ascii="Gotham Book" w:hAnsi="Gotham Book"/>
        </w:rPr>
        <w:t xml:space="preserve">in Case Study 9 </w:t>
      </w:r>
      <w:r w:rsidR="00AF13F7" w:rsidRPr="004A3983">
        <w:rPr>
          <w:rFonts w:ascii="Gotham Book" w:hAnsi="Gotham Book"/>
        </w:rPr>
        <w:t>below.</w:t>
      </w:r>
    </w:p>
    <w:p w14:paraId="24AF3D72" w14:textId="01C9FD7C" w:rsidR="00874547" w:rsidRPr="004A3983" w:rsidRDefault="0041120F" w:rsidP="003C5904">
      <w:pPr>
        <w:pStyle w:val="CaseStudyHeading"/>
        <w:spacing w:after="160" w:line="259" w:lineRule="auto"/>
        <w:ind w:right="-2"/>
        <w:rPr>
          <w:b w:val="0"/>
        </w:rPr>
      </w:pPr>
      <w:bookmarkStart w:id="444" w:name="_Toc22280907"/>
      <w:r w:rsidRPr="004A3983">
        <w:t>Person incorrectly placed on the Register after charges replaced at court</w:t>
      </w:r>
      <w:bookmarkEnd w:id="444"/>
    </w:p>
    <w:p w14:paraId="0C56A55C" w14:textId="0E0E29B5" w:rsidR="00AF13F7" w:rsidRPr="004A3983" w:rsidRDefault="00B0714A" w:rsidP="003C5904">
      <w:pPr>
        <w:pStyle w:val="CaseStudyText"/>
        <w:spacing w:after="160"/>
        <w:ind w:right="-2"/>
      </w:pPr>
      <w:r w:rsidRPr="004A3983">
        <w:t>Mr SS</w:t>
      </w:r>
      <w:r w:rsidR="00FB2DC7" w:rsidRPr="004A3983">
        <w:rPr>
          <w:rStyle w:val="FootnoteReference"/>
        </w:rPr>
        <w:footnoteReference w:id="468"/>
      </w:r>
      <w:r w:rsidRPr="004A3983">
        <w:t xml:space="preserve"> </w:t>
      </w:r>
      <w:r w:rsidR="00AF13F7" w:rsidRPr="004A3983">
        <w:t xml:space="preserve">was charged by the NSW Police Force with multiple registrable offences in 1999. However, during the court proceedings it appears the decision was made to prosecute Mr SS for a different offence, which was not a registrable offence. He was convicted for that non-registrable offence in 2001. However, when the judge was calculating </w:t>
      </w:r>
      <w:r w:rsidR="0087372F" w:rsidRPr="004A3983">
        <w:t>the sentence to impose on Mr SS</w:t>
      </w:r>
      <w:r w:rsidR="00AF13F7" w:rsidRPr="004A3983">
        <w:t xml:space="preserve"> for </w:t>
      </w:r>
      <w:r w:rsidR="00B05892" w:rsidRPr="004A3983">
        <w:t>the</w:t>
      </w:r>
      <w:r w:rsidR="00AF13F7" w:rsidRPr="004A3983">
        <w:t xml:space="preserve"> non-registrable offence, Mr SS asked the judge to ‘take into account’ other charges he had not been convicted of, including the registrable offences from 1999.</w:t>
      </w:r>
      <w:r w:rsidR="00AF13F7" w:rsidRPr="004A3983">
        <w:rPr>
          <w:rStyle w:val="FootnoteReference"/>
          <w:rFonts w:ascii="Gotham Book" w:hAnsi="Gotham Book"/>
          <w:sz w:val="20"/>
          <w:szCs w:val="20"/>
        </w:rPr>
        <w:t xml:space="preserve"> </w:t>
      </w:r>
    </w:p>
    <w:p w14:paraId="264B1401" w14:textId="0F43E646" w:rsidR="00AF13F7" w:rsidRPr="004A3983" w:rsidRDefault="00AF13F7" w:rsidP="003C5904">
      <w:pPr>
        <w:pStyle w:val="CaseStudyText"/>
        <w:spacing w:after="160"/>
        <w:ind w:right="-2"/>
      </w:pPr>
      <w:r w:rsidRPr="004A3983">
        <w:t xml:space="preserve">It appears that after his conviction for the non-registrable offence, the NSW Police Force concluded Mr SS was a registrable person under the CPOR Act because </w:t>
      </w:r>
      <w:r w:rsidR="00055EBD" w:rsidRPr="004A3983">
        <w:t xml:space="preserve">his </w:t>
      </w:r>
      <w:r w:rsidRPr="004A3983">
        <w:t>registrable offences from 1999 had been taken into account for the purposes of his sentencing. He was placed on the Register in August 2004.</w:t>
      </w:r>
      <w:r w:rsidR="00BB5E02" w:rsidRPr="004A3983">
        <w:t xml:space="preserve"> </w:t>
      </w:r>
    </w:p>
    <w:p w14:paraId="42C18766" w14:textId="18D9A176" w:rsidR="00AF13F7" w:rsidRPr="004A3983" w:rsidRDefault="00AF13F7" w:rsidP="003C5904">
      <w:pPr>
        <w:pStyle w:val="CaseStudyText"/>
        <w:spacing w:after="160"/>
        <w:ind w:right="-2"/>
      </w:pPr>
      <w:r w:rsidRPr="004A3983">
        <w:t>However, if a person’s registrable offences are only listed on a Form 1 and ‘taken into account’ during sentencing, the person will not be a registrable person under the CPOR Act.</w:t>
      </w:r>
      <w:r w:rsidRPr="004A3983">
        <w:rPr>
          <w:rStyle w:val="FootnoteReference"/>
          <w:rFonts w:ascii="Gotham Book" w:hAnsi="Gotham Book"/>
          <w:sz w:val="20"/>
          <w:szCs w:val="20"/>
        </w:rPr>
        <w:footnoteReference w:id="469"/>
      </w:r>
    </w:p>
    <w:p w14:paraId="15741C10" w14:textId="5712BB43" w:rsidR="00AF13F7" w:rsidRPr="004A3983" w:rsidRDefault="00AF13F7" w:rsidP="003C5904">
      <w:pPr>
        <w:pStyle w:val="CaseStudyText"/>
        <w:spacing w:after="360"/>
        <w:ind w:right="-2"/>
      </w:pPr>
      <w:r w:rsidRPr="004A3983">
        <w:t>In October 2016 the NSW Police Force discovered what had occurred in Mr SS’s case, and concluded that he should never have been placed on the Register.</w:t>
      </w:r>
    </w:p>
    <w:p w14:paraId="3BBBAFC5" w14:textId="64666F00" w:rsidR="008F0D05" w:rsidRPr="004A3983" w:rsidRDefault="008F0D05" w:rsidP="003C5904">
      <w:pPr>
        <w:spacing w:after="160"/>
        <w:ind w:right="-2"/>
        <w:rPr>
          <w:rFonts w:cs="Arial"/>
        </w:rPr>
      </w:pPr>
      <w:r w:rsidRPr="004A3983">
        <w:rPr>
          <w:rFonts w:ascii="Gotham Book" w:hAnsi="Gotham Book" w:cs="Arial"/>
        </w:rPr>
        <w:t>The Registry staff also informed the Commission that they</w:t>
      </w:r>
      <w:r w:rsidRPr="004A3983">
        <w:rPr>
          <w:rFonts w:ascii="Gotham Book" w:hAnsi="Gotham Book"/>
        </w:rPr>
        <w:t xml:space="preserve"> have experienced problems with accessing information about court outcomes when the Commonwealth Director of Public Prosecutions (CDPP) takes over the prosecution of a registrable offence.</w:t>
      </w:r>
      <w:r w:rsidRPr="004A3983">
        <w:rPr>
          <w:rStyle w:val="FootnoteReference"/>
          <w:rFonts w:ascii="Gotham Book" w:hAnsi="Gotham Book"/>
        </w:rPr>
        <w:footnoteReference w:id="470"/>
      </w:r>
      <w:r w:rsidRPr="004A3983">
        <w:rPr>
          <w:rFonts w:ascii="Gotham Book" w:hAnsi="Gotham Book"/>
        </w:rPr>
        <w:t xml:space="preserve"> </w:t>
      </w:r>
      <w:r w:rsidR="00EF44E0" w:rsidRPr="004A3983">
        <w:rPr>
          <w:rFonts w:ascii="Gotham Book" w:hAnsi="Gotham Book"/>
        </w:rPr>
        <w:t>They informed us that t</w:t>
      </w:r>
      <w:r w:rsidRPr="004A3983">
        <w:rPr>
          <w:rFonts w:ascii="Gotham Book" w:hAnsi="Gotham Book"/>
        </w:rPr>
        <w:t xml:space="preserve">he CDPP will often withdraw the </w:t>
      </w:r>
      <w:r w:rsidRPr="004A3983">
        <w:rPr>
          <w:rFonts w:ascii="Gotham Book" w:hAnsi="Gotham Book"/>
        </w:rPr>
        <w:lastRenderedPageBreak/>
        <w:t xml:space="preserve">charges for registrable offences initially laid by the NSW Police Force </w:t>
      </w:r>
      <w:r w:rsidR="00A55507" w:rsidRPr="004A3983">
        <w:rPr>
          <w:rFonts w:ascii="Gotham Book" w:hAnsi="Gotham Book"/>
        </w:rPr>
        <w:t>and replace them with other</w:t>
      </w:r>
      <w:r w:rsidRPr="004A3983">
        <w:rPr>
          <w:rFonts w:ascii="Gotham Book" w:hAnsi="Gotham Book"/>
        </w:rPr>
        <w:t xml:space="preserve"> charges for </w:t>
      </w:r>
      <w:r w:rsidR="00EF44E0" w:rsidRPr="004A3983">
        <w:rPr>
          <w:rFonts w:ascii="Gotham Book" w:hAnsi="Gotham Book"/>
        </w:rPr>
        <w:t xml:space="preserve">(Commonwealth) </w:t>
      </w:r>
      <w:r w:rsidRPr="004A3983">
        <w:rPr>
          <w:rFonts w:ascii="Gotham Book" w:hAnsi="Gotham Book"/>
        </w:rPr>
        <w:t>registrable offences. These replacement charges do not get ent</w:t>
      </w:r>
      <w:r w:rsidR="00EF44E0" w:rsidRPr="004A3983">
        <w:rPr>
          <w:rFonts w:ascii="Gotham Book" w:hAnsi="Gotham Book"/>
        </w:rPr>
        <w:t>ered into the NSW Police Force</w:t>
      </w:r>
      <w:r w:rsidRPr="004A3983">
        <w:rPr>
          <w:rFonts w:ascii="Gotham Book" w:hAnsi="Gotham Book" w:cs="Arial"/>
        </w:rPr>
        <w:t xml:space="preserve"> Computerised Operational Policing System</w:t>
      </w:r>
      <w:r w:rsidRPr="004A3983">
        <w:rPr>
          <w:rFonts w:ascii="Gotham Book" w:hAnsi="Gotham Book"/>
        </w:rPr>
        <w:t xml:space="preserve">. Unless the CDPP manually notifies the Registry about the replacement charges, the Registry will </w:t>
      </w:r>
      <w:r w:rsidRPr="004A3983">
        <w:rPr>
          <w:rFonts w:ascii="Gotham Book" w:hAnsi="Gotham Book" w:cs="Arial"/>
        </w:rPr>
        <w:t>not know if the person is convicted and sentenced for those replacement offences</w:t>
      </w:r>
      <w:r w:rsidRPr="004A3983">
        <w:rPr>
          <w:rFonts w:ascii="Gotham Book" w:hAnsi="Gotham Book"/>
        </w:rPr>
        <w:t xml:space="preserve">. </w:t>
      </w:r>
    </w:p>
    <w:p w14:paraId="00811AD8" w14:textId="7D5D4D56" w:rsidR="00CF614E" w:rsidRPr="004A3983" w:rsidRDefault="00CF614E" w:rsidP="003C5904">
      <w:pPr>
        <w:pStyle w:val="Heading3"/>
        <w:spacing w:after="160"/>
        <w:ind w:right="-2"/>
      </w:pPr>
      <w:bookmarkStart w:id="445" w:name="_Toc8913557"/>
      <w:bookmarkStart w:id="446" w:name="_Toc9428418"/>
      <w:bookmarkStart w:id="447" w:name="_Ref9436183"/>
      <w:bookmarkStart w:id="448" w:name="_Ref10560480"/>
      <w:bookmarkStart w:id="449" w:name="_Toc12020370"/>
      <w:bookmarkStart w:id="450" w:name="_Toc14790536"/>
      <w:bookmarkStart w:id="451" w:name="_Toc15478419"/>
      <w:bookmarkStart w:id="452" w:name="_Toc22627818"/>
      <w:r w:rsidRPr="004A3983">
        <w:t>Difficulties when persons charged with registrable offences are found to be suffering from mental impairment or illness</w:t>
      </w:r>
      <w:bookmarkEnd w:id="445"/>
      <w:bookmarkEnd w:id="446"/>
      <w:bookmarkEnd w:id="447"/>
      <w:bookmarkEnd w:id="448"/>
      <w:bookmarkEnd w:id="449"/>
      <w:bookmarkEnd w:id="450"/>
      <w:bookmarkEnd w:id="451"/>
      <w:bookmarkEnd w:id="452"/>
      <w:r w:rsidRPr="004A3983">
        <w:t xml:space="preserve"> </w:t>
      </w:r>
    </w:p>
    <w:p w14:paraId="3B80587C" w14:textId="33729835" w:rsidR="00CF614E" w:rsidRPr="004A3983" w:rsidRDefault="00CF614E" w:rsidP="003C5904">
      <w:pPr>
        <w:spacing w:after="160"/>
        <w:ind w:right="-2"/>
        <w:rPr>
          <w:rFonts w:ascii="Gotham Book" w:hAnsi="Gotham Book"/>
        </w:rPr>
      </w:pPr>
      <w:r w:rsidRPr="004A3983">
        <w:rPr>
          <w:rFonts w:ascii="Gotham Book" w:hAnsi="Gotham Book"/>
        </w:rPr>
        <w:t xml:space="preserve">On occasion persons charged with registrable offences are dealt with by courts under the </w:t>
      </w:r>
      <w:r w:rsidRPr="004A3983">
        <w:rPr>
          <w:rFonts w:ascii="Gotham Book" w:hAnsi="Gotham Book"/>
          <w:i/>
        </w:rPr>
        <w:t>Mental Health (Forensic Provisions) Act 1990</w:t>
      </w:r>
      <w:r w:rsidRPr="004A3983">
        <w:rPr>
          <w:rFonts w:ascii="Gotham Book" w:hAnsi="Gotham Book"/>
        </w:rPr>
        <w:t xml:space="preserve"> (NSW) (</w:t>
      </w:r>
      <w:r w:rsidR="00EB7BB2" w:rsidRPr="004A3983">
        <w:rPr>
          <w:rFonts w:ascii="Gotham Book" w:hAnsi="Gotham Book"/>
        </w:rPr>
        <w:t>Mental Health (FP)</w:t>
      </w:r>
      <w:r w:rsidRPr="004A3983">
        <w:rPr>
          <w:rFonts w:ascii="Gotham Book" w:hAnsi="Gotham Book"/>
        </w:rPr>
        <w:t xml:space="preserve"> Act) due to their mental impairment or illness.</w:t>
      </w:r>
    </w:p>
    <w:p w14:paraId="3F2115DB" w14:textId="6C9F5BDC" w:rsidR="00CF614E" w:rsidRPr="004A3983" w:rsidRDefault="00CF614E" w:rsidP="003C5904">
      <w:pPr>
        <w:spacing w:after="160"/>
        <w:ind w:right="-2"/>
        <w:rPr>
          <w:rFonts w:ascii="Gotham Book" w:hAnsi="Gotham Book"/>
        </w:rPr>
      </w:pPr>
      <w:r w:rsidRPr="004A3983">
        <w:rPr>
          <w:rFonts w:ascii="Gotham Book" w:hAnsi="Gotham Book"/>
        </w:rPr>
        <w:t xml:space="preserve">Under the CPOR Act, a person will become registrable if a sentencing court makes certain orders under the </w:t>
      </w:r>
      <w:r w:rsidR="00EB7BB2" w:rsidRPr="004A3983">
        <w:rPr>
          <w:rFonts w:ascii="Gotham Book" w:hAnsi="Gotham Book"/>
        </w:rPr>
        <w:t>Mental Health (FP) Act</w:t>
      </w:r>
      <w:r w:rsidRPr="004A3983">
        <w:rPr>
          <w:rFonts w:ascii="Gotham Book" w:hAnsi="Gotham Book"/>
        </w:rPr>
        <w:t xml:space="preserve"> which result in the person being held in custody or detained.</w:t>
      </w:r>
      <w:r w:rsidRPr="004A3983">
        <w:rPr>
          <w:rStyle w:val="FootnoteReference"/>
          <w:rFonts w:ascii="Gotham Book" w:hAnsi="Gotham Book"/>
        </w:rPr>
        <w:footnoteReference w:id="471"/>
      </w:r>
      <w:r w:rsidRPr="004A3983">
        <w:rPr>
          <w:rFonts w:ascii="Gotham Book" w:hAnsi="Gotham Book"/>
        </w:rPr>
        <w:t xml:space="preserve"> The Registry requires access to detailed information about the terms of the orders made under the </w:t>
      </w:r>
      <w:r w:rsidR="00EB7BB2" w:rsidRPr="004A3983">
        <w:rPr>
          <w:rFonts w:ascii="Gotham Book" w:hAnsi="Gotham Book"/>
        </w:rPr>
        <w:t>Mental Health (FP) Act</w:t>
      </w:r>
      <w:r w:rsidRPr="004A3983">
        <w:rPr>
          <w:rFonts w:ascii="Gotham Book" w:hAnsi="Gotham Book"/>
        </w:rPr>
        <w:t xml:space="preserve"> to apply the CPOR Act correctly. </w:t>
      </w:r>
    </w:p>
    <w:p w14:paraId="207FFAD9" w14:textId="6117454B" w:rsidR="00CF614E" w:rsidRPr="004A3983" w:rsidRDefault="00CF614E" w:rsidP="003C5904">
      <w:pPr>
        <w:spacing w:after="160"/>
        <w:ind w:right="-2"/>
        <w:rPr>
          <w:rFonts w:ascii="Gotham Book" w:hAnsi="Gotham Book"/>
        </w:rPr>
      </w:pPr>
      <w:r w:rsidRPr="004A3983">
        <w:rPr>
          <w:rFonts w:ascii="Gotham Book" w:hAnsi="Gotham Book"/>
        </w:rPr>
        <w:t xml:space="preserve">Registry officers informed us that it is </w:t>
      </w:r>
      <w:r w:rsidR="00A21044" w:rsidRPr="004A3983">
        <w:rPr>
          <w:rFonts w:ascii="Gotham Book" w:hAnsi="Gotham Book"/>
        </w:rPr>
        <w:t xml:space="preserve">very </w:t>
      </w:r>
      <w:r w:rsidRPr="004A3983">
        <w:rPr>
          <w:rFonts w:ascii="Gotham Book" w:hAnsi="Gotham Book"/>
        </w:rPr>
        <w:t xml:space="preserve">difficult for them to get the information </w:t>
      </w:r>
      <w:r w:rsidR="00A21044" w:rsidRPr="004A3983">
        <w:rPr>
          <w:rFonts w:ascii="Gotham Book" w:hAnsi="Gotham Book"/>
        </w:rPr>
        <w:t xml:space="preserve">necessary </w:t>
      </w:r>
      <w:r w:rsidRPr="004A3983">
        <w:rPr>
          <w:rFonts w:ascii="Gotham Book" w:hAnsi="Gotham Book"/>
        </w:rPr>
        <w:t xml:space="preserve">to determine if a relevant order has been made under the </w:t>
      </w:r>
      <w:r w:rsidR="00EB7BB2" w:rsidRPr="004A3983">
        <w:rPr>
          <w:rFonts w:ascii="Gotham Book" w:hAnsi="Gotham Book"/>
        </w:rPr>
        <w:t>Mental Health (FP) Act</w:t>
      </w:r>
      <w:r w:rsidRPr="004A3983">
        <w:rPr>
          <w:rFonts w:ascii="Gotham Book" w:hAnsi="Gotham Book"/>
        </w:rPr>
        <w:t xml:space="preserve">. </w:t>
      </w:r>
      <w:r w:rsidR="00361784" w:rsidRPr="004A3983">
        <w:rPr>
          <w:rFonts w:ascii="Gotham Book" w:hAnsi="Gotham Book"/>
        </w:rPr>
        <w:t>They advised</w:t>
      </w:r>
      <w:r w:rsidRPr="004A3983">
        <w:rPr>
          <w:rFonts w:ascii="Gotham Book" w:hAnsi="Gotham Book"/>
        </w:rPr>
        <w:t xml:space="preserve"> </w:t>
      </w:r>
      <w:r w:rsidR="00470374" w:rsidRPr="004A3983">
        <w:rPr>
          <w:rFonts w:ascii="Gotham Book" w:hAnsi="Gotham Book"/>
        </w:rPr>
        <w:t xml:space="preserve">that </w:t>
      </w:r>
      <w:r w:rsidR="004309F0" w:rsidRPr="004A3983">
        <w:rPr>
          <w:rFonts w:ascii="Gotham Book" w:hAnsi="Gotham Book"/>
        </w:rPr>
        <w:t xml:space="preserve">it is </w:t>
      </w:r>
      <w:r w:rsidR="00361784" w:rsidRPr="004A3983">
        <w:rPr>
          <w:rFonts w:ascii="Gotham Book" w:hAnsi="Gotham Book"/>
        </w:rPr>
        <w:t>challenging</w:t>
      </w:r>
      <w:r w:rsidR="00D043A9" w:rsidRPr="004A3983">
        <w:rPr>
          <w:rFonts w:ascii="Gotham Book" w:hAnsi="Gotham Book"/>
        </w:rPr>
        <w:t xml:space="preserve"> to </w:t>
      </w:r>
      <w:r w:rsidR="00A21044" w:rsidRPr="004A3983">
        <w:rPr>
          <w:rFonts w:ascii="Gotham Book" w:hAnsi="Gotham Book"/>
        </w:rPr>
        <w:t xml:space="preserve">get </w:t>
      </w:r>
      <w:r w:rsidR="00D043A9" w:rsidRPr="004A3983">
        <w:rPr>
          <w:rFonts w:ascii="Gotham Book" w:hAnsi="Gotham Book"/>
        </w:rPr>
        <w:t>access</w:t>
      </w:r>
      <w:r w:rsidRPr="004A3983">
        <w:rPr>
          <w:rFonts w:ascii="Gotham Book" w:hAnsi="Gotham Book"/>
        </w:rPr>
        <w:t xml:space="preserve"> </w:t>
      </w:r>
      <w:r w:rsidR="00A21044" w:rsidRPr="004A3983">
        <w:rPr>
          <w:rFonts w:ascii="Gotham Book" w:hAnsi="Gotham Book"/>
        </w:rPr>
        <w:t xml:space="preserve">to </w:t>
      </w:r>
      <w:r w:rsidRPr="004A3983">
        <w:rPr>
          <w:rFonts w:ascii="Gotham Book" w:hAnsi="Gotham Book"/>
        </w:rPr>
        <w:t xml:space="preserve">information about </w:t>
      </w:r>
      <w:r w:rsidR="00D043A9" w:rsidRPr="004A3983">
        <w:rPr>
          <w:rFonts w:ascii="Gotham Book" w:hAnsi="Gotham Book"/>
        </w:rPr>
        <w:t xml:space="preserve">orders or other determinations that have been made </w:t>
      </w:r>
      <w:r w:rsidRPr="004A3983">
        <w:rPr>
          <w:rFonts w:ascii="Gotham Book" w:hAnsi="Gotham Book"/>
        </w:rPr>
        <w:t>in a person</w:t>
      </w:r>
      <w:r w:rsidR="00D043A9" w:rsidRPr="004A3983">
        <w:rPr>
          <w:rFonts w:ascii="Gotham Book" w:hAnsi="Gotham Book"/>
        </w:rPr>
        <w:t>’s case after their case has been</w:t>
      </w:r>
      <w:r w:rsidRPr="004A3983">
        <w:rPr>
          <w:rFonts w:ascii="Gotham Book" w:hAnsi="Gotham Book"/>
        </w:rPr>
        <w:t xml:space="preserve"> referred to the Mental Health Review Tribunal.</w:t>
      </w:r>
      <w:r w:rsidRPr="004A3983">
        <w:rPr>
          <w:rStyle w:val="FootnoteReference"/>
          <w:rFonts w:ascii="Gotham Book" w:hAnsi="Gotham Book"/>
        </w:rPr>
        <w:footnoteReference w:id="472"/>
      </w:r>
      <w:r w:rsidRPr="004A3983">
        <w:rPr>
          <w:rFonts w:ascii="Gotham Book" w:hAnsi="Gotham Book"/>
        </w:rPr>
        <w:t xml:space="preserve"> There is no system which notifies the Registry when an order has been made under the </w:t>
      </w:r>
      <w:r w:rsidR="00EB7BB2" w:rsidRPr="004A3983">
        <w:rPr>
          <w:rFonts w:ascii="Gotham Book" w:hAnsi="Gotham Book"/>
        </w:rPr>
        <w:t>Mental Health (FP) Act</w:t>
      </w:r>
      <w:r w:rsidRPr="004A3983">
        <w:rPr>
          <w:rFonts w:ascii="Gotham Book" w:hAnsi="Gotham Book"/>
        </w:rPr>
        <w:t xml:space="preserve">.  </w:t>
      </w:r>
      <w:r w:rsidRPr="004A3983">
        <w:rPr>
          <w:rFonts w:ascii="Gotham Book" w:hAnsi="Gotham Book" w:cs="Arial"/>
        </w:rPr>
        <w:t>An officer in the Registry must monitor the progress of a case over months or even years, and periodically call a contact person in NSW Health or the court to request information about the status of a person’s case</w:t>
      </w:r>
      <w:r w:rsidRPr="004A3983">
        <w:rPr>
          <w:rFonts w:ascii="Gotham Book" w:hAnsi="Gotham Book"/>
        </w:rPr>
        <w:t>.</w:t>
      </w:r>
      <w:r w:rsidRPr="004A3983">
        <w:rPr>
          <w:rStyle w:val="FootnoteReference"/>
          <w:rFonts w:ascii="Gotham Book" w:hAnsi="Gotham Book"/>
        </w:rPr>
        <w:footnoteReference w:id="473"/>
      </w:r>
    </w:p>
    <w:p w14:paraId="391C70C4" w14:textId="02F2214D" w:rsidR="00CF614E" w:rsidRPr="004A3983" w:rsidRDefault="00ED318F" w:rsidP="003C5904">
      <w:pPr>
        <w:spacing w:after="160"/>
        <w:ind w:right="-2"/>
        <w:rPr>
          <w:rFonts w:ascii="Gotham Book" w:hAnsi="Gotham Book"/>
        </w:rPr>
      </w:pPr>
      <w:r w:rsidRPr="004A3983">
        <w:rPr>
          <w:rFonts w:ascii="Gotham Book" w:hAnsi="Gotham Book"/>
        </w:rPr>
        <w:t xml:space="preserve">Even if </w:t>
      </w:r>
      <w:r w:rsidR="00CF614E" w:rsidRPr="004A3983">
        <w:rPr>
          <w:rFonts w:ascii="Gotham Book" w:hAnsi="Gotham Book"/>
        </w:rPr>
        <w:t>Registry</w:t>
      </w:r>
      <w:r w:rsidRPr="004A3983">
        <w:rPr>
          <w:rFonts w:ascii="Gotham Book" w:hAnsi="Gotham Book"/>
        </w:rPr>
        <w:t xml:space="preserve"> officers are</w:t>
      </w:r>
      <w:r w:rsidR="00CF614E" w:rsidRPr="004A3983">
        <w:rPr>
          <w:rFonts w:ascii="Gotham Book" w:hAnsi="Gotham Book"/>
        </w:rPr>
        <w:t xml:space="preserve"> able to identify that a relevant order has been made under the </w:t>
      </w:r>
      <w:r w:rsidR="00EB7BB2" w:rsidRPr="004A3983">
        <w:rPr>
          <w:rFonts w:ascii="Gotham Book" w:hAnsi="Gotham Book"/>
        </w:rPr>
        <w:t>Mental Health (FP) Act</w:t>
      </w:r>
      <w:r w:rsidR="00CF614E" w:rsidRPr="004A3983">
        <w:rPr>
          <w:rFonts w:ascii="Gotham Book" w:hAnsi="Gotham Book"/>
        </w:rPr>
        <w:t xml:space="preserve">, and therefore that the person is a registrable person, the officers then need to determine whether the terms of the order made are such that the person should be considered to be in ‘government custody’. </w:t>
      </w:r>
      <w:r w:rsidR="007B4706" w:rsidRPr="004A3983">
        <w:rPr>
          <w:rFonts w:ascii="Gotham Book" w:hAnsi="Gotham Book"/>
        </w:rPr>
        <w:t>If they meet the definition of government custody</w:t>
      </w:r>
      <w:r w:rsidR="00CF614E" w:rsidRPr="004A3983">
        <w:rPr>
          <w:rFonts w:ascii="Gotham Book" w:hAnsi="Gotham Book"/>
        </w:rPr>
        <w:t xml:space="preserve"> in the CPOR Act, their reporting obligations will be suspended.</w:t>
      </w:r>
      <w:r w:rsidR="00CF614E" w:rsidRPr="004A3983">
        <w:rPr>
          <w:rStyle w:val="FootnoteReference"/>
          <w:rFonts w:ascii="Gotham Book" w:hAnsi="Gotham Book"/>
        </w:rPr>
        <w:footnoteReference w:id="474"/>
      </w:r>
      <w:r w:rsidR="00CF614E" w:rsidRPr="004A3983">
        <w:rPr>
          <w:rFonts w:ascii="Gotham Book" w:hAnsi="Gotham Book"/>
        </w:rPr>
        <w:t xml:space="preserve"> If they do not, those persons are required to report their personal information to police, and will potentially be committing an offence if they fail to do so. </w:t>
      </w:r>
    </w:p>
    <w:p w14:paraId="131EDE41" w14:textId="2BEDAF17" w:rsidR="00CF614E" w:rsidRPr="004A3983" w:rsidRDefault="00CF614E" w:rsidP="003C5904">
      <w:pPr>
        <w:spacing w:after="160"/>
        <w:ind w:right="-2"/>
        <w:rPr>
          <w:rFonts w:ascii="Gotham Book" w:hAnsi="Gotham Book"/>
        </w:rPr>
      </w:pPr>
      <w:r w:rsidRPr="004A3983">
        <w:rPr>
          <w:rFonts w:ascii="Gotham Book" w:hAnsi="Gotham Book"/>
        </w:rPr>
        <w:lastRenderedPageBreak/>
        <w:t xml:space="preserve">Determining whether a person dealt with under the </w:t>
      </w:r>
      <w:r w:rsidR="00EB7BB2" w:rsidRPr="004A3983">
        <w:rPr>
          <w:rFonts w:ascii="Gotham Book" w:hAnsi="Gotham Book"/>
        </w:rPr>
        <w:t>Mental Health (FP) Act</w:t>
      </w:r>
      <w:r w:rsidRPr="004A3983">
        <w:rPr>
          <w:rFonts w:ascii="Gotham Book" w:hAnsi="Gotham Book"/>
        </w:rPr>
        <w:t xml:space="preserve"> me</w:t>
      </w:r>
      <w:r w:rsidR="00844EA2" w:rsidRPr="004A3983">
        <w:rPr>
          <w:rFonts w:ascii="Gotham Book" w:hAnsi="Gotham Book"/>
        </w:rPr>
        <w:t>ets the</w:t>
      </w:r>
      <w:r w:rsidR="007F69F3">
        <w:rPr>
          <w:rFonts w:ascii="Gotham Book" w:hAnsi="Gotham Book"/>
        </w:rPr>
        <w:t> </w:t>
      </w:r>
      <w:r w:rsidR="00844EA2" w:rsidRPr="004A3983">
        <w:rPr>
          <w:rFonts w:ascii="Gotham Book" w:hAnsi="Gotham Book"/>
        </w:rPr>
        <w:t>definition of being in government custody</w:t>
      </w:r>
      <w:r w:rsidRPr="004A3983">
        <w:rPr>
          <w:rFonts w:ascii="Gotham Book" w:hAnsi="Gotham Book"/>
        </w:rPr>
        <w:t xml:space="preserve"> is itself a complex exercise in legal interpretation. It will depend on whether the person is permitted to leave the facility in which they are receiving treatment under the </w:t>
      </w:r>
      <w:r w:rsidR="00EB7BB2" w:rsidRPr="004A3983">
        <w:rPr>
          <w:rFonts w:ascii="Gotham Book" w:hAnsi="Gotham Book"/>
        </w:rPr>
        <w:t>Mental Health (FP) Act</w:t>
      </w:r>
      <w:r w:rsidRPr="004A3983">
        <w:rPr>
          <w:rFonts w:ascii="Gotham Book" w:hAnsi="Gotham Book"/>
        </w:rPr>
        <w:t xml:space="preserve"> on a regular basis, and if so on what conditions.</w:t>
      </w:r>
      <w:r w:rsidRPr="004A3983">
        <w:rPr>
          <w:rFonts w:ascii="Gotham Book" w:hAnsi="Gotham Book"/>
          <w:vertAlign w:val="superscript"/>
        </w:rPr>
        <w:footnoteReference w:id="475"/>
      </w:r>
      <w:r w:rsidRPr="004A3983">
        <w:rPr>
          <w:rFonts w:ascii="Gotham Book" w:hAnsi="Gotham Book"/>
          <w:vertAlign w:val="superscript"/>
        </w:rPr>
        <w:t xml:space="preserve"> </w:t>
      </w:r>
      <w:r w:rsidRPr="004A3983">
        <w:rPr>
          <w:rFonts w:ascii="Gotham Book" w:hAnsi="Gotham Book"/>
        </w:rPr>
        <w:t>The statutory review of the CPOR Act conducted by the Ministry for Police and Emergency Services</w:t>
      </w:r>
      <w:r w:rsidR="00D45B9E" w:rsidRPr="004A3983">
        <w:rPr>
          <w:rFonts w:ascii="Gotham Book" w:hAnsi="Gotham Book"/>
        </w:rPr>
        <w:t xml:space="preserve"> in 2013</w:t>
      </w:r>
      <w:r w:rsidRPr="004A3983">
        <w:rPr>
          <w:rFonts w:ascii="Gotham Book" w:hAnsi="Gotham Book"/>
        </w:rPr>
        <w:t xml:space="preserve"> noted that there were eight different types of leave that a forensic patient can be granted during their treatment.</w:t>
      </w:r>
      <w:r w:rsidRPr="004A3983">
        <w:rPr>
          <w:rFonts w:ascii="Gotham Book" w:hAnsi="Gotham Book"/>
          <w:vertAlign w:val="superscript"/>
        </w:rPr>
        <w:footnoteReference w:id="476"/>
      </w:r>
      <w:r w:rsidRPr="004A3983">
        <w:rPr>
          <w:rFonts w:ascii="Gotham Book" w:hAnsi="Gotham Book"/>
        </w:rPr>
        <w:t xml:space="preserve"> Inaccurate or incomplete information about</w:t>
      </w:r>
      <w:r w:rsidR="00BB37A1" w:rsidRPr="004A3983">
        <w:rPr>
          <w:rFonts w:ascii="Gotham Book" w:hAnsi="Gotham Book"/>
        </w:rPr>
        <w:t xml:space="preserve"> which type of</w:t>
      </w:r>
      <w:r w:rsidR="007F69F3">
        <w:rPr>
          <w:rFonts w:ascii="Gotham Book" w:hAnsi="Gotham Book"/>
        </w:rPr>
        <w:t> </w:t>
      </w:r>
      <w:r w:rsidR="00BB37A1" w:rsidRPr="004A3983">
        <w:rPr>
          <w:rFonts w:ascii="Gotham Book" w:hAnsi="Gotham Book"/>
        </w:rPr>
        <w:t>leave a registrable person has been granted</w:t>
      </w:r>
      <w:r w:rsidRPr="004A3983">
        <w:rPr>
          <w:rFonts w:ascii="Gotham Book" w:hAnsi="Gotham Book"/>
        </w:rPr>
        <w:t xml:space="preserve"> will impact on the accuracy of the information on the Register.</w:t>
      </w:r>
    </w:p>
    <w:p w14:paraId="19B7A807" w14:textId="77777777" w:rsidR="00CF614E" w:rsidRPr="004A3983" w:rsidRDefault="00CF614E" w:rsidP="003C5904">
      <w:pPr>
        <w:pStyle w:val="Heading2"/>
        <w:spacing w:after="160"/>
        <w:ind w:right="-2"/>
      </w:pPr>
      <w:bookmarkStart w:id="453" w:name="_Ref10650504"/>
      <w:bookmarkStart w:id="454" w:name="_Toc22627819"/>
      <w:r w:rsidRPr="004A3983">
        <w:t>Obligations on courts and supervising authorities to notify registrable persons about their reporting obligations</w:t>
      </w:r>
      <w:bookmarkEnd w:id="453"/>
      <w:bookmarkEnd w:id="454"/>
    </w:p>
    <w:p w14:paraId="127EDDEE" w14:textId="44F1D7C8" w:rsidR="00CF614E" w:rsidRPr="004A3983" w:rsidRDefault="00CF614E" w:rsidP="003C5904">
      <w:pPr>
        <w:spacing w:after="160"/>
        <w:ind w:right="-2"/>
        <w:rPr>
          <w:rFonts w:ascii="Gotham Book" w:hAnsi="Gotham Book"/>
        </w:rPr>
      </w:pPr>
      <w:r w:rsidRPr="004A3983">
        <w:rPr>
          <w:rFonts w:ascii="Gotham Book" w:hAnsi="Gotham Book"/>
        </w:rPr>
        <w:t>The CPOR Act requires that a registrable person be given written notice of their reporting obligations, and the consequences if they fail to comply with those obligations, ‘as soon as practicable’ after the person is sentenced.</w:t>
      </w:r>
      <w:r w:rsidRPr="004A3983">
        <w:rPr>
          <w:rStyle w:val="FootnoteReference"/>
          <w:rFonts w:ascii="Gotham Book" w:hAnsi="Gotham Book"/>
        </w:rPr>
        <w:footnoteReference w:id="477"/>
      </w:r>
      <w:r w:rsidRPr="004A3983">
        <w:rPr>
          <w:rFonts w:ascii="Gotham Book" w:hAnsi="Gotham Book"/>
        </w:rPr>
        <w:t xml:space="preserve"> The NSW Police Force refers to this notification as a ‘Form 3’. A Form 3 informs a registrable person that they are required to attend a police station within seven days to provide the personal information required under the CPOR Act.</w:t>
      </w:r>
      <w:r w:rsidRPr="004A3983">
        <w:rPr>
          <w:rStyle w:val="FootnoteReference"/>
          <w:rFonts w:ascii="Gotham Book" w:hAnsi="Gotham Book"/>
        </w:rPr>
        <w:footnoteReference w:id="478"/>
      </w:r>
    </w:p>
    <w:p w14:paraId="3E96B15B" w14:textId="0967F338" w:rsidR="00CF614E" w:rsidRPr="004A3983" w:rsidRDefault="00CF614E" w:rsidP="003C5904">
      <w:pPr>
        <w:spacing w:after="160"/>
        <w:ind w:right="-2"/>
        <w:rPr>
          <w:rFonts w:ascii="Gotham Book" w:hAnsi="Gotham Book"/>
        </w:rPr>
      </w:pPr>
      <w:r w:rsidRPr="004A3983">
        <w:rPr>
          <w:rFonts w:ascii="Gotham Book" w:hAnsi="Gotham Book"/>
        </w:rPr>
        <w:t>It is important that a Form 3 is signed by the registrable person and a copy provided to the Registry, as it may be necessary in a prosecution for the offence of failure to comply with reporting obligations under s 17 of the CPOR Act, to prove that the person was aware of their obligations.</w:t>
      </w:r>
      <w:r w:rsidRPr="004A3983">
        <w:rPr>
          <w:rStyle w:val="FootnoteReference"/>
          <w:rFonts w:ascii="Gotham Book" w:hAnsi="Gotham Book"/>
        </w:rPr>
        <w:footnoteReference w:id="479"/>
      </w:r>
      <w:r w:rsidRPr="004A3983">
        <w:rPr>
          <w:rFonts w:ascii="Gotham Book" w:hAnsi="Gotham Book"/>
        </w:rPr>
        <w:t xml:space="preserve">  </w:t>
      </w:r>
    </w:p>
    <w:p w14:paraId="5542D917" w14:textId="56E0CEBC" w:rsidR="00CF614E" w:rsidRPr="004A3983" w:rsidRDefault="00CF614E" w:rsidP="002F2574">
      <w:pPr>
        <w:spacing w:after="160"/>
        <w:rPr>
          <w:rFonts w:ascii="Gotham Book" w:hAnsi="Gotham Book"/>
        </w:rPr>
      </w:pPr>
      <w:r w:rsidRPr="004A3983">
        <w:rPr>
          <w:rFonts w:ascii="Gotham Book" w:hAnsi="Gotham Book"/>
        </w:rPr>
        <w:t>Under the CPOR Act and CPOR Regulation, which authority is responsible for serving the Form 3 on a registrable person depends upon the type of sentence the person receives. For example:</w:t>
      </w:r>
    </w:p>
    <w:p w14:paraId="0E0A8C10" w14:textId="60A6DA8A" w:rsidR="00CF614E" w:rsidRPr="004A3983" w:rsidRDefault="00CF614E" w:rsidP="007F69F3">
      <w:pPr>
        <w:pStyle w:val="ListBullet"/>
      </w:pPr>
      <w:r w:rsidRPr="004A3983">
        <w:t xml:space="preserve">If a registrable person is sentenced to imprisonment, it is the responsibility of the </w:t>
      </w:r>
      <w:r w:rsidRPr="007F69F3">
        <w:t>Department</w:t>
      </w:r>
      <w:r w:rsidRPr="004A3983">
        <w:t xml:space="preserve"> of Justice to serve a Form 3 on the person (in practice this is performed by staff at Corrective Services NSW just prior to the person’s release from custody).</w:t>
      </w:r>
      <w:r w:rsidRPr="004A3983">
        <w:rPr>
          <w:rStyle w:val="FootnoteReference"/>
        </w:rPr>
        <w:footnoteReference w:id="480"/>
      </w:r>
      <w:r w:rsidRPr="004A3983">
        <w:t xml:space="preserve"> This situation applies to the majority of registrable persons, and therefore most Form 3s are required to be served by Corrective </w:t>
      </w:r>
      <w:r w:rsidRPr="004A3983">
        <w:lastRenderedPageBreak/>
        <w:t>Services NSW.</w:t>
      </w:r>
      <w:r w:rsidRPr="004A3983">
        <w:rPr>
          <w:rStyle w:val="FootnoteReference"/>
        </w:rPr>
        <w:footnoteReference w:id="481"/>
      </w:r>
      <w:r w:rsidR="00D175D8" w:rsidRPr="004A3983">
        <w:t xml:space="preserve"> The NSW Police Force has implemented a process through which it advises Corrective Services NSW that a person is to be served a Form</w:t>
      </w:r>
      <w:r w:rsidR="007F69F3">
        <w:t> </w:t>
      </w:r>
      <w:r w:rsidR="00D175D8" w:rsidRPr="004A3983">
        <w:t>3.</w:t>
      </w:r>
      <w:r w:rsidR="00D175D8" w:rsidRPr="004A3983">
        <w:rPr>
          <w:rStyle w:val="FootnoteReference"/>
        </w:rPr>
        <w:footnoteReference w:id="482"/>
      </w:r>
    </w:p>
    <w:p w14:paraId="45AC027A" w14:textId="77777777" w:rsidR="00CF614E" w:rsidRPr="004A3983" w:rsidRDefault="00CF614E" w:rsidP="007F69F3">
      <w:pPr>
        <w:pStyle w:val="ListBullet"/>
      </w:pPr>
      <w:r w:rsidRPr="004A3983">
        <w:t>If the person becomes a forensic patient, service of the Form 3 is the responsibility of the Ministry of Health.</w:t>
      </w:r>
      <w:r w:rsidRPr="004A3983">
        <w:rPr>
          <w:rStyle w:val="FootnoteReference"/>
        </w:rPr>
        <w:footnoteReference w:id="483"/>
      </w:r>
    </w:p>
    <w:p w14:paraId="11D70804" w14:textId="72AE3B0F" w:rsidR="00CF614E" w:rsidRPr="004A3983" w:rsidRDefault="00CF614E" w:rsidP="007F69F3">
      <w:pPr>
        <w:pStyle w:val="ListBullet"/>
      </w:pPr>
      <w:r w:rsidRPr="004A3983">
        <w:t xml:space="preserve">Sentencing courts generally retain the </w:t>
      </w:r>
      <w:r w:rsidRPr="007F69F3">
        <w:t>responsibility</w:t>
      </w:r>
      <w:r w:rsidRPr="004A3983">
        <w:t xml:space="preserve"> for serving Form 3s on those registrable </w:t>
      </w:r>
      <w:r w:rsidR="006A7615" w:rsidRPr="004A3983">
        <w:t>persons</w:t>
      </w:r>
      <w:r w:rsidRPr="004A3983">
        <w:t xml:space="preserve"> who are not sentenced to forms of government custody.</w:t>
      </w:r>
      <w:r w:rsidRPr="004A3983">
        <w:rPr>
          <w:rStyle w:val="FootnoteReference"/>
        </w:rPr>
        <w:footnoteReference w:id="484"/>
      </w:r>
      <w:r w:rsidRPr="004A3983">
        <w:t xml:space="preserve"> </w:t>
      </w:r>
    </w:p>
    <w:p w14:paraId="015B493D" w14:textId="36636761" w:rsidR="00CF614E" w:rsidRPr="004A3983" w:rsidRDefault="00CF614E" w:rsidP="003C5904">
      <w:pPr>
        <w:spacing w:after="160"/>
        <w:ind w:right="-2"/>
        <w:rPr>
          <w:rFonts w:ascii="Gotham Book" w:hAnsi="Gotham Book"/>
        </w:rPr>
      </w:pPr>
      <w:r w:rsidRPr="004A3983">
        <w:rPr>
          <w:rFonts w:ascii="Gotham Book" w:hAnsi="Gotham Book"/>
        </w:rPr>
        <w:t>The Commissioner of Police has the power under the CPOR Act to give written no</w:t>
      </w:r>
      <w:r w:rsidR="00157270" w:rsidRPr="004A3983">
        <w:rPr>
          <w:rFonts w:ascii="Gotham Book" w:hAnsi="Gotham Book"/>
        </w:rPr>
        <w:t xml:space="preserve">tice to a registrable person about </w:t>
      </w:r>
      <w:r w:rsidRPr="004A3983">
        <w:rPr>
          <w:rFonts w:ascii="Gotham Book" w:hAnsi="Gotham Book"/>
        </w:rPr>
        <w:t xml:space="preserve">their reporting obligations if the Commissioner suspects that the </w:t>
      </w:r>
      <w:r w:rsidR="00160894" w:rsidRPr="004A3983">
        <w:rPr>
          <w:rFonts w:ascii="Gotham Book" w:hAnsi="Gotham Book"/>
        </w:rPr>
        <w:t>person may not have received</w:t>
      </w:r>
      <w:r w:rsidR="002F315F" w:rsidRPr="004A3983">
        <w:rPr>
          <w:rFonts w:ascii="Gotham Book" w:hAnsi="Gotham Book"/>
        </w:rPr>
        <w:t xml:space="preserve"> such a</w:t>
      </w:r>
      <w:r w:rsidRPr="004A3983">
        <w:rPr>
          <w:rFonts w:ascii="Gotham Book" w:hAnsi="Gotham Book"/>
        </w:rPr>
        <w:t xml:space="preserve"> notice.</w:t>
      </w:r>
      <w:r w:rsidRPr="004A3983">
        <w:rPr>
          <w:rStyle w:val="FootnoteReference"/>
          <w:rFonts w:ascii="Gotham Book" w:hAnsi="Gotham Book"/>
        </w:rPr>
        <w:footnoteReference w:id="485"/>
      </w:r>
    </w:p>
    <w:p w14:paraId="1CA0EA1D" w14:textId="373F7C25" w:rsidR="00CF614E" w:rsidRPr="004A3983" w:rsidRDefault="00CF614E" w:rsidP="003C5904">
      <w:pPr>
        <w:autoSpaceDE w:val="0"/>
        <w:autoSpaceDN w:val="0"/>
        <w:spacing w:after="160"/>
        <w:ind w:right="-2"/>
        <w:rPr>
          <w:rFonts w:ascii="Gotham Book" w:hAnsi="Gotham Book" w:cs="Swiss721BT-LightItalic"/>
          <w:iCs/>
          <w:color w:val="000000"/>
        </w:rPr>
      </w:pPr>
      <w:r w:rsidRPr="004A3983">
        <w:rPr>
          <w:rFonts w:ascii="Gotham Book" w:hAnsi="Gotham Book" w:cs="Swiss721BT-Light"/>
          <w:color w:val="000000"/>
        </w:rPr>
        <w:t>The NSW Ombudsman’s report on the Register in 2005 noted that stakeholders had reported problems with notification of registrable persons, particularly ‘where notification has remained the responsibility of the courts’.</w:t>
      </w:r>
      <w:r w:rsidRPr="004A3983">
        <w:rPr>
          <w:rStyle w:val="FootnoteReference"/>
          <w:rFonts w:ascii="Gotham Book" w:hAnsi="Gotham Book" w:cs="Swiss721BT-LightItalic"/>
          <w:iCs/>
          <w:color w:val="000000"/>
        </w:rPr>
        <w:t xml:space="preserve"> </w:t>
      </w:r>
      <w:r w:rsidRPr="004A3983">
        <w:rPr>
          <w:rStyle w:val="FootnoteReference"/>
          <w:rFonts w:ascii="Gotham Book" w:hAnsi="Gotham Book" w:cs="Swiss721BT-LightItalic"/>
          <w:iCs/>
          <w:color w:val="000000"/>
        </w:rPr>
        <w:footnoteReference w:id="486"/>
      </w:r>
      <w:r w:rsidRPr="004A3983">
        <w:rPr>
          <w:rFonts w:ascii="Gotham Book" w:hAnsi="Gotham Book" w:cs="Swiss721BT-LightItalic"/>
          <w:iCs/>
          <w:color w:val="000000"/>
          <w:vertAlign w:val="superscript"/>
        </w:rPr>
        <w:t xml:space="preserve"> </w:t>
      </w:r>
      <w:r w:rsidRPr="004A3983">
        <w:rPr>
          <w:rFonts w:ascii="Gotham Book" w:hAnsi="Gotham Book" w:cs="Swiss721BT-LightItalic"/>
          <w:iCs/>
          <w:color w:val="000000"/>
        </w:rPr>
        <w:t>As noted above, the Director of the Local Courts acknowledged there had been ‘a high incidence of written notification not being provided to registrable persons</w:t>
      </w:r>
      <w:r w:rsidR="00BB34AA" w:rsidRPr="004A3983">
        <w:rPr>
          <w:rFonts w:ascii="Gotham Book" w:hAnsi="Gotham Book" w:cs="Swiss721BT-LightItalic"/>
          <w:iCs/>
          <w:color w:val="000000"/>
        </w:rPr>
        <w:t>’ at the point of sentencing</w:t>
      </w:r>
      <w:r w:rsidRPr="004A3983">
        <w:rPr>
          <w:rFonts w:ascii="Gotham Book" w:hAnsi="Gotham Book" w:cs="Swiss721BT-LightItalic"/>
          <w:iCs/>
          <w:color w:val="000000"/>
        </w:rPr>
        <w:t xml:space="preserve"> due to </w:t>
      </w:r>
      <w:r w:rsidR="002F315F" w:rsidRPr="004A3983">
        <w:rPr>
          <w:rFonts w:ascii="Gotham Book" w:hAnsi="Gotham Book" w:cs="Swiss721BT-LightItalic"/>
          <w:iCs/>
          <w:color w:val="000000"/>
        </w:rPr>
        <w:t>the difficulty of</w:t>
      </w:r>
      <w:r w:rsidRPr="004A3983">
        <w:rPr>
          <w:rFonts w:ascii="Gotham Book" w:hAnsi="Gotham Book" w:cs="Swiss721BT-LightItalic"/>
          <w:iCs/>
          <w:color w:val="000000"/>
        </w:rPr>
        <w:t xml:space="preserve"> determining who was a registrable person under the CPOR Act and other practical issues.</w:t>
      </w:r>
      <w:r w:rsidRPr="004A3983">
        <w:rPr>
          <w:rStyle w:val="FootnoteReference"/>
          <w:rFonts w:ascii="Gotham Book" w:hAnsi="Gotham Book" w:cs="Swiss721BT-LightItalic"/>
          <w:iCs/>
          <w:color w:val="000000"/>
        </w:rPr>
        <w:footnoteReference w:id="487"/>
      </w:r>
    </w:p>
    <w:p w14:paraId="58D38026" w14:textId="53B59809" w:rsidR="00CF614E" w:rsidRPr="004A3983" w:rsidRDefault="00CF614E" w:rsidP="003C5904">
      <w:pPr>
        <w:spacing w:after="160"/>
        <w:ind w:right="-2"/>
        <w:rPr>
          <w:rFonts w:ascii="Gotham Book" w:hAnsi="Gotham Book" w:cs="Arial"/>
        </w:rPr>
      </w:pPr>
      <w:r w:rsidRPr="004A3983">
        <w:rPr>
          <w:rFonts w:ascii="Gotham Book" w:hAnsi="Gotham Book"/>
        </w:rPr>
        <w:t xml:space="preserve">Problems with notifications were raised again during the statutory review of the CPOR Act in 2013. That </w:t>
      </w:r>
      <w:r w:rsidR="005D680E" w:rsidRPr="004A3983">
        <w:rPr>
          <w:rFonts w:ascii="Gotham Book" w:hAnsi="Gotham Book"/>
        </w:rPr>
        <w:t>statutory r</w:t>
      </w:r>
      <w:r w:rsidRPr="004A3983">
        <w:rPr>
          <w:rFonts w:ascii="Gotham Book" w:hAnsi="Gotham Book"/>
        </w:rPr>
        <w:t>eview reported that ‘[t]</w:t>
      </w:r>
      <w:r w:rsidRPr="004A3983">
        <w:rPr>
          <w:rFonts w:ascii="Gotham Book" w:hAnsi="Gotham Book" w:cs="Arial"/>
        </w:rPr>
        <w:t>he majority of stakeholders were unanimous in their views that processes driving the system of written notification were not working effectively’.</w:t>
      </w:r>
      <w:r w:rsidRPr="004A3983">
        <w:rPr>
          <w:rStyle w:val="FootnoteReference"/>
          <w:rFonts w:ascii="Gotham Book" w:hAnsi="Gotham Book" w:cs="Arial"/>
        </w:rPr>
        <w:footnoteReference w:id="488"/>
      </w:r>
      <w:r w:rsidRPr="004A3983">
        <w:rPr>
          <w:rFonts w:ascii="Gotham Book" w:hAnsi="Gotham Book" w:cs="Arial"/>
        </w:rPr>
        <w:t xml:space="preserve"> The Department of Attorney General and Justice advised the statutory review that in the eight years since the Ombudsman’s report, there had been ‘minimal change’ to the processes for notifying registrable persons of their reporting obligations.</w:t>
      </w:r>
      <w:r w:rsidRPr="004A3983">
        <w:rPr>
          <w:rStyle w:val="FootnoteReference"/>
          <w:rFonts w:ascii="Gotham Book" w:hAnsi="Gotham Book" w:cs="Arial"/>
        </w:rPr>
        <w:footnoteReference w:id="489"/>
      </w:r>
      <w:r w:rsidRPr="004A3983">
        <w:rPr>
          <w:rFonts w:ascii="Gotham Book" w:hAnsi="Gotham Book" w:cs="Arial"/>
        </w:rPr>
        <w:t xml:space="preserve"> The practical problems with notification that the Director of Local Courts raised in 2003 had continued.</w:t>
      </w:r>
      <w:r w:rsidRPr="004A3983">
        <w:rPr>
          <w:rStyle w:val="FootnoteReference"/>
          <w:rFonts w:ascii="Gotham Book" w:hAnsi="Gotham Book" w:cs="Arial"/>
        </w:rPr>
        <w:footnoteReference w:id="490"/>
      </w:r>
      <w:r w:rsidRPr="004A3983">
        <w:rPr>
          <w:rFonts w:ascii="Gotham Book" w:hAnsi="Gotham Book" w:cs="Arial"/>
        </w:rPr>
        <w:t xml:space="preserve"> </w:t>
      </w:r>
    </w:p>
    <w:p w14:paraId="159AA48A" w14:textId="61967A95" w:rsidR="00CF614E" w:rsidRPr="004A3983" w:rsidRDefault="00CF614E" w:rsidP="003C5904">
      <w:pPr>
        <w:autoSpaceDE w:val="0"/>
        <w:autoSpaceDN w:val="0"/>
        <w:spacing w:after="160"/>
        <w:ind w:right="-2"/>
        <w:rPr>
          <w:rFonts w:ascii="Gotham Book" w:hAnsi="Gotham Book" w:cs="Arial"/>
        </w:rPr>
      </w:pPr>
      <w:r w:rsidRPr="004A3983">
        <w:rPr>
          <w:rFonts w:ascii="Gotham Book" w:hAnsi="Gotham Book" w:cs="Arial"/>
        </w:rPr>
        <w:t xml:space="preserve">The </w:t>
      </w:r>
      <w:r w:rsidR="005D680E" w:rsidRPr="004A3983">
        <w:rPr>
          <w:rFonts w:ascii="Gotham Book" w:hAnsi="Gotham Book" w:cs="Arial"/>
        </w:rPr>
        <w:t>s</w:t>
      </w:r>
      <w:r w:rsidRPr="004A3983">
        <w:rPr>
          <w:rFonts w:ascii="Gotham Book" w:hAnsi="Gotham Book" w:cs="Arial"/>
        </w:rPr>
        <w:t>t</w:t>
      </w:r>
      <w:r w:rsidR="005D680E" w:rsidRPr="004A3983">
        <w:rPr>
          <w:rFonts w:ascii="Gotham Book" w:hAnsi="Gotham Book" w:cs="Arial"/>
        </w:rPr>
        <w:t>atutory r</w:t>
      </w:r>
      <w:r w:rsidRPr="004A3983">
        <w:rPr>
          <w:rFonts w:ascii="Gotham Book" w:hAnsi="Gotham Book" w:cs="Arial"/>
        </w:rPr>
        <w:t xml:space="preserve">eview </w:t>
      </w:r>
      <w:r w:rsidR="005D680E" w:rsidRPr="004A3983">
        <w:rPr>
          <w:rFonts w:ascii="Gotham Book" w:hAnsi="Gotham Book" w:cs="Arial"/>
        </w:rPr>
        <w:t xml:space="preserve">in 2013 </w:t>
      </w:r>
      <w:r w:rsidRPr="004A3983">
        <w:rPr>
          <w:rFonts w:ascii="Gotham Book" w:hAnsi="Gotham Book" w:cs="Arial"/>
        </w:rPr>
        <w:t>emphasised that:</w:t>
      </w:r>
    </w:p>
    <w:p w14:paraId="2AA8315D" w14:textId="1FA4FD7A" w:rsidR="00CF614E" w:rsidRPr="004A3983" w:rsidRDefault="00CF614E" w:rsidP="00F97BD5">
      <w:pPr>
        <w:pStyle w:val="Quotesmall1cm"/>
      </w:pPr>
      <w:r w:rsidRPr="004A3983">
        <w:lastRenderedPageBreak/>
        <w:t>The approach to effective notification does not lie with one agency. Each of the agencies have responsibilities requiring them to work together to ensure registrable person notifications are undertaken with clarity and in a timely manner. From a public safety and child protection aspect, it is imperative that the system work.</w:t>
      </w:r>
      <w:r w:rsidRPr="004A3983">
        <w:rPr>
          <w:rStyle w:val="FootnoteReference"/>
          <w:rFonts w:cs="Arial"/>
        </w:rPr>
        <w:footnoteReference w:id="491"/>
      </w:r>
    </w:p>
    <w:p w14:paraId="23F1CC54" w14:textId="7C368F91" w:rsidR="00CF614E" w:rsidRPr="004A3983" w:rsidRDefault="00BF31A9" w:rsidP="003C5904">
      <w:pPr>
        <w:autoSpaceDE w:val="0"/>
        <w:autoSpaceDN w:val="0"/>
        <w:spacing w:after="160"/>
        <w:ind w:right="-2"/>
        <w:rPr>
          <w:rFonts w:ascii="Gotham Book" w:hAnsi="Gotham Book" w:cs="Arial"/>
          <w:bCs/>
        </w:rPr>
      </w:pPr>
      <w:r w:rsidRPr="004A3983">
        <w:rPr>
          <w:rFonts w:ascii="Gotham Book" w:hAnsi="Gotham Book" w:cs="Arial"/>
          <w:bCs/>
        </w:rPr>
        <w:t>That</w:t>
      </w:r>
      <w:r w:rsidR="00CF614E" w:rsidRPr="004A3983">
        <w:rPr>
          <w:rFonts w:ascii="Gotham Book" w:hAnsi="Gotham Book" w:cs="Arial"/>
          <w:bCs/>
        </w:rPr>
        <w:t xml:space="preserve"> </w:t>
      </w:r>
      <w:r w:rsidR="005D680E" w:rsidRPr="004A3983">
        <w:rPr>
          <w:rFonts w:ascii="Gotham Book" w:hAnsi="Gotham Book" w:cs="Arial"/>
          <w:bCs/>
        </w:rPr>
        <w:t>statutory r</w:t>
      </w:r>
      <w:r w:rsidR="00CF614E" w:rsidRPr="004A3983">
        <w:rPr>
          <w:rFonts w:ascii="Gotham Book" w:hAnsi="Gotham Book" w:cs="Arial"/>
          <w:bCs/>
        </w:rPr>
        <w:t xml:space="preserve">eview recommended </w:t>
      </w:r>
      <w:r w:rsidR="00CF614E" w:rsidRPr="004A3983">
        <w:rPr>
          <w:rFonts w:ascii="Gotham Book" w:hAnsi="Gotham Book" w:cs="Arial"/>
        </w:rPr>
        <w:t>that the Ministry for Police and Emergency</w:t>
      </w:r>
      <w:r w:rsidR="00CF614E" w:rsidRPr="004A3983">
        <w:rPr>
          <w:rFonts w:ascii="Gotham Book" w:hAnsi="Gotham Book" w:cs="Arial"/>
          <w:bCs/>
        </w:rPr>
        <w:t xml:space="preserve"> </w:t>
      </w:r>
      <w:r w:rsidR="00CF614E" w:rsidRPr="004A3983">
        <w:rPr>
          <w:rFonts w:ascii="Gotham Book" w:hAnsi="Gotham Book" w:cs="Arial"/>
        </w:rPr>
        <w:t>Services lead further consultation between the supervising authorities to dete</w:t>
      </w:r>
      <w:r w:rsidR="00493326" w:rsidRPr="004A3983">
        <w:rPr>
          <w:rFonts w:ascii="Gotham Book" w:hAnsi="Gotham Book" w:cs="Arial"/>
        </w:rPr>
        <w:t xml:space="preserve">rmine ways in which the </w:t>
      </w:r>
      <w:r w:rsidR="00CF614E" w:rsidRPr="004A3983">
        <w:rPr>
          <w:rFonts w:ascii="Gotham Book" w:hAnsi="Gotham Book" w:cs="Arial"/>
        </w:rPr>
        <w:t>system of written notification could be improved.</w:t>
      </w:r>
      <w:r w:rsidR="00CF614E" w:rsidRPr="004A3983">
        <w:rPr>
          <w:rStyle w:val="FootnoteReference"/>
          <w:rFonts w:ascii="Gotham Book" w:hAnsi="Gotham Book" w:cs="Arial"/>
        </w:rPr>
        <w:footnoteReference w:id="492"/>
      </w:r>
    </w:p>
    <w:p w14:paraId="28878697" w14:textId="7B114906" w:rsidR="00CF614E" w:rsidRPr="004A3983" w:rsidRDefault="00CF614E" w:rsidP="003C5904">
      <w:pPr>
        <w:autoSpaceDE w:val="0"/>
        <w:autoSpaceDN w:val="0"/>
        <w:spacing w:after="160"/>
        <w:ind w:right="-2"/>
        <w:rPr>
          <w:rFonts w:ascii="Gotham Book" w:hAnsi="Gotham Book" w:cs="Arial"/>
          <w:bCs/>
        </w:rPr>
      </w:pPr>
      <w:r w:rsidRPr="004A3983">
        <w:rPr>
          <w:rFonts w:ascii="Gotham Book" w:hAnsi="Gotham Book" w:cs="Arial"/>
          <w:bCs/>
        </w:rPr>
        <w:t xml:space="preserve">However, the information provided by the NSW Police Force during Operation Tusket suggests that the problems with service of Form 3s have continued. The </w:t>
      </w:r>
      <w:r w:rsidR="00F113C2" w:rsidRPr="004A3983">
        <w:rPr>
          <w:rFonts w:ascii="Gotham Book" w:hAnsi="Gotham Book" w:cs="Arial"/>
          <w:bCs/>
        </w:rPr>
        <w:t>NSW Police Force Workplace Intelligence Unit, which conducted a review of the Registry’s work in 2017 (</w:t>
      </w:r>
      <w:r w:rsidRPr="004A3983">
        <w:rPr>
          <w:rFonts w:ascii="Gotham Book" w:hAnsi="Gotham Book" w:cs="Arial"/>
          <w:bCs/>
        </w:rPr>
        <w:t>the Register Staffing Review)</w:t>
      </w:r>
      <w:r w:rsidR="00F113C2" w:rsidRPr="004A3983">
        <w:rPr>
          <w:rFonts w:ascii="Gotham Book" w:hAnsi="Gotham Book" w:cs="Arial"/>
          <w:bCs/>
        </w:rPr>
        <w:t>, reported</w:t>
      </w:r>
      <w:r w:rsidRPr="004A3983">
        <w:rPr>
          <w:rFonts w:ascii="Gotham Book" w:hAnsi="Gotham Book" w:cs="Arial"/>
          <w:bCs/>
        </w:rPr>
        <w:t xml:space="preserve"> that:</w:t>
      </w:r>
    </w:p>
    <w:p w14:paraId="108F1F1D" w14:textId="11AB801C" w:rsidR="00CF614E" w:rsidRPr="004A3983" w:rsidRDefault="00CF614E" w:rsidP="00F97BD5">
      <w:pPr>
        <w:pStyle w:val="Quotesmall1cm"/>
      </w:pPr>
      <w:r w:rsidRPr="004A3983">
        <w:t>… in reality court staff do not always serve a Form 3 to [sic] the offender even though the responsibility to do so is clearly stated in Section 4 of the [CPOR Act]. At times where it has been served, it was found that the offender's signature was missing, which voids it …</w:t>
      </w:r>
    </w:p>
    <w:p w14:paraId="44236DEF" w14:textId="6E8B4D31" w:rsidR="00CF614E" w:rsidRPr="004A3983" w:rsidRDefault="00CF614E" w:rsidP="00F97BD5">
      <w:pPr>
        <w:pStyle w:val="Quotesmall1cm"/>
      </w:pPr>
      <w:r w:rsidRPr="004A3983">
        <w:t>The Registry has attempted to work with the Attorney General Department to ensure correct practices are in place for [Child Protection Register] matters, but it still proves to be a perennial problem.</w:t>
      </w:r>
      <w:r w:rsidRPr="004A3983">
        <w:rPr>
          <w:rStyle w:val="FootnoteReference"/>
          <w:rFonts w:cs="Arial"/>
        </w:rPr>
        <w:footnoteReference w:id="493"/>
      </w:r>
    </w:p>
    <w:p w14:paraId="2E56EE12" w14:textId="7FBAA1AD" w:rsidR="00CF614E" w:rsidRPr="004A3983" w:rsidRDefault="00CF614E" w:rsidP="003C5904">
      <w:pPr>
        <w:autoSpaceDE w:val="0"/>
        <w:autoSpaceDN w:val="0"/>
        <w:spacing w:after="160"/>
        <w:ind w:right="-2"/>
        <w:rPr>
          <w:rFonts w:ascii="Gotham Book" w:hAnsi="Gotham Book" w:cs="Arial"/>
        </w:rPr>
      </w:pPr>
      <w:r w:rsidRPr="004A3983">
        <w:rPr>
          <w:rFonts w:ascii="Gotham Book" w:hAnsi="Gotham Book" w:cs="Arial"/>
        </w:rPr>
        <w:t>The Workplace Intelligence Unit recommended that the Registry ‘continue to offer their help in providing training and advice to court staff on best practices for child protection matters’.</w:t>
      </w:r>
      <w:r w:rsidRPr="004A3983">
        <w:rPr>
          <w:rStyle w:val="FootnoteReference"/>
          <w:rFonts w:cs="Arial"/>
        </w:rPr>
        <w:footnoteReference w:id="494"/>
      </w:r>
      <w:r w:rsidRPr="004A3983">
        <w:rPr>
          <w:rFonts w:ascii="Gotham Book" w:hAnsi="Gotham Book" w:cs="Arial"/>
        </w:rPr>
        <w:t xml:space="preserve"> In December 2018, the NSW Police Force advised us that there is a ‘CPR notification Committee’ which includes Corrective Services NSW and the courts, which ‘was notified of the form 3 process’. However, despite the Registry offering training to court staff, no training had been undertaken.</w:t>
      </w:r>
      <w:r w:rsidRPr="004A3983">
        <w:rPr>
          <w:rStyle w:val="FootnoteReference"/>
        </w:rPr>
        <w:footnoteReference w:id="495"/>
      </w:r>
    </w:p>
    <w:p w14:paraId="45748C83" w14:textId="70832563" w:rsidR="00CF614E" w:rsidRPr="004A3983" w:rsidRDefault="00CF614E" w:rsidP="003C5904">
      <w:pPr>
        <w:autoSpaceDE w:val="0"/>
        <w:autoSpaceDN w:val="0"/>
        <w:spacing w:after="160"/>
        <w:ind w:right="-2"/>
        <w:rPr>
          <w:rFonts w:ascii="Gotham Book" w:hAnsi="Gotham Book" w:cs="ArialMT"/>
        </w:rPr>
      </w:pPr>
      <w:r w:rsidRPr="004A3983">
        <w:rPr>
          <w:rFonts w:ascii="Gotham Book" w:hAnsi="Gotham Book" w:cs="Arial"/>
        </w:rPr>
        <w:t>In 2018 the Registry Manager reported that due to courts in N</w:t>
      </w:r>
      <w:r w:rsidR="005D73D6" w:rsidRPr="004A3983">
        <w:rPr>
          <w:rFonts w:ascii="Gotham Book" w:hAnsi="Gotham Book" w:cs="Arial"/>
        </w:rPr>
        <w:t xml:space="preserve">ew South Wales </w:t>
      </w:r>
      <w:r w:rsidRPr="004A3983">
        <w:rPr>
          <w:rFonts w:ascii="Gotham Book" w:hAnsi="Gotham Book" w:cs="Arial"/>
        </w:rPr>
        <w:t>‘</w:t>
      </w:r>
      <w:r w:rsidRPr="004A3983">
        <w:rPr>
          <w:rFonts w:ascii="Gotham Book" w:hAnsi="Gotham Book" w:cs="ArialMT"/>
        </w:rPr>
        <w:t>very rarely’ serving notices of reporting obligations on registrable persons, staff in the Registry were required to ‘track down the whereabouts of offenders and have local police officers, or Probation and Parole officers serve notification documents on the offender, which at times can be a laborious process’.</w:t>
      </w:r>
      <w:r w:rsidRPr="004A3983">
        <w:rPr>
          <w:rStyle w:val="FootnoteReference"/>
          <w:rFonts w:ascii="Gotham Book" w:hAnsi="Gotham Book" w:cs="ArialMT"/>
        </w:rPr>
        <w:footnoteReference w:id="496"/>
      </w:r>
    </w:p>
    <w:p w14:paraId="33BC4A8D" w14:textId="186CE3D5" w:rsidR="00AF13F7" w:rsidRPr="004A3983" w:rsidRDefault="00CF614E" w:rsidP="003C5904">
      <w:pPr>
        <w:pStyle w:val="Heading2"/>
        <w:spacing w:after="160"/>
        <w:ind w:right="-2"/>
      </w:pPr>
      <w:bookmarkStart w:id="455" w:name="_Ref9349630"/>
      <w:bookmarkStart w:id="456" w:name="_Toc22627820"/>
      <w:r w:rsidRPr="004A3983">
        <w:lastRenderedPageBreak/>
        <w:t>Supervising authorities’ obligations to inform the NSW Police Force when registrable persons are released from government custody</w:t>
      </w:r>
      <w:bookmarkEnd w:id="455"/>
      <w:bookmarkEnd w:id="456"/>
    </w:p>
    <w:p w14:paraId="53730914" w14:textId="77777777" w:rsidR="0061005E" w:rsidRPr="004A3983" w:rsidRDefault="00CF614E" w:rsidP="003C5904">
      <w:pPr>
        <w:spacing w:after="160"/>
        <w:ind w:right="-2"/>
        <w:rPr>
          <w:rFonts w:ascii="Gotham Book" w:hAnsi="Gotham Book"/>
        </w:rPr>
      </w:pPr>
      <w:r w:rsidRPr="004A3983">
        <w:rPr>
          <w:rFonts w:ascii="Gotham Book" w:hAnsi="Gotham Book"/>
        </w:rPr>
        <w:t xml:space="preserve">Under </w:t>
      </w:r>
      <w:r w:rsidR="0061005E" w:rsidRPr="004A3983">
        <w:rPr>
          <w:rFonts w:ascii="Gotham Book" w:hAnsi="Gotham Book"/>
        </w:rPr>
        <w:t xml:space="preserve">s 6 of </w:t>
      </w:r>
      <w:r w:rsidRPr="004A3983">
        <w:rPr>
          <w:rFonts w:ascii="Gotham Book" w:hAnsi="Gotham Book"/>
        </w:rPr>
        <w:t xml:space="preserve">the CPOR Act supervising authorities are required to notify the </w:t>
      </w:r>
      <w:r w:rsidR="0061005E" w:rsidRPr="004A3983">
        <w:rPr>
          <w:rFonts w:ascii="Gotham Book" w:hAnsi="Gotham Book"/>
        </w:rPr>
        <w:t xml:space="preserve">NSW </w:t>
      </w:r>
      <w:r w:rsidRPr="004A3983">
        <w:rPr>
          <w:rFonts w:ascii="Gotham Book" w:hAnsi="Gotham Book"/>
        </w:rPr>
        <w:t>Commissioner of Police in writing whenever a registrable person is released from government custody (for example because they are granted parole, or finish their sentence of imprisonment, or are discharged from a mental health facility</w:t>
      </w:r>
      <w:r w:rsidR="0061005E" w:rsidRPr="004A3983">
        <w:rPr>
          <w:rFonts w:ascii="Gotham Book" w:hAnsi="Gotham Book"/>
        </w:rPr>
        <w:t>).</w:t>
      </w:r>
      <w:r w:rsidRPr="004A3983">
        <w:rPr>
          <w:rFonts w:ascii="Gotham Book" w:hAnsi="Gotham Book"/>
        </w:rPr>
        <w:t xml:space="preserve"> This notice must be given as soon as practicable before or after the person leaves their supervision. </w:t>
      </w:r>
    </w:p>
    <w:p w14:paraId="16A175E1" w14:textId="4C65B938" w:rsidR="00CF614E" w:rsidRPr="004A3983" w:rsidRDefault="00CF614E" w:rsidP="003C5904">
      <w:pPr>
        <w:spacing w:after="160"/>
        <w:ind w:right="-2"/>
        <w:rPr>
          <w:rFonts w:ascii="Gotham Book" w:hAnsi="Gotham Book" w:cs="Arial"/>
        </w:rPr>
      </w:pPr>
      <w:r w:rsidRPr="004A3983">
        <w:rPr>
          <w:rFonts w:ascii="Gotham Book" w:hAnsi="Gotham Book" w:cs="Arial"/>
        </w:rPr>
        <w:t xml:space="preserve">The NSW Police Force relies on these notifications to ensure </w:t>
      </w:r>
      <w:r w:rsidR="0061005E" w:rsidRPr="004A3983">
        <w:rPr>
          <w:rFonts w:ascii="Gotham Book" w:hAnsi="Gotham Book" w:cs="Arial"/>
        </w:rPr>
        <w:t xml:space="preserve">that the information in the Register about a person’s reporting obligations is kept up to date. </w:t>
      </w:r>
      <w:r w:rsidRPr="004A3983">
        <w:rPr>
          <w:rFonts w:ascii="Gotham Book" w:hAnsi="Gotham Book" w:cs="Arial"/>
        </w:rPr>
        <w:t xml:space="preserve">Once a registrable person’s reporting obligations have started, the NSW Police </w:t>
      </w:r>
      <w:r w:rsidR="00151AE0" w:rsidRPr="004A3983">
        <w:rPr>
          <w:rFonts w:ascii="Gotham Book" w:hAnsi="Gotham Book" w:cs="Arial"/>
        </w:rPr>
        <w:t xml:space="preserve">Force </w:t>
      </w:r>
      <w:r w:rsidRPr="004A3983">
        <w:rPr>
          <w:rFonts w:ascii="Gotham Book" w:hAnsi="Gotham Book" w:cs="Arial"/>
        </w:rPr>
        <w:t>is required to suspend their obligations any time they enter government custody, for example, if they are imprisoned for subsequent offending</w:t>
      </w:r>
      <w:r w:rsidRPr="004A3983">
        <w:rPr>
          <w:rFonts w:ascii="Gotham Book" w:hAnsi="Gotham Book"/>
        </w:rPr>
        <w:t>.</w:t>
      </w:r>
      <w:r w:rsidRPr="004A3983">
        <w:rPr>
          <w:rStyle w:val="FootnoteReference"/>
          <w:rFonts w:ascii="Gotham Book" w:hAnsi="Gotham Book"/>
        </w:rPr>
        <w:footnoteReference w:id="497"/>
      </w:r>
      <w:r w:rsidRPr="004A3983">
        <w:rPr>
          <w:rFonts w:ascii="Gotham Book" w:hAnsi="Gotham Book"/>
        </w:rPr>
        <w:t xml:space="preserve"> When the person is released from custody, the NSW Police Force must</w:t>
      </w:r>
      <w:r w:rsidR="00C81E0B" w:rsidRPr="004A3983">
        <w:rPr>
          <w:rFonts w:ascii="Gotham Book" w:hAnsi="Gotham Book"/>
        </w:rPr>
        <w:t xml:space="preserve"> re</w:t>
      </w:r>
      <w:r w:rsidRPr="004A3983">
        <w:rPr>
          <w:rFonts w:ascii="Gotham Book" w:hAnsi="Gotham Book"/>
        </w:rPr>
        <w:t>start their reporting obligations. The NSW Police Force must also extend the end-date for the person’s reporting obligations by the length of time they spent in government custody.</w:t>
      </w:r>
      <w:r w:rsidRPr="004A3983">
        <w:rPr>
          <w:rStyle w:val="FootnoteReference"/>
          <w:rFonts w:ascii="Gotham Book" w:hAnsi="Gotham Book"/>
        </w:rPr>
        <w:footnoteReference w:id="498"/>
      </w:r>
      <w:r w:rsidRPr="004A3983">
        <w:rPr>
          <w:rFonts w:ascii="Gotham Book" w:hAnsi="Gotham Book"/>
        </w:rPr>
        <w:t xml:space="preserve"> In practice this is all done within </w:t>
      </w:r>
      <w:r w:rsidR="00F60B2C" w:rsidRPr="004A3983">
        <w:rPr>
          <w:rFonts w:ascii="Gotham Book" w:hAnsi="Gotham Book" w:cs="Arial"/>
        </w:rPr>
        <w:t>the NSW Police Force</w:t>
      </w:r>
      <w:r w:rsidRPr="004A3983">
        <w:rPr>
          <w:rFonts w:ascii="Gotham Book" w:hAnsi="Gotham Book" w:cs="Arial"/>
        </w:rPr>
        <w:t xml:space="preserve"> Computerised Operational Policing System (COPS).</w:t>
      </w:r>
    </w:p>
    <w:p w14:paraId="25133376" w14:textId="4369A75B" w:rsidR="00CF614E" w:rsidRPr="004A3983" w:rsidRDefault="00CF614E" w:rsidP="003C5904">
      <w:pPr>
        <w:spacing w:after="160"/>
        <w:ind w:right="-2"/>
        <w:rPr>
          <w:rFonts w:ascii="Gotham Book" w:hAnsi="Gotham Book" w:cs="Arial"/>
        </w:rPr>
      </w:pPr>
      <w:r w:rsidRPr="004A3983">
        <w:rPr>
          <w:rFonts w:ascii="Gotham Book" w:hAnsi="Gotham Book" w:cs="Arial"/>
        </w:rPr>
        <w:t xml:space="preserve">When the Register was established in 2001 the NSW Police Force set up electronic systems which enabled </w:t>
      </w:r>
      <w:r w:rsidR="00F60B2C" w:rsidRPr="004A3983">
        <w:rPr>
          <w:rFonts w:ascii="Gotham Book" w:hAnsi="Gotham Book" w:cs="Arial"/>
        </w:rPr>
        <w:t>the Corrective Services NSW</w:t>
      </w:r>
      <w:r w:rsidRPr="004A3983">
        <w:rPr>
          <w:rFonts w:ascii="Gotham Book" w:hAnsi="Gotham Book" w:cs="Arial"/>
        </w:rPr>
        <w:t xml:space="preserve"> Offende</w:t>
      </w:r>
      <w:r w:rsidR="00270E82" w:rsidRPr="004A3983">
        <w:rPr>
          <w:rFonts w:ascii="Gotham Book" w:hAnsi="Gotham Book" w:cs="Arial"/>
        </w:rPr>
        <w:t xml:space="preserve">r Integrated Management System to automatically notify </w:t>
      </w:r>
      <w:r w:rsidRPr="004A3983">
        <w:rPr>
          <w:rFonts w:ascii="Gotham Book" w:hAnsi="Gotham Book" w:cs="Arial"/>
        </w:rPr>
        <w:t>COPS when a registrable person entered full-time custody, and again when the person was released.</w:t>
      </w:r>
      <w:r w:rsidRPr="004A3983">
        <w:rPr>
          <w:rStyle w:val="FootnoteReference"/>
          <w:rFonts w:ascii="Gotham Book" w:hAnsi="Gotham Book" w:cs="Arial"/>
        </w:rPr>
        <w:footnoteReference w:id="499"/>
      </w:r>
      <w:r w:rsidRPr="004A3983">
        <w:rPr>
          <w:rFonts w:ascii="Gotham Book" w:hAnsi="Gotham Book" w:cs="Arial"/>
        </w:rPr>
        <w:t xml:space="preserve"> </w:t>
      </w:r>
    </w:p>
    <w:p w14:paraId="29857C27" w14:textId="327B5325" w:rsidR="00094314" w:rsidRPr="004A3983" w:rsidRDefault="00270E82" w:rsidP="003C5904">
      <w:pPr>
        <w:spacing w:after="160"/>
        <w:ind w:right="-2"/>
        <w:rPr>
          <w:rFonts w:ascii="Gotham Book" w:hAnsi="Gotham Book" w:cs="Arial"/>
        </w:rPr>
      </w:pPr>
      <w:r w:rsidRPr="004A3983">
        <w:rPr>
          <w:rFonts w:ascii="Gotham Book" w:hAnsi="Gotham Book" w:cs="Arial"/>
        </w:rPr>
        <w:t>However</w:t>
      </w:r>
      <w:r w:rsidR="004A5C60" w:rsidRPr="004A3983">
        <w:rPr>
          <w:rFonts w:ascii="Gotham Book" w:hAnsi="Gotham Book" w:cs="Arial"/>
        </w:rPr>
        <w:t>, at some point prior to 2014 these systems started</w:t>
      </w:r>
      <w:r w:rsidR="00CF614E" w:rsidRPr="004A3983">
        <w:rPr>
          <w:rFonts w:ascii="Gotham Book" w:hAnsi="Gotham Book" w:cs="Arial"/>
        </w:rPr>
        <w:t xml:space="preserve"> malfunctioning. This resulted in registrable persons being in the community without the knowledge of the NSW Police Force, because </w:t>
      </w:r>
      <w:r w:rsidR="001C6776" w:rsidRPr="004A3983">
        <w:rPr>
          <w:rFonts w:ascii="Gotham Book" w:hAnsi="Gotham Book" w:cs="Arial"/>
        </w:rPr>
        <w:t xml:space="preserve">their </w:t>
      </w:r>
      <w:r w:rsidR="00CF614E" w:rsidRPr="004A3983">
        <w:rPr>
          <w:rFonts w:ascii="Gotham Book" w:hAnsi="Gotham Book" w:cs="Arial"/>
        </w:rPr>
        <w:t xml:space="preserve">COPS </w:t>
      </w:r>
      <w:r w:rsidR="001C6776" w:rsidRPr="004A3983">
        <w:rPr>
          <w:rFonts w:ascii="Gotham Book" w:hAnsi="Gotham Book" w:cs="Arial"/>
        </w:rPr>
        <w:t>records showed</w:t>
      </w:r>
      <w:r w:rsidR="00CF614E" w:rsidRPr="004A3983">
        <w:rPr>
          <w:rFonts w:ascii="Gotham Book" w:hAnsi="Gotham Book" w:cs="Arial"/>
        </w:rPr>
        <w:t xml:space="preserve"> them as </w:t>
      </w:r>
      <w:r w:rsidR="001C6776" w:rsidRPr="004A3983">
        <w:rPr>
          <w:rFonts w:ascii="Gotham Book" w:hAnsi="Gotham Book" w:cs="Arial"/>
        </w:rPr>
        <w:t xml:space="preserve">still </w:t>
      </w:r>
      <w:r w:rsidR="00CF614E" w:rsidRPr="004A3983">
        <w:rPr>
          <w:rFonts w:ascii="Gotham Book" w:hAnsi="Gotham Book" w:cs="Arial"/>
        </w:rPr>
        <w:t xml:space="preserve">being in custody. </w:t>
      </w:r>
      <w:r w:rsidR="00094314" w:rsidRPr="004A3983">
        <w:rPr>
          <w:rFonts w:ascii="Gotham Book" w:hAnsi="Gotham Book" w:cs="Arial"/>
        </w:rPr>
        <w:t>A</w:t>
      </w:r>
      <w:r w:rsidRPr="004A3983">
        <w:rPr>
          <w:rFonts w:ascii="Gotham Book" w:hAnsi="Gotham Book" w:cs="Arial"/>
        </w:rPr>
        <w:t>t the time of writing these systems had not yet been fixed, although a</w:t>
      </w:r>
      <w:r w:rsidR="0065204A" w:rsidRPr="004A3983">
        <w:rPr>
          <w:rFonts w:ascii="Gotham Book" w:hAnsi="Gotham Book" w:cs="Arial"/>
        </w:rPr>
        <w:t>n IT project to fix those systems</w:t>
      </w:r>
      <w:r w:rsidRPr="004A3983">
        <w:rPr>
          <w:rFonts w:ascii="Gotham Book" w:hAnsi="Gotham Book" w:cs="Arial"/>
        </w:rPr>
        <w:t xml:space="preserve"> was underway. </w:t>
      </w:r>
      <w:r w:rsidR="0065204A" w:rsidRPr="004A3983">
        <w:rPr>
          <w:rFonts w:ascii="Gotham Book" w:hAnsi="Gotham Book" w:cs="Arial"/>
        </w:rPr>
        <w:t>The</w:t>
      </w:r>
      <w:r w:rsidR="00094314" w:rsidRPr="004A3983">
        <w:rPr>
          <w:rFonts w:ascii="Gotham Book" w:hAnsi="Gotham Book" w:cs="Arial"/>
        </w:rPr>
        <w:t xml:space="preserve"> issues with the electronic systems and the need for the IT project to be prioritised and completed are discussed further in Chapter 8.</w:t>
      </w:r>
    </w:p>
    <w:p w14:paraId="518E56EB" w14:textId="4BA45AED" w:rsidR="00CF614E" w:rsidRPr="004A3983" w:rsidRDefault="00094314" w:rsidP="003C5904">
      <w:pPr>
        <w:spacing w:after="160"/>
        <w:ind w:right="-2"/>
        <w:rPr>
          <w:rFonts w:ascii="Gotham Book" w:hAnsi="Gotham Book" w:cs="Arial"/>
        </w:rPr>
      </w:pPr>
      <w:r w:rsidRPr="004A3983">
        <w:rPr>
          <w:rFonts w:ascii="Gotham Book" w:hAnsi="Gotham Book" w:cs="Arial"/>
        </w:rPr>
        <w:t xml:space="preserve">Until these systems are fixed, </w:t>
      </w:r>
      <w:r w:rsidR="00CF614E" w:rsidRPr="004A3983">
        <w:rPr>
          <w:rFonts w:ascii="Gotham Book" w:hAnsi="Gotham Book" w:cs="Arial"/>
        </w:rPr>
        <w:t>Regist</w:t>
      </w:r>
      <w:r w:rsidR="00C81E0B" w:rsidRPr="004A3983">
        <w:rPr>
          <w:rFonts w:ascii="Gotham Book" w:hAnsi="Gotham Book" w:cs="Arial"/>
        </w:rPr>
        <w:t>ry officers need to manually re</w:t>
      </w:r>
      <w:r w:rsidR="00CF614E" w:rsidRPr="004A3983">
        <w:rPr>
          <w:rFonts w:ascii="Gotham Book" w:hAnsi="Gotham Book" w:cs="Arial"/>
        </w:rPr>
        <w:t xml:space="preserve">start and extend registrable persons’ reporting obligations as soon as they leave government custody. These officers rely on notifications from Corrective Services NSW.  </w:t>
      </w:r>
    </w:p>
    <w:p w14:paraId="68560502" w14:textId="38CF6FD8" w:rsidR="00CF614E" w:rsidRPr="004A3983" w:rsidRDefault="00CF614E" w:rsidP="003C5904">
      <w:pPr>
        <w:spacing w:after="160"/>
        <w:ind w:right="-2"/>
        <w:rPr>
          <w:rFonts w:ascii="Gotham Book" w:hAnsi="Gotham Book" w:cs="Arial"/>
        </w:rPr>
      </w:pPr>
      <w:r w:rsidRPr="004A3983">
        <w:rPr>
          <w:rFonts w:ascii="Gotham Book" w:hAnsi="Gotham Book" w:cs="Arial"/>
        </w:rPr>
        <w:t xml:space="preserve">The NSW Police Force similarly relies on notifications from mental health facilities where registrable persons are </w:t>
      </w:r>
      <w:r w:rsidR="00120549" w:rsidRPr="004A3983">
        <w:rPr>
          <w:rFonts w:ascii="Gotham Book" w:hAnsi="Gotham Book" w:cs="Arial"/>
        </w:rPr>
        <w:t>in custody as forensic patients</w:t>
      </w:r>
      <w:r w:rsidRPr="004A3983">
        <w:rPr>
          <w:rFonts w:ascii="Gotham Book" w:hAnsi="Gotham Book" w:cs="Arial"/>
        </w:rPr>
        <w:t xml:space="preserve"> but are granted regular, unsupervised leave from those f</w:t>
      </w:r>
      <w:r w:rsidR="00444FDE" w:rsidRPr="004A3983">
        <w:rPr>
          <w:rFonts w:ascii="Gotham Book" w:hAnsi="Gotham Book" w:cs="Arial"/>
        </w:rPr>
        <w:t>acilitie</w:t>
      </w:r>
      <w:r w:rsidRPr="004A3983">
        <w:rPr>
          <w:rFonts w:ascii="Gotham Book" w:hAnsi="Gotham Book" w:cs="Arial"/>
        </w:rPr>
        <w:t>s.</w:t>
      </w:r>
      <w:r w:rsidRPr="004A3983">
        <w:rPr>
          <w:rStyle w:val="FootnoteReference"/>
          <w:rFonts w:ascii="Gotham Book" w:hAnsi="Gotham Book" w:cs="Arial"/>
        </w:rPr>
        <w:footnoteReference w:id="500"/>
      </w:r>
    </w:p>
    <w:p w14:paraId="0E885C28" w14:textId="15985DF3" w:rsidR="00CF614E" w:rsidRPr="004A3983" w:rsidRDefault="00CF614E" w:rsidP="003C5904">
      <w:pPr>
        <w:spacing w:after="160"/>
        <w:ind w:right="-2"/>
        <w:rPr>
          <w:rFonts w:ascii="Gotham Book" w:hAnsi="Gotham Book" w:cs="Arial"/>
        </w:rPr>
      </w:pPr>
      <w:r w:rsidRPr="004A3983">
        <w:rPr>
          <w:rFonts w:ascii="Gotham Book" w:hAnsi="Gotham Book" w:cs="Arial"/>
        </w:rPr>
        <w:lastRenderedPageBreak/>
        <w:t>The NSW Police Force informed us in October 2018 that:</w:t>
      </w:r>
    </w:p>
    <w:p w14:paraId="70E0FD27" w14:textId="6FFD719B" w:rsidR="00CF614E" w:rsidRPr="004A3983" w:rsidRDefault="00CF614E" w:rsidP="00F97BD5">
      <w:pPr>
        <w:pStyle w:val="Quotesmall1cm"/>
      </w:pPr>
      <w:r w:rsidRPr="004A3983">
        <w:t>The reporting periods must be recalculated on each occasion an offender enters or exists custody, or spends time in a mental</w:t>
      </w:r>
      <w:r w:rsidR="00E236E6" w:rsidRPr="004A3983">
        <w:t xml:space="preserve"> health</w:t>
      </w:r>
      <w:r w:rsidRPr="004A3983">
        <w:t xml:space="preserve"> facility. Unfortunately, the Registry is not always advised when this occurs, despite section 6 of the [CPOR Act]</w:t>
      </w:r>
      <w:r w:rsidR="00444FDE" w:rsidRPr="004A3983">
        <w:t xml:space="preserve">, which creates </w:t>
      </w:r>
      <w:r w:rsidR="0077295A" w:rsidRPr="004A3983">
        <w:t xml:space="preserve">a </w:t>
      </w:r>
      <w:r w:rsidR="00444FDE" w:rsidRPr="004A3983">
        <w:t>risk of error.</w:t>
      </w:r>
    </w:p>
    <w:p w14:paraId="3B4AED12" w14:textId="6562CCCB" w:rsidR="00CF614E" w:rsidRPr="004A3983" w:rsidRDefault="00CF614E" w:rsidP="00F97BD5">
      <w:pPr>
        <w:pStyle w:val="Quotesmall1cm"/>
      </w:pPr>
      <w:r w:rsidRPr="004A3983">
        <w:t>The Registry is also not advised under s</w:t>
      </w:r>
      <w:r w:rsidR="005A68D1" w:rsidRPr="004A3983">
        <w:t xml:space="preserve"> </w:t>
      </w:r>
      <w:r w:rsidRPr="004A3983">
        <w:t>6 of the Act when a person ceases to be in strict government custody at a mental health facility as a forensic patient.</w:t>
      </w:r>
      <w:r w:rsidRPr="004A3983">
        <w:rPr>
          <w:rStyle w:val="FootnoteReference"/>
          <w:rFonts w:cs="Arial"/>
        </w:rPr>
        <w:footnoteReference w:id="501"/>
      </w:r>
    </w:p>
    <w:p w14:paraId="4D06C97F" w14:textId="1BA820F7" w:rsidR="00CF614E" w:rsidRPr="004A3983" w:rsidRDefault="00CF614E" w:rsidP="003C5904">
      <w:pPr>
        <w:spacing w:after="160"/>
        <w:ind w:right="-2"/>
        <w:rPr>
          <w:rFonts w:ascii="Gotham Book" w:hAnsi="Gotham Book" w:cs="Arial"/>
        </w:rPr>
      </w:pPr>
      <w:r w:rsidRPr="004A3983">
        <w:rPr>
          <w:rFonts w:ascii="Gotham Book" w:hAnsi="Gotham Book" w:cs="Arial"/>
        </w:rPr>
        <w:t>If the Registry is not notified when registered persons enter or leave custody, it is unable to update their reporting period end dates as required by the CPOR Act.</w:t>
      </w:r>
    </w:p>
    <w:p w14:paraId="764DA461" w14:textId="09F6BA71" w:rsidR="00444FDE" w:rsidRPr="004A3983" w:rsidRDefault="00464652" w:rsidP="003C5904">
      <w:pPr>
        <w:pStyle w:val="Heading2"/>
        <w:spacing w:after="160"/>
        <w:ind w:right="-2"/>
      </w:pPr>
      <w:bookmarkStart w:id="457" w:name="_Ref9351882"/>
      <w:bookmarkStart w:id="458" w:name="_Toc22627821"/>
      <w:r w:rsidRPr="004A3983">
        <w:t>Interim solutions to</w:t>
      </w:r>
      <w:r w:rsidR="00444FDE" w:rsidRPr="004A3983">
        <w:t xml:space="preserve"> problems with information and notifications from </w:t>
      </w:r>
      <w:bookmarkEnd w:id="457"/>
      <w:r w:rsidR="002C47D6" w:rsidRPr="004A3983">
        <w:t>other authorities</w:t>
      </w:r>
      <w:bookmarkEnd w:id="458"/>
    </w:p>
    <w:p w14:paraId="6AE70B6B" w14:textId="31BF636D" w:rsidR="00444FDE" w:rsidRPr="004A3983" w:rsidRDefault="00FB656D" w:rsidP="003C5904">
      <w:pPr>
        <w:pStyle w:val="Heading3"/>
        <w:spacing w:after="160"/>
        <w:ind w:right="-2"/>
      </w:pPr>
      <w:bookmarkStart w:id="459" w:name="_Toc12020374"/>
      <w:bookmarkStart w:id="460" w:name="_Toc14790540"/>
      <w:bookmarkStart w:id="461" w:name="_Toc15478423"/>
      <w:bookmarkStart w:id="462" w:name="_Toc22627822"/>
      <w:bookmarkStart w:id="463" w:name="_Toc8913561"/>
      <w:bookmarkStart w:id="464" w:name="_Toc9428422"/>
      <w:r w:rsidRPr="004A3983">
        <w:t>Access to courts</w:t>
      </w:r>
      <w:r w:rsidR="00295262" w:rsidRPr="004A3983">
        <w:t xml:space="preserve"> information system</w:t>
      </w:r>
      <w:bookmarkEnd w:id="459"/>
      <w:bookmarkEnd w:id="460"/>
      <w:bookmarkEnd w:id="461"/>
      <w:bookmarkEnd w:id="462"/>
      <w:r w:rsidR="00444FDE" w:rsidRPr="004A3983">
        <w:t xml:space="preserve"> </w:t>
      </w:r>
      <w:bookmarkEnd w:id="463"/>
      <w:bookmarkEnd w:id="464"/>
    </w:p>
    <w:p w14:paraId="0D54E735" w14:textId="34B73D01" w:rsidR="00444FDE" w:rsidRPr="004A3983" w:rsidRDefault="00444FDE" w:rsidP="003C5904">
      <w:pPr>
        <w:spacing w:after="160"/>
        <w:ind w:right="-2"/>
        <w:rPr>
          <w:rFonts w:ascii="Gotham Book" w:eastAsia="Source Sans Pro Light" w:hAnsi="Gotham Book" w:cs="ArialMT"/>
        </w:rPr>
      </w:pPr>
      <w:r w:rsidRPr="004A3983">
        <w:rPr>
          <w:rFonts w:ascii="Gotham Book" w:eastAsia="Source Sans Pro Light" w:hAnsi="Gotham Book" w:cs="ArialMT"/>
        </w:rPr>
        <w:t xml:space="preserve">As the NSW Police Force has assumed the responsibility of determining which offenders are registrable persons under the CPOR Act, it is dependent on </w:t>
      </w:r>
      <w:r w:rsidR="006E68FE" w:rsidRPr="004A3983">
        <w:rPr>
          <w:rFonts w:ascii="Gotham Book" w:eastAsia="Source Sans Pro Light" w:hAnsi="Gotham Book" w:cs="ArialMT"/>
        </w:rPr>
        <w:t>other authorities</w:t>
      </w:r>
      <w:r w:rsidRPr="004A3983">
        <w:rPr>
          <w:rFonts w:ascii="Gotham Book" w:eastAsia="Source Sans Pro Light" w:hAnsi="Gotham Book" w:cs="ArialMT"/>
        </w:rPr>
        <w:t xml:space="preserve"> to provide it with the detailed information it needs to make these decisions correctly. Primarily this is information from the court proceedin</w:t>
      </w:r>
      <w:r w:rsidR="00291362" w:rsidRPr="004A3983">
        <w:rPr>
          <w:rFonts w:ascii="Gotham Book" w:eastAsia="Source Sans Pro Light" w:hAnsi="Gotham Book" w:cs="ArialMT"/>
        </w:rPr>
        <w:t>gs about the person’s offending</w:t>
      </w:r>
      <w:r w:rsidRPr="004A3983">
        <w:rPr>
          <w:rFonts w:ascii="Gotham Book" w:eastAsia="Source Sans Pro Light" w:hAnsi="Gotham Book" w:cs="ArialMT"/>
        </w:rPr>
        <w:t xml:space="preserve"> and their sentence.</w:t>
      </w:r>
      <w:r w:rsidRPr="004A3983">
        <w:rPr>
          <w:rStyle w:val="FootnoteReference"/>
          <w:rFonts w:ascii="Gotham Book" w:eastAsia="Source Sans Pro Light" w:hAnsi="Gotham Book" w:cs="ArialMT"/>
        </w:rPr>
        <w:footnoteReference w:id="502"/>
      </w:r>
    </w:p>
    <w:p w14:paraId="18C03590" w14:textId="77777777" w:rsidR="00375A86" w:rsidRPr="004A3983" w:rsidRDefault="00444FDE" w:rsidP="003C5904">
      <w:pPr>
        <w:spacing w:after="160"/>
        <w:ind w:right="-2"/>
        <w:rPr>
          <w:rFonts w:ascii="Gotham Book" w:hAnsi="Gotham Book"/>
        </w:rPr>
      </w:pPr>
      <w:r w:rsidRPr="004A3983">
        <w:rPr>
          <w:rFonts w:ascii="Gotham Book" w:hAnsi="Gotham Book"/>
        </w:rPr>
        <w:t>During a consultation in April 2018, Registry staff advised us that their most reliable source of information about court results is JusticeLink, an online system that contains information recorded by court staff about outcomes following criminal proceedings. However, only two officers in the Registry had access to that system, and could only access local court information.</w:t>
      </w:r>
      <w:r w:rsidRPr="004A3983">
        <w:rPr>
          <w:rStyle w:val="FootnoteReference"/>
          <w:rFonts w:ascii="Gotham Book" w:hAnsi="Gotham Book"/>
        </w:rPr>
        <w:footnoteReference w:id="503"/>
      </w:r>
      <w:r w:rsidRPr="004A3983">
        <w:rPr>
          <w:rFonts w:ascii="Gotham Book" w:hAnsi="Gotham Book"/>
        </w:rPr>
        <w:t xml:space="preserve"> </w:t>
      </w:r>
    </w:p>
    <w:p w14:paraId="2D9B1D6D" w14:textId="5D5FB7B4" w:rsidR="00444FDE" w:rsidRPr="004A3983" w:rsidRDefault="00041705" w:rsidP="003C5904">
      <w:pPr>
        <w:spacing w:after="160"/>
        <w:ind w:right="-2"/>
        <w:rPr>
          <w:rFonts w:ascii="Gotham Book" w:hAnsi="Gotham Book"/>
        </w:rPr>
      </w:pPr>
      <w:r w:rsidRPr="004A3983">
        <w:rPr>
          <w:rFonts w:ascii="Gotham Book" w:hAnsi="Gotham Book"/>
        </w:rPr>
        <w:t>In the Commission’s</w:t>
      </w:r>
      <w:r w:rsidR="00444FDE" w:rsidRPr="004A3983">
        <w:rPr>
          <w:rFonts w:ascii="Gotham Book" w:hAnsi="Gotham Book"/>
        </w:rPr>
        <w:t xml:space="preserve"> </w:t>
      </w:r>
      <w:r w:rsidR="0032758B" w:rsidRPr="004A3983">
        <w:rPr>
          <w:rFonts w:ascii="Gotham Book" w:hAnsi="Gotham Book"/>
        </w:rPr>
        <w:t xml:space="preserve">interim report on Operation Tusket </w:t>
      </w:r>
      <w:r w:rsidRPr="004A3983">
        <w:rPr>
          <w:rFonts w:ascii="Gotham Book" w:hAnsi="Gotham Book"/>
        </w:rPr>
        <w:t>we</w:t>
      </w:r>
      <w:r w:rsidR="00444FDE" w:rsidRPr="004A3983">
        <w:rPr>
          <w:rFonts w:ascii="Gotham Book" w:hAnsi="Gotham Book"/>
        </w:rPr>
        <w:t xml:space="preserve"> recommended that the NSW Police Force secure read-only access for all Registry staff to information in JusticeLink across all courts</w:t>
      </w:r>
      <w:r w:rsidR="00375A86" w:rsidRPr="004A3983">
        <w:rPr>
          <w:rFonts w:ascii="Gotham Book" w:hAnsi="Gotham Book"/>
        </w:rPr>
        <w:t xml:space="preserve">. </w:t>
      </w:r>
      <w:r w:rsidR="00940CC7" w:rsidRPr="004A3983">
        <w:rPr>
          <w:rFonts w:ascii="Gotham Book" w:hAnsi="Gotham Book"/>
        </w:rPr>
        <w:t>In its response to our interim report</w:t>
      </w:r>
      <w:r w:rsidR="00AD7769" w:rsidRPr="004A3983">
        <w:rPr>
          <w:rFonts w:ascii="Gotham Book" w:hAnsi="Gotham Book"/>
        </w:rPr>
        <w:t>,</w:t>
      </w:r>
      <w:r w:rsidR="00940CC7" w:rsidRPr="004A3983">
        <w:rPr>
          <w:rFonts w:ascii="Gotham Book" w:hAnsi="Gotham Book"/>
        </w:rPr>
        <w:t xml:space="preserve"> in October 2018</w:t>
      </w:r>
      <w:r w:rsidR="00444FDE" w:rsidRPr="004A3983">
        <w:rPr>
          <w:rFonts w:ascii="Gotham Book" w:hAnsi="Gotham Book"/>
        </w:rPr>
        <w:t xml:space="preserve"> the NSW Police Force stated that the Registry staff had been allocated access to JusticeLink, and ‘[f]ormal arrangements are currently being finalised’.</w:t>
      </w:r>
      <w:r w:rsidR="00444FDE" w:rsidRPr="004A3983">
        <w:rPr>
          <w:rStyle w:val="FootnoteReference"/>
          <w:rFonts w:ascii="Gotham Book" w:hAnsi="Gotham Book"/>
        </w:rPr>
        <w:footnoteReference w:id="504"/>
      </w:r>
    </w:p>
    <w:p w14:paraId="0FDAD42F" w14:textId="2F305364" w:rsidR="00444FDE" w:rsidRPr="004A3983" w:rsidRDefault="00444FDE" w:rsidP="003C5904">
      <w:pPr>
        <w:spacing w:after="160"/>
        <w:ind w:right="-2"/>
        <w:rPr>
          <w:rFonts w:ascii="Gotham Book" w:hAnsi="Gotham Book" w:cs="Arial"/>
        </w:rPr>
      </w:pPr>
      <w:r w:rsidRPr="004A3983">
        <w:rPr>
          <w:rFonts w:ascii="Gotham Book" w:hAnsi="Gotham Book" w:cs="Arial"/>
        </w:rPr>
        <w:t>The Commission welcomes this improvement. However access to JusticeLink is only a partial and interim solution to the problems the Registry experiences with timely access to detailed information which is crucial if it is to correctly apply the CPOR Act. JusticeLink only contains the cou</w:t>
      </w:r>
      <w:r w:rsidR="004370BB" w:rsidRPr="004A3983">
        <w:rPr>
          <w:rFonts w:ascii="Gotham Book" w:hAnsi="Gotham Book" w:cs="Arial"/>
        </w:rPr>
        <w:t>rt outcomes;</w:t>
      </w:r>
      <w:r w:rsidRPr="004A3983">
        <w:rPr>
          <w:rFonts w:ascii="Gotham Book" w:hAnsi="Gotham Book" w:cs="Arial"/>
        </w:rPr>
        <w:t xml:space="preserve"> it does</w:t>
      </w:r>
      <w:r w:rsidR="006A65AE" w:rsidRPr="004A3983">
        <w:rPr>
          <w:rFonts w:ascii="Gotham Book" w:hAnsi="Gotham Book" w:cs="Arial"/>
        </w:rPr>
        <w:t xml:space="preserve"> not contain the ‘Agreed Facts’</w:t>
      </w:r>
      <w:r w:rsidR="00E02591" w:rsidRPr="004A3983">
        <w:rPr>
          <w:rFonts w:ascii="Gotham Book" w:hAnsi="Gotham Book" w:cs="Arial"/>
        </w:rPr>
        <w:t xml:space="preserve"> which are </w:t>
      </w:r>
      <w:r w:rsidRPr="004A3983">
        <w:rPr>
          <w:rFonts w:ascii="Gotham Book" w:hAnsi="Gotham Book" w:cs="Arial"/>
        </w:rPr>
        <w:t xml:space="preserve">contained in hard copy files at the court (or with the prosecutors). These Agreed Facts often contain relevant details about the offences committed. Also, JusticeLink does not have the functionality to notify the Registry that a person has been sentenced for a registrable offence. </w:t>
      </w:r>
    </w:p>
    <w:p w14:paraId="75EA9681" w14:textId="768EFD40" w:rsidR="00444FDE" w:rsidRPr="004A3983" w:rsidRDefault="00444FDE" w:rsidP="003C5904">
      <w:pPr>
        <w:pStyle w:val="Heading3"/>
        <w:spacing w:after="160"/>
        <w:ind w:right="-2"/>
        <w:rPr>
          <w:rFonts w:eastAsia="Source Sans Pro Light"/>
        </w:rPr>
      </w:pPr>
      <w:bookmarkStart w:id="465" w:name="_Toc8913562"/>
      <w:bookmarkStart w:id="466" w:name="_Toc9428423"/>
      <w:bookmarkStart w:id="467" w:name="_Toc12020375"/>
      <w:bookmarkStart w:id="468" w:name="_Toc14790541"/>
      <w:bookmarkStart w:id="469" w:name="_Toc15478424"/>
      <w:bookmarkStart w:id="470" w:name="_Toc22627823"/>
      <w:r w:rsidRPr="004A3983">
        <w:rPr>
          <w:rFonts w:eastAsia="Source Sans Pro Light"/>
        </w:rPr>
        <w:lastRenderedPageBreak/>
        <w:t>Exploring a role for prosecutors</w:t>
      </w:r>
      <w:bookmarkEnd w:id="465"/>
      <w:bookmarkEnd w:id="466"/>
      <w:bookmarkEnd w:id="467"/>
      <w:bookmarkEnd w:id="468"/>
      <w:bookmarkEnd w:id="469"/>
      <w:bookmarkEnd w:id="470"/>
    </w:p>
    <w:p w14:paraId="73AA55B7" w14:textId="0B2E7D16" w:rsidR="00444FDE" w:rsidRPr="004A3983" w:rsidRDefault="00444FDE" w:rsidP="003C5904">
      <w:pPr>
        <w:spacing w:after="160"/>
        <w:ind w:right="-2"/>
        <w:rPr>
          <w:rFonts w:ascii="Gotham Book" w:hAnsi="Gotham Book" w:cs="Arial"/>
        </w:rPr>
      </w:pPr>
      <w:r w:rsidRPr="004A3983">
        <w:rPr>
          <w:rFonts w:ascii="Gotham Book" w:hAnsi="Gotham Book" w:cs="Arial"/>
        </w:rPr>
        <w:t>In July 2017 the Workforce I</w:t>
      </w:r>
      <w:r w:rsidR="00136676" w:rsidRPr="004A3983">
        <w:rPr>
          <w:rFonts w:ascii="Gotham Book" w:hAnsi="Gotham Book" w:cs="Arial"/>
        </w:rPr>
        <w:t>ntelligence Unit in its Register</w:t>
      </w:r>
      <w:r w:rsidRPr="004A3983">
        <w:rPr>
          <w:rFonts w:ascii="Gotham Book" w:hAnsi="Gotham Book" w:cs="Arial"/>
        </w:rPr>
        <w:t xml:space="preserve"> Staffing Review recommended that </w:t>
      </w:r>
      <w:r w:rsidR="00515623" w:rsidRPr="004A3983">
        <w:rPr>
          <w:rFonts w:ascii="Gotham Book" w:hAnsi="Gotham Book" w:cs="Arial"/>
        </w:rPr>
        <w:t>the Registry</w:t>
      </w:r>
      <w:r w:rsidRPr="004A3983">
        <w:rPr>
          <w:rFonts w:ascii="Gotham Book" w:hAnsi="Gotham Book" w:cs="Arial"/>
        </w:rPr>
        <w:t xml:space="preserve"> work with</w:t>
      </w:r>
      <w:r w:rsidR="005449F7" w:rsidRPr="004A3983">
        <w:rPr>
          <w:rFonts w:ascii="Gotham Book" w:hAnsi="Gotham Book" w:cs="Arial"/>
        </w:rPr>
        <w:t xml:space="preserve"> Police Prosecutors and</w:t>
      </w:r>
      <w:r w:rsidRPr="004A3983">
        <w:rPr>
          <w:rFonts w:ascii="Gotham Book" w:hAnsi="Gotham Book" w:cs="Arial"/>
        </w:rPr>
        <w:t xml:space="preserve"> the NSW Office of</w:t>
      </w:r>
      <w:r w:rsidR="00DF355A">
        <w:rPr>
          <w:rFonts w:ascii="Gotham Book" w:hAnsi="Gotham Book" w:cs="Arial"/>
        </w:rPr>
        <w:t> </w:t>
      </w:r>
      <w:r w:rsidRPr="004A3983">
        <w:rPr>
          <w:rFonts w:ascii="Gotham Book" w:hAnsi="Gotham Book" w:cs="Arial"/>
        </w:rPr>
        <w:t>the Director of Public Prosecutions to improve court administrative processes, to ensure that documents such as the Agreed Fact Sheets are sent to the Registry.</w:t>
      </w:r>
      <w:r w:rsidRPr="004A3983">
        <w:rPr>
          <w:rStyle w:val="FootnoteReference"/>
          <w:rFonts w:ascii="Gotham Book" w:hAnsi="Gotham Book"/>
        </w:rPr>
        <w:footnoteReference w:id="505"/>
      </w:r>
      <w:r w:rsidRPr="004A3983">
        <w:rPr>
          <w:rFonts w:ascii="Gotham Book" w:hAnsi="Gotham Book" w:cs="Arial"/>
        </w:rPr>
        <w:t xml:space="preserve"> We were advised by the NSW Police Force in December 2018 that there has been no</w:t>
      </w:r>
      <w:r w:rsidR="00DF355A">
        <w:rPr>
          <w:rFonts w:ascii="Gotham Book" w:hAnsi="Gotham Book" w:cs="Arial"/>
        </w:rPr>
        <w:t> </w:t>
      </w:r>
      <w:r w:rsidRPr="004A3983">
        <w:rPr>
          <w:rFonts w:ascii="Gotham Book" w:hAnsi="Gotham Book" w:cs="Arial"/>
        </w:rPr>
        <w:t>change to these practices.</w:t>
      </w:r>
      <w:r w:rsidRPr="004A3983">
        <w:rPr>
          <w:rStyle w:val="FootnoteReference"/>
          <w:rFonts w:ascii="Gotham Book" w:hAnsi="Gotham Book" w:cs="Arial"/>
        </w:rPr>
        <w:footnoteReference w:id="506"/>
      </w:r>
      <w:r w:rsidRPr="004A3983">
        <w:rPr>
          <w:rFonts w:ascii="Gotham Book" w:hAnsi="Gotham Book" w:cs="Arial"/>
        </w:rPr>
        <w:t xml:space="preserve">  </w:t>
      </w:r>
    </w:p>
    <w:p w14:paraId="72064ACE" w14:textId="5DBA0FF1" w:rsidR="00444FDE" w:rsidRPr="004A3983" w:rsidRDefault="00444FDE" w:rsidP="003C5904">
      <w:pPr>
        <w:spacing w:after="160"/>
        <w:ind w:right="-2"/>
        <w:rPr>
          <w:rFonts w:ascii="Gotham Book" w:hAnsi="Gotham Book" w:cs="Arial"/>
        </w:rPr>
      </w:pPr>
      <w:r w:rsidRPr="004A3983">
        <w:rPr>
          <w:rFonts w:ascii="Gotham Book" w:hAnsi="Gotham Book" w:cs="Arial"/>
        </w:rPr>
        <w:t>In November 2018 the Commission facilitated a meeting with senior officers from the Child Abuse and Sex Crimes Squad, the Registry and the Prosecutions Command of the NSW Police Force to discuss the merits of a role for prosecutors in passing on fact</w:t>
      </w:r>
      <w:r w:rsidR="00E32DA4" w:rsidRPr="004A3983">
        <w:rPr>
          <w:rFonts w:ascii="Gotham Book" w:hAnsi="Gotham Book" w:cs="Arial"/>
        </w:rPr>
        <w:t>ual information to the Registry</w:t>
      </w:r>
      <w:r w:rsidRPr="004A3983">
        <w:rPr>
          <w:rFonts w:ascii="Gotham Book" w:hAnsi="Gotham Book" w:cs="Arial"/>
        </w:rPr>
        <w:t xml:space="preserve"> in a subset of complex cases. There was general agreement about the importance of the Registry having access to detailed information about the sentencing of a person who is potentially registrable under the CPOR Act. There was also agreement that prosecutors are well placed to provide this information. However, the Acting Director from the Prosecutions Command ultimately favoured the development of an electronic system to automatically send this information from the courts to the Registry. Such a system would need to be implemented by the Department of Justice.</w:t>
      </w:r>
      <w:r w:rsidRPr="004A3983">
        <w:rPr>
          <w:rStyle w:val="FootnoteReference"/>
          <w:rFonts w:ascii="Gotham Book" w:hAnsi="Gotham Book" w:cs="Arial"/>
        </w:rPr>
        <w:footnoteReference w:id="507"/>
      </w:r>
      <w:r w:rsidRPr="004A3983">
        <w:rPr>
          <w:rFonts w:ascii="Gotham Book" w:hAnsi="Gotham Book" w:cs="Arial"/>
        </w:rPr>
        <w:t xml:space="preserve"> </w:t>
      </w:r>
    </w:p>
    <w:p w14:paraId="5A633FBA" w14:textId="34B82CEC" w:rsidR="00444FDE" w:rsidRPr="004A3983" w:rsidRDefault="00444FDE" w:rsidP="003C5904">
      <w:pPr>
        <w:spacing w:after="160"/>
        <w:ind w:right="-2"/>
        <w:rPr>
          <w:rFonts w:ascii="Gotham Book" w:hAnsi="Gotham Book" w:cs="Arial"/>
        </w:rPr>
      </w:pPr>
      <w:r w:rsidRPr="004A3983">
        <w:rPr>
          <w:rFonts w:ascii="Gotham Book" w:hAnsi="Gotham Book" w:cs="Arial"/>
        </w:rPr>
        <w:t xml:space="preserve">In November 2018 the Commission wrote to the NSW Director of Public Prosecutions, informing him of our investigation, and the Registry’s need for detailed information about the offences for which a person has been convicted in order to apply the CPOR Act. The Commission suggested that staff in the Office of the Director of Public Prosecutions may be best placed to directly provide this information to the Registry. </w:t>
      </w:r>
    </w:p>
    <w:p w14:paraId="446B2732" w14:textId="670650B4" w:rsidR="00444FDE" w:rsidRPr="004A3983" w:rsidRDefault="00444FDE" w:rsidP="003C5904">
      <w:pPr>
        <w:spacing w:after="160"/>
        <w:ind w:right="-2"/>
        <w:rPr>
          <w:rFonts w:ascii="Gotham Book" w:hAnsi="Gotham Book" w:cs="Arial"/>
        </w:rPr>
      </w:pPr>
      <w:r w:rsidRPr="004A3983">
        <w:rPr>
          <w:rFonts w:ascii="Gotham Book" w:hAnsi="Gotham Book" w:cs="Arial"/>
        </w:rPr>
        <w:t>The Commission encourages the NSW Police Force to continue consultations between the Registry and Prosecutions Command, as well as with the NSW Office of</w:t>
      </w:r>
      <w:r w:rsidR="00F97BD5">
        <w:rPr>
          <w:rFonts w:ascii="Gotham Book" w:hAnsi="Gotham Book" w:cs="Arial"/>
        </w:rPr>
        <w:t> </w:t>
      </w:r>
      <w:r w:rsidRPr="004A3983">
        <w:rPr>
          <w:rFonts w:ascii="Gotham Book" w:hAnsi="Gotham Book" w:cs="Arial"/>
        </w:rPr>
        <w:t>the Director of Public Prosecutions, to explore ways of improving the flow of information to the Registry.</w:t>
      </w:r>
    </w:p>
    <w:p w14:paraId="5DCB7092" w14:textId="7F92DEC4" w:rsidR="00444FDE" w:rsidRPr="004A3983" w:rsidRDefault="00444FDE" w:rsidP="003C5904">
      <w:pPr>
        <w:spacing w:after="160"/>
        <w:ind w:right="-2"/>
        <w:rPr>
          <w:rFonts w:ascii="Gotham Book" w:hAnsi="Gotham Book" w:cs="Arial"/>
        </w:rPr>
      </w:pPr>
      <w:r w:rsidRPr="004A3983">
        <w:rPr>
          <w:rFonts w:ascii="Gotham Book" w:hAnsi="Gotham Book" w:cs="Arial"/>
        </w:rPr>
        <w:t>Ultimately, the issue of which authority should be responsible for identifying registrable persons must be considered as part of the review of the CPOR Act we</w:t>
      </w:r>
      <w:r w:rsidR="00F97BD5">
        <w:rPr>
          <w:rFonts w:ascii="Gotham Book" w:hAnsi="Gotham Book" w:cs="Arial"/>
        </w:rPr>
        <w:t> </w:t>
      </w:r>
      <w:r w:rsidRPr="004A3983">
        <w:rPr>
          <w:rFonts w:ascii="Gotham Book" w:hAnsi="Gotham Book" w:cs="Arial"/>
        </w:rPr>
        <w:t xml:space="preserve">recommend in </w:t>
      </w:r>
      <w:r w:rsidR="00CD2EE0" w:rsidRPr="004A3983">
        <w:rPr>
          <w:rFonts w:ascii="Gotham Book" w:hAnsi="Gotham Book" w:cs="Arial"/>
        </w:rPr>
        <w:t xml:space="preserve">Chapter </w:t>
      </w:r>
      <w:r w:rsidR="00CD2EE0" w:rsidRPr="004A3983">
        <w:rPr>
          <w:rFonts w:ascii="Gotham Book" w:hAnsi="Gotham Book" w:cs="Arial"/>
        </w:rPr>
        <w:fldChar w:fldCharType="begin"/>
      </w:r>
      <w:r w:rsidR="00CD2EE0" w:rsidRPr="004A3983">
        <w:rPr>
          <w:rFonts w:ascii="Gotham Book" w:hAnsi="Gotham Book" w:cs="Arial"/>
        </w:rPr>
        <w:instrText xml:space="preserve"> REF _Ref9350149 \r \h </w:instrText>
      </w:r>
      <w:r w:rsidR="00703014" w:rsidRPr="004A3983">
        <w:rPr>
          <w:rFonts w:ascii="Gotham Book" w:hAnsi="Gotham Book" w:cs="Arial"/>
        </w:rPr>
        <w:instrText xml:space="preserve"> \* MERGEFORMAT </w:instrText>
      </w:r>
      <w:r w:rsidR="00CD2EE0" w:rsidRPr="004A3983">
        <w:rPr>
          <w:rFonts w:ascii="Gotham Book" w:hAnsi="Gotham Book" w:cs="Arial"/>
        </w:rPr>
      </w:r>
      <w:r w:rsidR="00CD2EE0" w:rsidRPr="004A3983">
        <w:rPr>
          <w:rFonts w:ascii="Gotham Book" w:hAnsi="Gotham Book" w:cs="Arial"/>
        </w:rPr>
        <w:fldChar w:fldCharType="separate"/>
      </w:r>
      <w:r w:rsidR="00022664">
        <w:rPr>
          <w:rFonts w:ascii="Gotham Book" w:hAnsi="Gotham Book" w:cs="Arial" w:hint="cs"/>
          <w:cs/>
        </w:rPr>
        <w:t>‎</w:t>
      </w:r>
      <w:r w:rsidR="00022664">
        <w:rPr>
          <w:rFonts w:ascii="Gotham Book" w:hAnsi="Gotham Book" w:cs="Arial"/>
        </w:rPr>
        <w:t>6</w:t>
      </w:r>
      <w:r w:rsidR="00CD2EE0" w:rsidRPr="004A3983">
        <w:rPr>
          <w:rFonts w:ascii="Gotham Book" w:hAnsi="Gotham Book" w:cs="Arial"/>
        </w:rPr>
        <w:fldChar w:fldCharType="end"/>
      </w:r>
      <w:r w:rsidRPr="004A3983">
        <w:rPr>
          <w:rFonts w:ascii="Gotham Book" w:hAnsi="Gotham Book" w:cs="Arial"/>
        </w:rPr>
        <w:t>.</w:t>
      </w:r>
    </w:p>
    <w:p w14:paraId="202AEDF7" w14:textId="53851A3B" w:rsidR="00444FDE" w:rsidRPr="004A3983" w:rsidRDefault="00444FDE" w:rsidP="003C5904">
      <w:pPr>
        <w:pStyle w:val="Heading3"/>
        <w:spacing w:after="160"/>
        <w:ind w:right="-2"/>
        <w:rPr>
          <w:rFonts w:ascii="Gotham Book" w:eastAsia="Source Sans Pro Light" w:hAnsi="Gotham Book"/>
        </w:rPr>
      </w:pPr>
      <w:bookmarkStart w:id="471" w:name="_Ref9245784"/>
      <w:bookmarkStart w:id="472" w:name="_Toc9428424"/>
      <w:bookmarkStart w:id="473" w:name="_Toc12020376"/>
      <w:bookmarkStart w:id="474" w:name="_Toc14790542"/>
      <w:bookmarkStart w:id="475" w:name="_Toc15478425"/>
      <w:bookmarkStart w:id="476" w:name="_Toc22627824"/>
      <w:bookmarkStart w:id="477" w:name="_Toc8913563"/>
      <w:r w:rsidRPr="004A3983">
        <w:rPr>
          <w:rFonts w:ascii="Gotham Book" w:eastAsia="Source Sans Pro Light" w:hAnsi="Gotham Book"/>
        </w:rPr>
        <w:t xml:space="preserve">Access to </w:t>
      </w:r>
      <w:r w:rsidRPr="004A3983">
        <w:t>Corrective Services NSW information</w:t>
      </w:r>
      <w:r w:rsidR="00F97BD5">
        <w:t> </w:t>
      </w:r>
      <w:r w:rsidRPr="004A3983">
        <w:t>system</w:t>
      </w:r>
      <w:bookmarkEnd w:id="471"/>
      <w:bookmarkEnd w:id="472"/>
      <w:bookmarkEnd w:id="473"/>
      <w:bookmarkEnd w:id="474"/>
      <w:bookmarkEnd w:id="475"/>
      <w:bookmarkEnd w:id="476"/>
      <w:r w:rsidRPr="004A3983">
        <w:t xml:space="preserve"> </w:t>
      </w:r>
      <w:bookmarkEnd w:id="477"/>
    </w:p>
    <w:p w14:paraId="249F000C" w14:textId="5B01EBCD" w:rsidR="00444FDE" w:rsidRPr="004A3983" w:rsidRDefault="0057496C" w:rsidP="003C5904">
      <w:pPr>
        <w:spacing w:after="160"/>
        <w:ind w:right="-2"/>
        <w:rPr>
          <w:rFonts w:ascii="Gotham Book" w:hAnsi="Gotham Book" w:cs="Arial"/>
        </w:rPr>
      </w:pPr>
      <w:r w:rsidRPr="004A3983">
        <w:rPr>
          <w:rFonts w:ascii="Gotham Book" w:hAnsi="Gotham Book" w:cs="Arial"/>
        </w:rPr>
        <w:t>T</w:t>
      </w:r>
      <w:r w:rsidR="00444FDE" w:rsidRPr="004A3983">
        <w:rPr>
          <w:rFonts w:ascii="Gotham Book" w:hAnsi="Gotham Book" w:cs="Arial"/>
        </w:rPr>
        <w:t xml:space="preserve">he Registry requires information about a person’s criminal history to correctly calculate a person’s reporting period. The NSW Police Force </w:t>
      </w:r>
      <w:r w:rsidR="00516F8C" w:rsidRPr="004A3983">
        <w:rPr>
          <w:rFonts w:ascii="Gotham Book" w:hAnsi="Gotham Book" w:cs="Arial"/>
        </w:rPr>
        <w:t>must also</w:t>
      </w:r>
      <w:r w:rsidR="00444FDE" w:rsidRPr="004A3983">
        <w:rPr>
          <w:rFonts w:ascii="Gotham Book" w:hAnsi="Gotham Book" w:cs="Arial"/>
        </w:rPr>
        <w:t xml:space="preserve"> adjust </w:t>
      </w:r>
      <w:r w:rsidR="00444FDE" w:rsidRPr="004A3983">
        <w:rPr>
          <w:rFonts w:ascii="Gotham Book" w:hAnsi="Gotham Book" w:cs="Arial"/>
        </w:rPr>
        <w:lastRenderedPageBreak/>
        <w:t xml:space="preserve">persons’ reporting periods for times spent in government custody. The majority of this information is contained in custodial records maintained by Corrective Services NSW in its </w:t>
      </w:r>
      <w:r w:rsidR="00444FDE" w:rsidRPr="004A3983">
        <w:rPr>
          <w:rFonts w:ascii="Gotham Book" w:eastAsia="Source Sans Pro Light" w:hAnsi="Gotham Book" w:cs="Source Sans Pro Light"/>
          <w:color w:val="000000"/>
        </w:rPr>
        <w:t>Offender Integrated Management System</w:t>
      </w:r>
      <w:r w:rsidR="00444FDE" w:rsidRPr="004A3983">
        <w:rPr>
          <w:rFonts w:ascii="Gotham Book" w:hAnsi="Gotham Book" w:cs="Arial"/>
        </w:rPr>
        <w:t xml:space="preserve"> (OIMS). </w:t>
      </w:r>
    </w:p>
    <w:p w14:paraId="3BE2723D" w14:textId="30EB5244" w:rsidR="00444FDE" w:rsidRPr="004A3983" w:rsidRDefault="00FE27DA" w:rsidP="003C5904">
      <w:pPr>
        <w:spacing w:after="160"/>
        <w:ind w:right="-2"/>
        <w:rPr>
          <w:rFonts w:ascii="Gotham Book" w:hAnsi="Gotham Book" w:cs="Arial"/>
        </w:rPr>
      </w:pPr>
      <w:r w:rsidRPr="004A3983">
        <w:rPr>
          <w:rFonts w:ascii="Gotham Book" w:hAnsi="Gotham Book" w:cs="Arial"/>
        </w:rPr>
        <w:t>In 2015 and in 2016 t</w:t>
      </w:r>
      <w:r w:rsidR="00444FDE" w:rsidRPr="004A3983">
        <w:rPr>
          <w:rFonts w:ascii="Gotham Book" w:hAnsi="Gotham Book" w:cs="Arial"/>
        </w:rPr>
        <w:t>he Registry Manager contacted the Assistant Commissioner (Corrections and Strategy) at Corrective Services NSW, seeking access for Registry staff to OIMS, to make it easier for them to keep the information on the Register up to date.</w:t>
      </w:r>
      <w:r w:rsidR="00444FDE" w:rsidRPr="004A3983">
        <w:rPr>
          <w:rStyle w:val="FootnoteReference"/>
          <w:rFonts w:ascii="Gotham Book" w:hAnsi="Gotham Book" w:cs="Arial"/>
        </w:rPr>
        <w:footnoteReference w:id="508"/>
      </w:r>
      <w:r w:rsidR="00444FDE" w:rsidRPr="004A3983">
        <w:rPr>
          <w:rFonts w:ascii="Gotham Book" w:hAnsi="Gotham Book" w:cs="Arial"/>
        </w:rPr>
        <w:t xml:space="preserve"> </w:t>
      </w:r>
      <w:r w:rsidRPr="004A3983">
        <w:rPr>
          <w:rFonts w:ascii="Gotham Book" w:hAnsi="Gotham Book" w:cs="Arial"/>
        </w:rPr>
        <w:t>Although</w:t>
      </w:r>
      <w:r w:rsidR="00A52BC9" w:rsidRPr="004A3983">
        <w:rPr>
          <w:rFonts w:ascii="Gotham Book" w:hAnsi="Gotham Book" w:cs="Arial"/>
        </w:rPr>
        <w:t xml:space="preserve"> the Assistant Commissioner was supportive of the idea, </w:t>
      </w:r>
      <w:r w:rsidR="005A79A7" w:rsidRPr="004A3983">
        <w:rPr>
          <w:rFonts w:ascii="Gotham Book" w:hAnsi="Gotham Book" w:cs="Arial"/>
        </w:rPr>
        <w:t>the Registry staff were not granted access</w:t>
      </w:r>
      <w:r w:rsidR="00444FDE" w:rsidRPr="004A3983">
        <w:rPr>
          <w:rFonts w:ascii="Gotham Book" w:hAnsi="Gotham Book" w:cs="Arial"/>
        </w:rPr>
        <w:t>.</w:t>
      </w:r>
      <w:r w:rsidR="00A52BC9" w:rsidRPr="004A3983">
        <w:rPr>
          <w:rStyle w:val="FootnoteReference"/>
          <w:rFonts w:ascii="Gotham Book" w:hAnsi="Gotham Book" w:cs="Arial"/>
        </w:rPr>
        <w:footnoteReference w:id="509"/>
      </w:r>
      <w:r w:rsidR="00444FDE" w:rsidRPr="004A3983">
        <w:rPr>
          <w:rFonts w:ascii="Gotham Book" w:hAnsi="Gotham Book" w:cs="Arial"/>
        </w:rPr>
        <w:t xml:space="preserve"> </w:t>
      </w:r>
    </w:p>
    <w:p w14:paraId="7806E169" w14:textId="04E39144" w:rsidR="00444FDE" w:rsidRPr="004A3983" w:rsidRDefault="00444FDE" w:rsidP="003C5904">
      <w:pPr>
        <w:autoSpaceDE w:val="0"/>
        <w:autoSpaceDN w:val="0"/>
        <w:spacing w:after="160"/>
        <w:ind w:right="-2"/>
        <w:rPr>
          <w:rFonts w:ascii="Gotham Book" w:hAnsi="Gotham Book" w:cs="ArialMT"/>
        </w:rPr>
      </w:pPr>
      <w:r w:rsidRPr="004A3983">
        <w:rPr>
          <w:rFonts w:ascii="Gotham Book" w:hAnsi="Gotham Book"/>
        </w:rPr>
        <w:t>In early 2018 the Registry Manager in his report on the management of the Register noted that despite his requests the Registry still did not have access to OIMS. He recommended that the Registry be given read-only access, stating it would ‘save Registry staff an inordinate amount of time’ and would be ‘</w:t>
      </w:r>
      <w:r w:rsidRPr="004A3983">
        <w:rPr>
          <w:rFonts w:ascii="Gotham Book" w:hAnsi="Gotham Book" w:cs="ArialMT"/>
        </w:rPr>
        <w:t>an invaluable tool to … ensure accuracy in the Registry case creation and allocation process’.</w:t>
      </w:r>
      <w:r w:rsidRPr="004A3983">
        <w:rPr>
          <w:rStyle w:val="FootnoteReference"/>
          <w:rFonts w:ascii="Gotham Book" w:hAnsi="Gotham Book"/>
        </w:rPr>
        <w:footnoteReference w:id="510"/>
      </w:r>
    </w:p>
    <w:p w14:paraId="696917E7" w14:textId="2EDEDAC1" w:rsidR="00444FDE" w:rsidRPr="004A3983" w:rsidRDefault="00444FDE" w:rsidP="003C5904">
      <w:pPr>
        <w:spacing w:after="160"/>
        <w:ind w:right="-2"/>
        <w:rPr>
          <w:rFonts w:ascii="Gotham Book" w:hAnsi="Gotham Book"/>
        </w:rPr>
      </w:pPr>
      <w:r w:rsidRPr="004A3983">
        <w:rPr>
          <w:rFonts w:ascii="Gotham Book" w:hAnsi="Gotham Book"/>
        </w:rPr>
        <w:t>In July 2018 the Commission facilitated a meeting between the Assistant Commissioner</w:t>
      </w:r>
      <w:r w:rsidRPr="004A3983">
        <w:rPr>
          <w:rFonts w:ascii="Gotham Book" w:hAnsi="Gotham Book" w:cs="Arial"/>
          <w:color w:val="1F497D"/>
          <w:sz w:val="20"/>
          <w:szCs w:val="20"/>
        </w:rPr>
        <w:t xml:space="preserve"> </w:t>
      </w:r>
      <w:r w:rsidRPr="004A3983">
        <w:rPr>
          <w:rFonts w:ascii="Gotham Book" w:hAnsi="Gotham Book"/>
        </w:rPr>
        <w:t>(Corrections Strategy and Policy) at Corrective Services NSW, the Commander of the Child Abuse and Sex Crimes Squad and the Manager of the Registry. At that meeting the Assistant Commissioner</w:t>
      </w:r>
      <w:r w:rsidR="00CB2845" w:rsidRPr="004A3983">
        <w:rPr>
          <w:rFonts w:ascii="Gotham Book" w:hAnsi="Gotham Book"/>
        </w:rPr>
        <w:t xml:space="preserve"> </w:t>
      </w:r>
      <w:r w:rsidRPr="004A3983">
        <w:rPr>
          <w:rFonts w:ascii="Gotham Book" w:hAnsi="Gotham Book"/>
        </w:rPr>
        <w:t>stated that he could grant the</w:t>
      </w:r>
      <w:r w:rsidR="00DF355A">
        <w:rPr>
          <w:rFonts w:ascii="Gotham Book" w:hAnsi="Gotham Book"/>
        </w:rPr>
        <w:t> </w:t>
      </w:r>
      <w:r w:rsidRPr="004A3983">
        <w:rPr>
          <w:rFonts w:ascii="Gotham Book" w:hAnsi="Gotham Book"/>
        </w:rPr>
        <w:t>Registry staff read-only access to OIMS if appropriate information security protections were in place.</w:t>
      </w:r>
      <w:r w:rsidRPr="004A3983">
        <w:rPr>
          <w:rStyle w:val="FootnoteReference"/>
          <w:rFonts w:ascii="Gotham Book" w:hAnsi="Gotham Book"/>
        </w:rPr>
        <w:footnoteReference w:id="511"/>
      </w:r>
      <w:r w:rsidRPr="004A3983">
        <w:rPr>
          <w:rFonts w:ascii="Gotham Book" w:hAnsi="Gotham Book"/>
        </w:rPr>
        <w:t xml:space="preserve"> </w:t>
      </w:r>
    </w:p>
    <w:p w14:paraId="0E951458" w14:textId="1DE9B90B" w:rsidR="00444FDE" w:rsidRPr="004A3983" w:rsidRDefault="00AB3075" w:rsidP="003C5904">
      <w:pPr>
        <w:spacing w:after="160"/>
        <w:ind w:right="-2"/>
        <w:rPr>
          <w:rFonts w:ascii="Gotham Book" w:hAnsi="Gotham Book"/>
        </w:rPr>
      </w:pPr>
      <w:r w:rsidRPr="004A3983">
        <w:rPr>
          <w:rFonts w:ascii="Gotham Book" w:hAnsi="Gotham Book"/>
        </w:rPr>
        <w:t>In the Commission’s</w:t>
      </w:r>
      <w:r w:rsidR="00B43053" w:rsidRPr="004A3983">
        <w:rPr>
          <w:rFonts w:ascii="Gotham Book" w:hAnsi="Gotham Book"/>
        </w:rPr>
        <w:t xml:space="preserve"> interim r</w:t>
      </w:r>
      <w:r w:rsidR="00444FDE" w:rsidRPr="004A3983">
        <w:rPr>
          <w:rFonts w:ascii="Gotham Book" w:hAnsi="Gotham Book"/>
        </w:rPr>
        <w:t>eport in August 2018 we recommended that the NSW Police Force develop a Memorandum of Understanding with Corrective Services NSW to secure read-only access to OIMS for the Registry staff. The NSW Police Force informed us in October 2018 that an agreement was being drafted between the NSW Police Force and Corrective Services NSW to enable access to OIMS for the Registry staff. In December 2018 the Registry Manager informed us that his staff had been given access to OIMS.</w:t>
      </w:r>
      <w:r w:rsidR="00444FDE" w:rsidRPr="004A3983">
        <w:rPr>
          <w:rStyle w:val="FootnoteReference"/>
          <w:rFonts w:ascii="Gotham Book" w:hAnsi="Gotham Book"/>
        </w:rPr>
        <w:footnoteReference w:id="512"/>
      </w:r>
    </w:p>
    <w:p w14:paraId="083A2666" w14:textId="7A0879CF" w:rsidR="00444FDE" w:rsidRPr="004A3983" w:rsidRDefault="00E57733" w:rsidP="003C5904">
      <w:pPr>
        <w:spacing w:after="160"/>
        <w:ind w:right="-2"/>
        <w:rPr>
          <w:rFonts w:ascii="Gotham Book" w:hAnsi="Gotham Book"/>
        </w:rPr>
      </w:pPr>
      <w:r w:rsidRPr="004A3983">
        <w:rPr>
          <w:rFonts w:ascii="Gotham Book" w:hAnsi="Gotham Book"/>
        </w:rPr>
        <w:t xml:space="preserve">The </w:t>
      </w:r>
      <w:r w:rsidR="00444FDE" w:rsidRPr="004A3983">
        <w:rPr>
          <w:rFonts w:ascii="Gotham Book" w:hAnsi="Gotham Book"/>
        </w:rPr>
        <w:t>Registry</w:t>
      </w:r>
      <w:r w:rsidRPr="004A3983">
        <w:rPr>
          <w:rFonts w:ascii="Gotham Book" w:hAnsi="Gotham Book"/>
        </w:rPr>
        <w:t>’s</w:t>
      </w:r>
      <w:r w:rsidR="00444FDE" w:rsidRPr="004A3983">
        <w:rPr>
          <w:rFonts w:ascii="Gotham Book" w:hAnsi="Gotham Book"/>
        </w:rPr>
        <w:t xml:space="preserve"> access to OIMS will increase efficiency and reduce the risk of errors in </w:t>
      </w:r>
      <w:r w:rsidR="00B71C87" w:rsidRPr="004A3983">
        <w:rPr>
          <w:rFonts w:ascii="Gotham Book" w:hAnsi="Gotham Book"/>
        </w:rPr>
        <w:t>the maintenance of the Register. However,</w:t>
      </w:r>
      <w:r w:rsidR="00444FDE" w:rsidRPr="004A3983">
        <w:rPr>
          <w:rFonts w:ascii="Gotham Book" w:hAnsi="Gotham Book"/>
        </w:rPr>
        <w:t xml:space="preserve"> there rem</w:t>
      </w:r>
      <w:r w:rsidR="00B71C87" w:rsidRPr="004A3983">
        <w:rPr>
          <w:rFonts w:ascii="Gotham Book" w:hAnsi="Gotham Book"/>
        </w:rPr>
        <w:t xml:space="preserve">ains an urgent need for the </w:t>
      </w:r>
      <w:r w:rsidR="00444FDE" w:rsidRPr="004A3983">
        <w:rPr>
          <w:rFonts w:ascii="Gotham Book" w:hAnsi="Gotham Book"/>
        </w:rPr>
        <w:t xml:space="preserve">IT project to </w:t>
      </w:r>
      <w:r w:rsidR="00B56AAA" w:rsidRPr="004A3983">
        <w:rPr>
          <w:rFonts w:ascii="Gotham Book" w:hAnsi="Gotham Book"/>
        </w:rPr>
        <w:t xml:space="preserve">upgrade the interface between OIMS and COPS to </w:t>
      </w:r>
      <w:r w:rsidR="00EF27AA" w:rsidRPr="004A3983">
        <w:rPr>
          <w:rFonts w:ascii="Gotham Book" w:hAnsi="Gotham Book"/>
        </w:rPr>
        <w:t xml:space="preserve">be completed, so that the </w:t>
      </w:r>
      <w:r w:rsidR="00444FDE" w:rsidRPr="004A3983">
        <w:rPr>
          <w:rFonts w:ascii="Gotham Book" w:hAnsi="Gotham Book"/>
        </w:rPr>
        <w:t>automated links</w:t>
      </w:r>
      <w:r w:rsidR="00EF27AA" w:rsidRPr="004A3983">
        <w:rPr>
          <w:rFonts w:ascii="Gotham Book" w:hAnsi="Gotham Book"/>
        </w:rPr>
        <w:t xml:space="preserve"> between OIMS and COPS can</w:t>
      </w:r>
      <w:r w:rsidR="00861247" w:rsidRPr="004A3983">
        <w:rPr>
          <w:rFonts w:ascii="Gotham Book" w:hAnsi="Gotham Book"/>
        </w:rPr>
        <w:t xml:space="preserve"> be re-</w:t>
      </w:r>
      <w:r w:rsidR="00444FDE" w:rsidRPr="004A3983">
        <w:rPr>
          <w:rFonts w:ascii="Gotham Book" w:hAnsi="Gotham Book"/>
        </w:rPr>
        <w:t>established</w:t>
      </w:r>
      <w:r w:rsidR="007007C4" w:rsidRPr="004A3983">
        <w:rPr>
          <w:rFonts w:ascii="Gotham Book" w:hAnsi="Gotham Book"/>
        </w:rPr>
        <w:t xml:space="preserve"> (see further the discussion in Chapter 8)</w:t>
      </w:r>
      <w:r w:rsidR="00444FDE" w:rsidRPr="004A3983">
        <w:rPr>
          <w:rFonts w:ascii="Gotham Book" w:hAnsi="Gotham Book"/>
        </w:rPr>
        <w:t xml:space="preserve">. </w:t>
      </w:r>
    </w:p>
    <w:p w14:paraId="072ED952" w14:textId="46CEFEFB" w:rsidR="005C03BC" w:rsidRPr="004A3983" w:rsidRDefault="005C03BC" w:rsidP="003C5904">
      <w:pPr>
        <w:pStyle w:val="Heading2"/>
        <w:spacing w:after="160"/>
        <w:ind w:right="-2"/>
      </w:pPr>
      <w:bookmarkStart w:id="478" w:name="_Ref9429432"/>
      <w:bookmarkStart w:id="479" w:name="_Toc22627825"/>
      <w:r w:rsidRPr="004A3983">
        <w:lastRenderedPageBreak/>
        <w:t>Conclusion</w:t>
      </w:r>
      <w:bookmarkEnd w:id="478"/>
      <w:bookmarkEnd w:id="479"/>
      <w:r w:rsidRPr="004A3983">
        <w:t xml:space="preserve"> </w:t>
      </w:r>
    </w:p>
    <w:p w14:paraId="47A5642C" w14:textId="44B5044B" w:rsidR="005C03BC" w:rsidRPr="004A3983" w:rsidRDefault="005C03BC" w:rsidP="003C5904">
      <w:pPr>
        <w:spacing w:after="160"/>
        <w:ind w:right="-2"/>
        <w:rPr>
          <w:rFonts w:ascii="Gotham Book" w:eastAsia="Source Sans Pro Light" w:hAnsi="Gotham Book" w:cs="ArialMT"/>
        </w:rPr>
      </w:pPr>
      <w:r w:rsidRPr="004A3983">
        <w:rPr>
          <w:rFonts w:ascii="Gotham Book" w:eastAsia="Source Sans Pro Light" w:hAnsi="Gotham Book" w:cs="ArialMT"/>
        </w:rPr>
        <w:t xml:space="preserve">It is clear that the practice of how registrable persons are identified, and the flow of information between the various agencies and authorities with statutory obligations in relation to the Register, has departed significantly from that intended by Parliament when the CPOR Act commenced in 2001. </w:t>
      </w:r>
    </w:p>
    <w:p w14:paraId="4A47D19E" w14:textId="21CAA289" w:rsidR="005C03BC" w:rsidRPr="004A3983" w:rsidRDefault="005C03BC" w:rsidP="003C5904">
      <w:pPr>
        <w:spacing w:after="160"/>
        <w:ind w:right="-2"/>
        <w:rPr>
          <w:rFonts w:ascii="Gotham Book" w:eastAsia="Source Sans Pro Light" w:hAnsi="Gotham Book" w:cs="ArialMT"/>
        </w:rPr>
      </w:pPr>
      <w:r w:rsidRPr="004A3983">
        <w:rPr>
          <w:rFonts w:ascii="Gotham Book" w:eastAsia="Source Sans Pro Light" w:hAnsi="Gotham Book" w:cs="ArialMT"/>
        </w:rPr>
        <w:t>The CPOR Act provides for a system of notifications, between courts, supervising authorities, the NSW Police Force, and registrable persons. However according to the Ombu</w:t>
      </w:r>
      <w:r w:rsidR="00D45B9E" w:rsidRPr="004A3983">
        <w:rPr>
          <w:rFonts w:ascii="Gotham Book" w:eastAsia="Source Sans Pro Light" w:hAnsi="Gotham Book" w:cs="ArialMT"/>
        </w:rPr>
        <w:t>dsman’s report in 2005 and the statutory r</w:t>
      </w:r>
      <w:r w:rsidRPr="004A3983">
        <w:rPr>
          <w:rFonts w:ascii="Gotham Book" w:eastAsia="Source Sans Pro Light" w:hAnsi="Gotham Book" w:cs="ArialMT"/>
        </w:rPr>
        <w:t xml:space="preserve">eview of the CPOR Act in 2013, there have been problems with these notification processes </w:t>
      </w:r>
      <w:r w:rsidR="009B4BCA" w:rsidRPr="004A3983">
        <w:rPr>
          <w:rFonts w:ascii="Gotham Book" w:eastAsia="Source Sans Pro Light" w:hAnsi="Gotham Book" w:cs="ArialMT"/>
        </w:rPr>
        <w:t>more or less</w:t>
      </w:r>
      <w:r w:rsidRPr="004A3983">
        <w:rPr>
          <w:rFonts w:ascii="Gotham Book" w:eastAsia="Source Sans Pro Light" w:hAnsi="Gotham Book" w:cs="ArialMT"/>
        </w:rPr>
        <w:t xml:space="preserve"> since the legislation commenced. The CPOR Act does not contemplate the NSW Police Force having primary responsibility for interpreting and applying i</w:t>
      </w:r>
      <w:r w:rsidR="0079626E" w:rsidRPr="004A3983">
        <w:rPr>
          <w:rFonts w:ascii="Gotham Book" w:eastAsia="Source Sans Pro Light" w:hAnsi="Gotham Book" w:cs="ArialMT"/>
        </w:rPr>
        <w:t>ts provisions to determine who is required to</w:t>
      </w:r>
      <w:r w:rsidRPr="004A3983">
        <w:rPr>
          <w:rFonts w:ascii="Gotham Book" w:eastAsia="Source Sans Pro Light" w:hAnsi="Gotham Book" w:cs="ArialMT"/>
        </w:rPr>
        <w:t xml:space="preserve"> be included on the Register, but this is what is currently occurring.</w:t>
      </w:r>
    </w:p>
    <w:p w14:paraId="2D17772D" w14:textId="7C80E7BB" w:rsidR="005C03BC" w:rsidRPr="004A3983" w:rsidRDefault="008F74EE" w:rsidP="003C5904">
      <w:pPr>
        <w:spacing w:after="160"/>
        <w:ind w:right="-2"/>
        <w:rPr>
          <w:rFonts w:ascii="Gotham Book" w:eastAsia="Source Sans Pro Light" w:hAnsi="Gotham Book" w:cs="ArialMT"/>
        </w:rPr>
      </w:pPr>
      <w:r w:rsidRPr="004A3983">
        <w:rPr>
          <w:rFonts w:ascii="Gotham Book" w:eastAsia="Source Sans Pro Light" w:hAnsi="Gotham Book" w:cs="ArialMT"/>
        </w:rPr>
        <w:t>In its response to the</w:t>
      </w:r>
      <w:r w:rsidR="00CB6F63" w:rsidRPr="004A3983">
        <w:rPr>
          <w:rFonts w:ascii="Gotham Book" w:eastAsia="Source Sans Pro Light" w:hAnsi="Gotham Book" w:cs="ArialMT"/>
        </w:rPr>
        <w:t xml:space="preserve"> Commission’s</w:t>
      </w:r>
      <w:r w:rsidRPr="004A3983">
        <w:rPr>
          <w:rFonts w:ascii="Gotham Book" w:eastAsia="Source Sans Pro Light" w:hAnsi="Gotham Book" w:cs="ArialMT"/>
        </w:rPr>
        <w:t xml:space="preserve"> int</w:t>
      </w:r>
      <w:r w:rsidR="00CB6F63" w:rsidRPr="004A3983">
        <w:rPr>
          <w:rFonts w:ascii="Gotham Book" w:eastAsia="Source Sans Pro Light" w:hAnsi="Gotham Book" w:cs="ArialMT"/>
        </w:rPr>
        <w:t>erim report on Operation Tusket</w:t>
      </w:r>
      <w:r w:rsidRPr="004A3983">
        <w:rPr>
          <w:rFonts w:ascii="Gotham Book" w:eastAsia="Source Sans Pro Light" w:hAnsi="Gotham Book" w:cs="ArialMT"/>
        </w:rPr>
        <w:t>, the NSW Police Force</w:t>
      </w:r>
      <w:r w:rsidR="00C71727" w:rsidRPr="004A3983">
        <w:rPr>
          <w:rFonts w:ascii="Gotham Book" w:eastAsia="Source Sans Pro Light" w:hAnsi="Gotham Book" w:cs="ArialMT"/>
        </w:rPr>
        <w:t xml:space="preserve"> </w:t>
      </w:r>
      <w:r w:rsidR="005C03BC" w:rsidRPr="004A3983">
        <w:rPr>
          <w:rFonts w:ascii="Gotham Book" w:eastAsia="Source Sans Pro Light" w:hAnsi="Gotham Book" w:cs="ArialMT"/>
        </w:rPr>
        <w:t>emphasised that it ‘is only one part of a multi-agency approach promoted by the legislation’.</w:t>
      </w:r>
      <w:r w:rsidR="005C03BC" w:rsidRPr="004A3983">
        <w:rPr>
          <w:rStyle w:val="FootnoteReference"/>
          <w:rFonts w:ascii="Gotham Book" w:eastAsia="Source Sans Pro Light" w:hAnsi="Gotham Book" w:cs="ArialMT"/>
        </w:rPr>
        <w:footnoteReference w:id="513"/>
      </w:r>
      <w:r w:rsidR="005C03BC" w:rsidRPr="004A3983">
        <w:rPr>
          <w:rFonts w:ascii="Gotham Book" w:eastAsia="Source Sans Pro Light" w:hAnsi="Gotham Book" w:cs="ArialMT"/>
        </w:rPr>
        <w:t xml:space="preserve"> It highlighted the need for an ‘overarching governance structure’ across the different agencies with responsibilities under the CPOR Act. We discuss this proposal </w:t>
      </w:r>
      <w:r w:rsidR="006205AC" w:rsidRPr="004A3983">
        <w:rPr>
          <w:rFonts w:ascii="Gotham Book" w:eastAsia="Source Sans Pro Light" w:hAnsi="Gotham Book" w:cs="ArialMT"/>
        </w:rPr>
        <w:t>a</w:t>
      </w:r>
      <w:r w:rsidR="003C5AA8" w:rsidRPr="004A3983">
        <w:rPr>
          <w:rFonts w:ascii="Gotham Book" w:eastAsia="Source Sans Pro Light" w:hAnsi="Gotham Book" w:cs="ArialMT"/>
        </w:rPr>
        <w:t xml:space="preserve">nd make relevant recommendations </w:t>
      </w:r>
      <w:r w:rsidR="005C03BC" w:rsidRPr="004A3983">
        <w:rPr>
          <w:rFonts w:ascii="Gotham Book" w:eastAsia="Source Sans Pro Light" w:hAnsi="Gotham Book" w:cs="ArialMT"/>
        </w:rPr>
        <w:t xml:space="preserve">in </w:t>
      </w:r>
      <w:r w:rsidR="002C2FF5" w:rsidRPr="004A3983">
        <w:rPr>
          <w:rFonts w:ascii="Gotham Book" w:eastAsia="Source Sans Pro Light" w:hAnsi="Gotham Book" w:cs="ArialMT"/>
        </w:rPr>
        <w:t>Chapter </w:t>
      </w:r>
      <w:r w:rsidR="006D4650" w:rsidRPr="004A3983">
        <w:rPr>
          <w:rFonts w:ascii="Gotham Book" w:eastAsia="Source Sans Pro Light" w:hAnsi="Gotham Book" w:cs="ArialMT"/>
        </w:rPr>
        <w:fldChar w:fldCharType="begin"/>
      </w:r>
      <w:r w:rsidR="006D4650" w:rsidRPr="004A3983">
        <w:rPr>
          <w:rFonts w:ascii="Gotham Book" w:eastAsia="Source Sans Pro Light" w:hAnsi="Gotham Book" w:cs="ArialMT"/>
        </w:rPr>
        <w:instrText xml:space="preserve"> REF _Ref9615727 \r \h </w:instrText>
      </w:r>
      <w:r w:rsidR="00DF3A3D" w:rsidRPr="004A3983">
        <w:rPr>
          <w:rFonts w:ascii="Gotham Book" w:eastAsia="Source Sans Pro Light" w:hAnsi="Gotham Book" w:cs="ArialMT"/>
        </w:rPr>
        <w:instrText xml:space="preserve"> \* MERGEFORMAT </w:instrText>
      </w:r>
      <w:r w:rsidR="006D4650" w:rsidRPr="004A3983">
        <w:rPr>
          <w:rFonts w:ascii="Gotham Book" w:eastAsia="Source Sans Pro Light" w:hAnsi="Gotham Book" w:cs="ArialMT"/>
        </w:rPr>
      </w:r>
      <w:r w:rsidR="006D4650" w:rsidRPr="004A3983">
        <w:rPr>
          <w:rFonts w:ascii="Gotham Book" w:eastAsia="Source Sans Pro Light" w:hAnsi="Gotham Book" w:cs="ArialMT"/>
        </w:rPr>
        <w:fldChar w:fldCharType="separate"/>
      </w:r>
      <w:r w:rsidR="00022664">
        <w:rPr>
          <w:rFonts w:ascii="Gotham Book" w:eastAsia="Source Sans Pro Light" w:hAnsi="Gotham Book" w:cs="ArialMT"/>
          <w:cs/>
        </w:rPr>
        <w:t>‎</w:t>
      </w:r>
      <w:r w:rsidR="00022664">
        <w:rPr>
          <w:rFonts w:ascii="Gotham Book" w:eastAsia="Source Sans Pro Light" w:hAnsi="Gotham Book" w:cs="ArialMT"/>
        </w:rPr>
        <w:t>9</w:t>
      </w:r>
      <w:r w:rsidR="006D4650" w:rsidRPr="004A3983">
        <w:rPr>
          <w:rFonts w:ascii="Gotham Book" w:eastAsia="Source Sans Pro Light" w:hAnsi="Gotham Book" w:cs="ArialMT"/>
        </w:rPr>
        <w:fldChar w:fldCharType="end"/>
      </w:r>
      <w:r w:rsidR="005C03BC" w:rsidRPr="004A3983">
        <w:rPr>
          <w:rFonts w:ascii="Gotham Book" w:eastAsia="Source Sans Pro Light" w:hAnsi="Gotham Book" w:cs="ArialMT"/>
        </w:rPr>
        <w:t>.</w:t>
      </w:r>
    </w:p>
    <w:p w14:paraId="586F1F22" w14:textId="5427C2D7" w:rsidR="005C03BC" w:rsidRPr="004A3983" w:rsidRDefault="005C03BC" w:rsidP="003C5904">
      <w:pPr>
        <w:spacing w:after="160"/>
        <w:ind w:right="-2"/>
        <w:rPr>
          <w:rFonts w:ascii="Gotham Book" w:eastAsia="Source Sans Pro Light" w:hAnsi="Gotham Book" w:cs="ArialMT"/>
        </w:rPr>
      </w:pPr>
      <w:r w:rsidRPr="004A3983">
        <w:rPr>
          <w:rFonts w:ascii="Gotham Book" w:eastAsia="Source Sans Pro Light" w:hAnsi="Gotham Book" w:cs="ArialMT"/>
        </w:rPr>
        <w:t>Ultimately, the role</w:t>
      </w:r>
      <w:r w:rsidR="00EA7476" w:rsidRPr="004A3983">
        <w:rPr>
          <w:rFonts w:ascii="Gotham Book" w:eastAsia="Source Sans Pro Light" w:hAnsi="Gotham Book" w:cs="ArialMT"/>
        </w:rPr>
        <w:t>s</w:t>
      </w:r>
      <w:r w:rsidRPr="004A3983">
        <w:rPr>
          <w:rFonts w:ascii="Gotham Book" w:eastAsia="Source Sans Pro Light" w:hAnsi="Gotham Book" w:cs="ArialMT"/>
        </w:rPr>
        <w:t xml:space="preserve"> of the courts, the NSW Police Force, and supervising authorities i</w:t>
      </w:r>
      <w:r w:rsidR="00922F4B" w:rsidRPr="004A3983">
        <w:rPr>
          <w:rFonts w:ascii="Gotham Book" w:eastAsia="Source Sans Pro Light" w:hAnsi="Gotham Book" w:cs="ArialMT"/>
        </w:rPr>
        <w:t>n relation to the Register need</w:t>
      </w:r>
      <w:r w:rsidRPr="004A3983">
        <w:rPr>
          <w:rFonts w:ascii="Gotham Book" w:eastAsia="Source Sans Pro Light" w:hAnsi="Gotham Book" w:cs="ArialMT"/>
        </w:rPr>
        <w:t xml:space="preserve"> to be reconsidered as part of the </w:t>
      </w:r>
      <w:r w:rsidR="00DF3A3D" w:rsidRPr="004A3983">
        <w:rPr>
          <w:rFonts w:ascii="Gotham Book" w:eastAsia="Source Sans Pro Light" w:hAnsi="Gotham Book" w:cs="ArialMT"/>
        </w:rPr>
        <w:t xml:space="preserve">comprehensive review of </w:t>
      </w:r>
      <w:r w:rsidRPr="004A3983">
        <w:rPr>
          <w:rFonts w:ascii="Gotham Book" w:eastAsia="Source Sans Pro Light" w:hAnsi="Gotham Book" w:cs="ArialMT"/>
        </w:rPr>
        <w:t xml:space="preserve">the CPOR Act that we recommend in </w:t>
      </w:r>
      <w:r w:rsidR="006D4650" w:rsidRPr="004A3983">
        <w:rPr>
          <w:rFonts w:ascii="Gotham Book" w:eastAsia="Source Sans Pro Light" w:hAnsi="Gotham Book" w:cs="ArialMT"/>
        </w:rPr>
        <w:t xml:space="preserve">Chapter </w:t>
      </w:r>
      <w:r w:rsidR="006D4650" w:rsidRPr="004A3983">
        <w:rPr>
          <w:rFonts w:ascii="Gotham Book" w:eastAsia="Source Sans Pro Light" w:hAnsi="Gotham Book" w:cs="ArialMT"/>
        </w:rPr>
        <w:fldChar w:fldCharType="begin"/>
      </w:r>
      <w:r w:rsidR="006D4650" w:rsidRPr="004A3983">
        <w:rPr>
          <w:rFonts w:ascii="Gotham Book" w:eastAsia="Source Sans Pro Light" w:hAnsi="Gotham Book" w:cs="ArialMT"/>
        </w:rPr>
        <w:instrText xml:space="preserve"> REF _Ref9350149 \r \h </w:instrText>
      </w:r>
      <w:r w:rsidR="00DF3A3D" w:rsidRPr="004A3983">
        <w:rPr>
          <w:rFonts w:ascii="Gotham Book" w:eastAsia="Source Sans Pro Light" w:hAnsi="Gotham Book" w:cs="ArialMT"/>
        </w:rPr>
        <w:instrText xml:space="preserve"> \* MERGEFORMAT </w:instrText>
      </w:r>
      <w:r w:rsidR="006D4650" w:rsidRPr="004A3983">
        <w:rPr>
          <w:rFonts w:ascii="Gotham Book" w:eastAsia="Source Sans Pro Light" w:hAnsi="Gotham Book" w:cs="ArialMT"/>
        </w:rPr>
      </w:r>
      <w:r w:rsidR="006D4650" w:rsidRPr="004A3983">
        <w:rPr>
          <w:rFonts w:ascii="Gotham Book" w:eastAsia="Source Sans Pro Light" w:hAnsi="Gotham Book" w:cs="ArialMT"/>
        </w:rPr>
        <w:fldChar w:fldCharType="separate"/>
      </w:r>
      <w:r w:rsidR="00022664">
        <w:rPr>
          <w:rFonts w:ascii="Gotham Book" w:eastAsia="Source Sans Pro Light" w:hAnsi="Gotham Book" w:cs="ArialMT"/>
          <w:cs/>
        </w:rPr>
        <w:t>‎</w:t>
      </w:r>
      <w:r w:rsidR="00022664">
        <w:rPr>
          <w:rFonts w:ascii="Gotham Book" w:eastAsia="Source Sans Pro Light" w:hAnsi="Gotham Book" w:cs="ArialMT"/>
        </w:rPr>
        <w:t>6</w:t>
      </w:r>
      <w:r w:rsidR="006D4650" w:rsidRPr="004A3983">
        <w:rPr>
          <w:rFonts w:ascii="Gotham Book" w:eastAsia="Source Sans Pro Light" w:hAnsi="Gotham Book" w:cs="ArialMT"/>
        </w:rPr>
        <w:fldChar w:fldCharType="end"/>
      </w:r>
      <w:r w:rsidRPr="004A3983">
        <w:rPr>
          <w:rFonts w:ascii="Gotham Book" w:eastAsia="Source Sans Pro Light" w:hAnsi="Gotham Book" w:cs="ArialMT"/>
        </w:rPr>
        <w:t xml:space="preserve">. </w:t>
      </w:r>
    </w:p>
    <w:p w14:paraId="34D56868" w14:textId="43E528FF" w:rsidR="005C03BC" w:rsidRPr="004A3983" w:rsidRDefault="005C03BC" w:rsidP="003C5904">
      <w:pPr>
        <w:spacing w:after="160"/>
        <w:ind w:right="-2"/>
        <w:rPr>
          <w:rFonts w:ascii="Gotham Book" w:hAnsi="Gotham Book" w:cs="Arial"/>
        </w:rPr>
      </w:pPr>
      <w:r w:rsidRPr="004A3983">
        <w:rPr>
          <w:rFonts w:ascii="Gotham Book" w:hAnsi="Gotham Book" w:cs="Arial"/>
        </w:rPr>
        <w:t xml:space="preserve">It is clear that sentencing courts are in possession of the greatest amount of information about a person’s offending. This may make them best placed to identify who meets the definition of a registrable person. </w:t>
      </w:r>
    </w:p>
    <w:p w14:paraId="4A1690CD" w14:textId="723A0914" w:rsidR="005C03BC" w:rsidRPr="004A3983" w:rsidRDefault="00D45B9E" w:rsidP="003C5904">
      <w:pPr>
        <w:spacing w:after="160"/>
        <w:ind w:right="-2"/>
        <w:rPr>
          <w:rFonts w:ascii="Gotham Book" w:hAnsi="Gotham Book" w:cs="Arial"/>
        </w:rPr>
      </w:pPr>
      <w:r w:rsidRPr="004A3983">
        <w:rPr>
          <w:rFonts w:ascii="Gotham Book" w:hAnsi="Gotham Book" w:cs="Arial"/>
        </w:rPr>
        <w:t>The statutory r</w:t>
      </w:r>
      <w:r w:rsidR="005C03BC" w:rsidRPr="004A3983">
        <w:rPr>
          <w:rFonts w:ascii="Gotham Book" w:hAnsi="Gotham Book" w:cs="Arial"/>
        </w:rPr>
        <w:t>eview of the CPOR Act in 2013 noted:</w:t>
      </w:r>
    </w:p>
    <w:p w14:paraId="36915DDF" w14:textId="59353FD6" w:rsidR="005C03BC" w:rsidRPr="004A3983" w:rsidRDefault="005C03BC" w:rsidP="00F97BD5">
      <w:pPr>
        <w:pStyle w:val="Quotesmall1cm"/>
      </w:pPr>
      <w:r w:rsidRPr="004A3983">
        <w:t>The Review understands that at the time of the Ombudsman's Report the intention was that judicial officers have no role in the registration process</w:t>
      </w:r>
      <w:r w:rsidRPr="004A3983">
        <w:rPr>
          <w:rFonts w:cs="Times New Roman"/>
        </w:rPr>
        <w:t xml:space="preserve">. </w:t>
      </w:r>
      <w:r w:rsidRPr="004A3983">
        <w:t>However, with the passage of time and the importance of notification, [Department of Attorney-General and Justice – Courts and Tribunals Services] has suggested it may be appropriate to revisit this.</w:t>
      </w:r>
      <w:r w:rsidRPr="004A3983">
        <w:rPr>
          <w:rStyle w:val="FootnoteReference"/>
          <w:rFonts w:cs="Arial"/>
        </w:rPr>
        <w:footnoteReference w:id="514"/>
      </w:r>
    </w:p>
    <w:p w14:paraId="65AB7831" w14:textId="46375914" w:rsidR="005C03BC" w:rsidRPr="004A3983" w:rsidRDefault="005C03BC" w:rsidP="003C5904">
      <w:pPr>
        <w:spacing w:after="160"/>
        <w:ind w:right="-2"/>
        <w:rPr>
          <w:rFonts w:ascii="Gotham Book" w:hAnsi="Gotham Book" w:cs="Arial"/>
        </w:rPr>
      </w:pPr>
      <w:r w:rsidRPr="004A3983">
        <w:rPr>
          <w:rFonts w:ascii="Gotham Book" w:hAnsi="Gotham Book" w:cs="Arial"/>
        </w:rPr>
        <w:t>The Commission support</w:t>
      </w:r>
      <w:r w:rsidR="00471B8B" w:rsidRPr="004A3983">
        <w:rPr>
          <w:rFonts w:ascii="Gotham Book" w:hAnsi="Gotham Book" w:cs="Arial"/>
        </w:rPr>
        <w:t>s</w:t>
      </w:r>
      <w:r w:rsidRPr="004A3983">
        <w:rPr>
          <w:rFonts w:ascii="Gotham Book" w:hAnsi="Gotham Book" w:cs="Arial"/>
        </w:rPr>
        <w:t xml:space="preserve"> the proposal of judicial officers having a role in the application of the CPOR Act (or its successor). Given the complexity of the CPOR Act, the Commission agrees with the NSW Police Force that ‘[t]he error rate could be significantly reduced, if the sentencing court applies the provisions of the CPOR Act and issues [written notification] on sentence, that includes the correct reporting period as set out in the legislation.’</w:t>
      </w:r>
      <w:r w:rsidRPr="004A3983">
        <w:rPr>
          <w:rStyle w:val="FootnoteReference"/>
          <w:rFonts w:ascii="Gotham Book" w:hAnsi="Gotham Book" w:cs="Arial"/>
        </w:rPr>
        <w:footnoteReference w:id="515"/>
      </w:r>
      <w:r w:rsidR="00DF3A3D" w:rsidRPr="004A3983">
        <w:rPr>
          <w:rFonts w:ascii="Gotham Book" w:hAnsi="Gotham Book" w:cs="Arial"/>
        </w:rPr>
        <w:t xml:space="preserve"> This is, however, a question for Parliament.</w:t>
      </w:r>
    </w:p>
    <w:p w14:paraId="69474435" w14:textId="10DAF2A1" w:rsidR="005C03BC" w:rsidRPr="004A3983" w:rsidRDefault="005C03BC" w:rsidP="003C5904">
      <w:pPr>
        <w:spacing w:after="160"/>
        <w:ind w:right="-2"/>
        <w:rPr>
          <w:rFonts w:ascii="Gotham Book" w:hAnsi="Gotham Book" w:cs="Arial"/>
        </w:rPr>
      </w:pPr>
      <w:r w:rsidRPr="004A3983">
        <w:rPr>
          <w:rFonts w:ascii="Gotham Book" w:hAnsi="Gotham Book" w:cs="Arial"/>
        </w:rPr>
        <w:lastRenderedPageBreak/>
        <w:t xml:space="preserve">The Commission also agrees with the NSW Police Force that the ‘practical application of s 6 of the </w:t>
      </w:r>
      <w:r w:rsidR="00EF3E15" w:rsidRPr="004A3983">
        <w:rPr>
          <w:rFonts w:ascii="Gotham Book" w:hAnsi="Gotham Book" w:cs="Arial"/>
        </w:rPr>
        <w:t xml:space="preserve">[CPOR] </w:t>
      </w:r>
      <w:r w:rsidRPr="004A3983">
        <w:rPr>
          <w:rFonts w:ascii="Gotham Book" w:hAnsi="Gotham Book" w:cs="Arial"/>
        </w:rPr>
        <w:t>Act’, being the obligations on supervising authorities to notify the NSW Police Force whenever a person is released from custody, and the notification obligations more generally, should also form part of the legislative review.</w:t>
      </w:r>
      <w:r w:rsidRPr="004A3983">
        <w:rPr>
          <w:rStyle w:val="FootnoteReference"/>
          <w:rFonts w:ascii="Gotham Book" w:hAnsi="Gotham Book" w:cs="Arial"/>
        </w:rPr>
        <w:footnoteReference w:id="516"/>
      </w:r>
      <w:r w:rsidRPr="004A3983">
        <w:rPr>
          <w:rFonts w:ascii="Gotham Book" w:hAnsi="Gotham Book" w:cs="Arial"/>
        </w:rPr>
        <w:t xml:space="preserve"> </w:t>
      </w:r>
    </w:p>
    <w:p w14:paraId="0FF307D1" w14:textId="4040CD71" w:rsidR="005C03BC" w:rsidRPr="004A3983" w:rsidRDefault="005C03BC" w:rsidP="003C5904">
      <w:pPr>
        <w:spacing w:after="160"/>
        <w:ind w:right="-2"/>
        <w:rPr>
          <w:rFonts w:ascii="Gotham Book" w:hAnsi="Gotham Book" w:cs="Arial"/>
        </w:rPr>
      </w:pPr>
      <w:r w:rsidRPr="004A3983">
        <w:rPr>
          <w:rFonts w:ascii="Gotham Book" w:hAnsi="Gotham Book" w:cs="Arial"/>
        </w:rPr>
        <w:t xml:space="preserve">The law reform process that we recommend occur </w:t>
      </w:r>
      <w:r w:rsidR="00954241" w:rsidRPr="004A3983">
        <w:rPr>
          <w:rFonts w:ascii="Gotham Book" w:hAnsi="Gotham Book" w:cs="Arial"/>
        </w:rPr>
        <w:t xml:space="preserve">in Chapter </w:t>
      </w:r>
      <w:r w:rsidR="00954241" w:rsidRPr="004A3983">
        <w:rPr>
          <w:rFonts w:ascii="Gotham Book" w:hAnsi="Gotham Book" w:cs="Arial"/>
        </w:rPr>
        <w:fldChar w:fldCharType="begin"/>
      </w:r>
      <w:r w:rsidR="00954241" w:rsidRPr="004A3983">
        <w:rPr>
          <w:rFonts w:ascii="Gotham Book" w:hAnsi="Gotham Book" w:cs="Arial"/>
        </w:rPr>
        <w:instrText xml:space="preserve"> REF _Ref9350149 \r \h  \* MERGEFORMAT </w:instrText>
      </w:r>
      <w:r w:rsidR="00954241" w:rsidRPr="004A3983">
        <w:rPr>
          <w:rFonts w:ascii="Gotham Book" w:hAnsi="Gotham Book" w:cs="Arial"/>
        </w:rPr>
      </w:r>
      <w:r w:rsidR="00954241" w:rsidRPr="004A3983">
        <w:rPr>
          <w:rFonts w:ascii="Gotham Book" w:hAnsi="Gotham Book" w:cs="Arial"/>
        </w:rPr>
        <w:fldChar w:fldCharType="separate"/>
      </w:r>
      <w:r w:rsidR="00022664">
        <w:rPr>
          <w:rFonts w:ascii="Gotham Book" w:hAnsi="Gotham Book" w:cs="Arial" w:hint="cs"/>
          <w:cs/>
        </w:rPr>
        <w:t>‎</w:t>
      </w:r>
      <w:r w:rsidR="00022664">
        <w:rPr>
          <w:rFonts w:ascii="Gotham Book" w:hAnsi="Gotham Book" w:cs="Arial"/>
        </w:rPr>
        <w:t>6</w:t>
      </w:r>
      <w:r w:rsidR="00954241" w:rsidRPr="004A3983">
        <w:rPr>
          <w:rFonts w:ascii="Gotham Book" w:hAnsi="Gotham Book" w:cs="Arial"/>
        </w:rPr>
        <w:fldChar w:fldCharType="end"/>
      </w:r>
      <w:r w:rsidR="00954241" w:rsidRPr="004A3983">
        <w:rPr>
          <w:rFonts w:ascii="Gotham Book" w:hAnsi="Gotham Book" w:cs="Arial"/>
        </w:rPr>
        <w:t xml:space="preserve"> </w:t>
      </w:r>
      <w:r w:rsidRPr="004A3983">
        <w:rPr>
          <w:rFonts w:ascii="Gotham Book" w:hAnsi="Gotham Book" w:cs="Arial"/>
        </w:rPr>
        <w:t>would create an opportunity to clarify where the responsibilities should lie for notifying registrable perso</w:t>
      </w:r>
      <w:r w:rsidR="00CF1A86" w:rsidRPr="004A3983">
        <w:rPr>
          <w:rFonts w:ascii="Gotham Book" w:hAnsi="Gotham Book" w:cs="Arial"/>
        </w:rPr>
        <w:t>ns about their reporting obligations</w:t>
      </w:r>
      <w:r w:rsidR="00C45E7D" w:rsidRPr="004A3983">
        <w:rPr>
          <w:rFonts w:ascii="Gotham Book" w:hAnsi="Gotham Book" w:cs="Arial"/>
        </w:rPr>
        <w:t xml:space="preserve"> under the CPOR Act. This process should consider</w:t>
      </w:r>
      <w:r w:rsidRPr="004A3983">
        <w:rPr>
          <w:rFonts w:ascii="Gotham Book" w:hAnsi="Gotham Book" w:cs="Arial"/>
        </w:rPr>
        <w:t xml:space="preserve"> </w:t>
      </w:r>
      <w:r w:rsidR="00C45E7D" w:rsidRPr="004A3983">
        <w:rPr>
          <w:rFonts w:ascii="Gotham Book" w:hAnsi="Gotham Book" w:cs="Arial"/>
        </w:rPr>
        <w:t>how</w:t>
      </w:r>
      <w:r w:rsidRPr="004A3983">
        <w:rPr>
          <w:rFonts w:ascii="Gotham Book" w:hAnsi="Gotham Book" w:cs="Arial"/>
        </w:rPr>
        <w:t xml:space="preserve"> the current statutory </w:t>
      </w:r>
      <w:r w:rsidR="000F2E88" w:rsidRPr="004A3983">
        <w:rPr>
          <w:rFonts w:ascii="Gotham Book" w:hAnsi="Gotham Book" w:cs="Arial"/>
        </w:rPr>
        <w:t>arrangements, include the notification obligations</w:t>
      </w:r>
      <w:r w:rsidRPr="004A3983">
        <w:rPr>
          <w:rFonts w:ascii="Gotham Book" w:hAnsi="Gotham Book" w:cs="Arial"/>
        </w:rPr>
        <w:t xml:space="preserve"> </w:t>
      </w:r>
      <w:r w:rsidR="000F2E88" w:rsidRPr="004A3983">
        <w:rPr>
          <w:rFonts w:ascii="Gotham Book" w:hAnsi="Gotham Book" w:cs="Arial"/>
        </w:rPr>
        <w:t xml:space="preserve">of </w:t>
      </w:r>
      <w:r w:rsidRPr="004A3983">
        <w:rPr>
          <w:rFonts w:ascii="Gotham Book" w:hAnsi="Gotham Book" w:cs="Arial"/>
        </w:rPr>
        <w:t xml:space="preserve">sentencing courts </w:t>
      </w:r>
      <w:r w:rsidR="00CF1A86" w:rsidRPr="004A3983">
        <w:rPr>
          <w:rFonts w:ascii="Gotham Book" w:hAnsi="Gotham Book" w:cs="Arial"/>
        </w:rPr>
        <w:t xml:space="preserve">and </w:t>
      </w:r>
      <w:r w:rsidR="000F2E88" w:rsidRPr="004A3983">
        <w:rPr>
          <w:rFonts w:ascii="Gotham Book" w:hAnsi="Gotham Book" w:cs="Arial"/>
        </w:rPr>
        <w:t xml:space="preserve">supervising authorities, </w:t>
      </w:r>
      <w:r w:rsidRPr="004A3983">
        <w:rPr>
          <w:rFonts w:ascii="Gotham Book" w:hAnsi="Gotham Book" w:cs="Arial"/>
        </w:rPr>
        <w:t xml:space="preserve">have operated in practice. </w:t>
      </w:r>
    </w:p>
    <w:p w14:paraId="40985639" w14:textId="77777777" w:rsidR="00823D45" w:rsidRDefault="005C03BC" w:rsidP="003C5904">
      <w:pPr>
        <w:spacing w:after="160"/>
        <w:ind w:right="-2"/>
        <w:rPr>
          <w:rFonts w:ascii="Gotham Book" w:hAnsi="Gotham Book" w:cs="Arial"/>
        </w:rPr>
      </w:pPr>
      <w:r w:rsidRPr="004A3983">
        <w:rPr>
          <w:rFonts w:ascii="Gotham Book" w:hAnsi="Gotham Book" w:cs="Arial"/>
        </w:rPr>
        <w:t>To address the co</w:t>
      </w:r>
      <w:r w:rsidR="001121A4" w:rsidRPr="004A3983">
        <w:rPr>
          <w:rFonts w:ascii="Gotham Book" w:hAnsi="Gotham Book" w:cs="Arial"/>
        </w:rPr>
        <w:t>ncerns outlined in this chapter</w:t>
      </w:r>
      <w:r w:rsidRPr="004A3983">
        <w:rPr>
          <w:rFonts w:ascii="Gotham Book" w:hAnsi="Gotham Book" w:cs="Arial"/>
        </w:rPr>
        <w:t xml:space="preserve"> </w:t>
      </w:r>
      <w:r w:rsidR="00807EA1" w:rsidRPr="004A3983">
        <w:rPr>
          <w:rFonts w:ascii="Gotham Book" w:hAnsi="Gotham Book" w:cs="Arial"/>
        </w:rPr>
        <w:t xml:space="preserve">the law reform process should include consideration of </w:t>
      </w:r>
      <w:r w:rsidRPr="004A3983">
        <w:rPr>
          <w:rFonts w:ascii="Gotham Book" w:hAnsi="Gotham Book" w:cs="Arial"/>
        </w:rPr>
        <w:t>the proposal that judicial officers be required to determine whether a person meets the statutory definition of a registrable person, and make the initial determination as to their reporting period</w:t>
      </w:r>
      <w:r w:rsidR="00563E18" w:rsidRPr="004A3983">
        <w:rPr>
          <w:rFonts w:ascii="Gotham Book" w:hAnsi="Gotham Book" w:cs="Arial"/>
        </w:rPr>
        <w:t>.</w:t>
      </w:r>
    </w:p>
    <w:p w14:paraId="77AAA899" w14:textId="77777777" w:rsidR="00F97BD5" w:rsidRDefault="00F97BD5" w:rsidP="003C5904">
      <w:pPr>
        <w:spacing w:after="160"/>
        <w:ind w:right="-2"/>
        <w:rPr>
          <w:rFonts w:ascii="Gotham Book" w:hAnsi="Gotham Book" w:cs="Arial"/>
        </w:rPr>
      </w:pPr>
    </w:p>
    <w:p w14:paraId="51392B0D" w14:textId="2F30A159" w:rsidR="00F97BD5" w:rsidRPr="004A3983" w:rsidRDefault="00F97BD5" w:rsidP="003C5904">
      <w:pPr>
        <w:spacing w:after="160"/>
        <w:ind w:right="-2"/>
        <w:rPr>
          <w:rFonts w:ascii="Gotham Book" w:hAnsi="Gotham Book" w:cs="Arial"/>
        </w:rPr>
        <w:sectPr w:rsidR="00F97BD5" w:rsidRPr="004A3983" w:rsidSect="00C36AFD">
          <w:headerReference w:type="even" r:id="rId54"/>
          <w:headerReference w:type="default" r:id="rId55"/>
          <w:headerReference w:type="first" r:id="rId56"/>
          <w:pgSz w:w="11906" w:h="16838"/>
          <w:pgMar w:top="720" w:right="1276" w:bottom="1418" w:left="1276" w:header="709" w:footer="567" w:gutter="0"/>
          <w:cols w:space="708"/>
          <w:titlePg/>
          <w:docGrid w:linePitch="360"/>
        </w:sectPr>
      </w:pPr>
    </w:p>
    <w:p w14:paraId="78B7B372" w14:textId="066638C6" w:rsidR="00B308FE" w:rsidRPr="004A3983" w:rsidRDefault="00B308FE" w:rsidP="00F03C93">
      <w:pPr>
        <w:spacing w:after="160"/>
        <w:ind w:right="260"/>
      </w:pPr>
    </w:p>
    <w:p w14:paraId="1A9CB815" w14:textId="15BCC52B" w:rsidR="00B308FE" w:rsidRPr="004A3983" w:rsidRDefault="00916D1F" w:rsidP="001C3982">
      <w:pPr>
        <w:pStyle w:val="Heading1"/>
        <w:framePr w:wrap="around"/>
        <w:rPr>
          <w:color w:val="0067A0" w:themeColor="accent1"/>
          <w:sz w:val="29"/>
          <w:szCs w:val="24"/>
        </w:rPr>
      </w:pPr>
      <w:bookmarkStart w:id="480" w:name="_Ref9258915"/>
      <w:r w:rsidRPr="004A3983">
        <w:rPr>
          <w:color w:val="auto"/>
        </w:rPr>
        <w:br/>
      </w:r>
      <w:bookmarkStart w:id="481" w:name="_Ref9349644"/>
      <w:bookmarkStart w:id="482" w:name="_Toc22627826"/>
      <w:r w:rsidR="001B643C" w:rsidRPr="004A3983">
        <w:t>Issues with</w:t>
      </w:r>
      <w:r w:rsidR="00EF3F2A" w:rsidRPr="004A3983">
        <w:t xml:space="preserve"> </w:t>
      </w:r>
      <w:r w:rsidR="00E41494" w:rsidRPr="004A3983">
        <w:t xml:space="preserve">electronic systems </w:t>
      </w:r>
      <w:r w:rsidR="006A6F4E" w:rsidRPr="004A3983">
        <w:t>used</w:t>
      </w:r>
      <w:r w:rsidR="00E41494" w:rsidRPr="004A3983">
        <w:t xml:space="preserve"> </w:t>
      </w:r>
      <w:r w:rsidR="00EF3F2A" w:rsidRPr="004A3983">
        <w:t>to maintain the</w:t>
      </w:r>
      <w:r w:rsidR="00F97BD5">
        <w:t> </w:t>
      </w:r>
      <w:r w:rsidR="00EF3F2A" w:rsidRPr="004A3983">
        <w:t>Register</w:t>
      </w:r>
      <w:bookmarkEnd w:id="480"/>
      <w:bookmarkEnd w:id="481"/>
      <w:bookmarkEnd w:id="482"/>
    </w:p>
    <w:p w14:paraId="26EEA0D1" w14:textId="5B442879" w:rsidR="00B308FE" w:rsidRPr="004A3983" w:rsidRDefault="00E41494" w:rsidP="00F03C93">
      <w:pPr>
        <w:spacing w:after="160"/>
        <w:ind w:right="260"/>
        <w:rPr>
          <w:caps/>
          <w:color w:val="0067A0" w:themeColor="accent1"/>
          <w:sz w:val="29"/>
          <w:szCs w:val="24"/>
        </w:rPr>
      </w:pPr>
      <w:r w:rsidRPr="004A3983">
        <w:br w:type="page"/>
      </w:r>
    </w:p>
    <w:p w14:paraId="4C085073" w14:textId="3A6C1C2B" w:rsidR="00823D45" w:rsidRPr="004A3983" w:rsidRDefault="00823D45" w:rsidP="00062C0B">
      <w:pPr>
        <w:pStyle w:val="Heading2"/>
        <w:spacing w:after="160"/>
        <w:ind w:right="-2"/>
      </w:pPr>
      <w:bookmarkStart w:id="483" w:name="_Toc22627827"/>
      <w:r w:rsidRPr="004A3983">
        <w:lastRenderedPageBreak/>
        <w:t>Introduction</w:t>
      </w:r>
      <w:bookmarkEnd w:id="483"/>
    </w:p>
    <w:p w14:paraId="38E7D161" w14:textId="7C6B0D3E" w:rsidR="00823D45" w:rsidRPr="004A3983" w:rsidRDefault="00823D45" w:rsidP="00062C0B">
      <w:pPr>
        <w:spacing w:after="160"/>
        <w:ind w:right="-2"/>
        <w:rPr>
          <w:rFonts w:ascii="Gotham Book" w:hAnsi="Gotham Book"/>
          <w:color w:val="000000"/>
        </w:rPr>
      </w:pPr>
      <w:r w:rsidRPr="004A3983">
        <w:rPr>
          <w:rFonts w:ascii="Gotham Book" w:hAnsi="Gotham Book"/>
          <w:color w:val="000000"/>
        </w:rPr>
        <w:t>The NSW Police Force uses its Computerised Operational Policing System (COPS) to</w:t>
      </w:r>
      <w:r w:rsidR="007124B7">
        <w:rPr>
          <w:rFonts w:ascii="Gotham Book" w:hAnsi="Gotham Book"/>
          <w:color w:val="000000"/>
        </w:rPr>
        <w:t> </w:t>
      </w:r>
      <w:r w:rsidRPr="004A3983">
        <w:rPr>
          <w:rFonts w:ascii="Gotham Book" w:hAnsi="Gotham Book"/>
          <w:color w:val="000000"/>
        </w:rPr>
        <w:t>help identify when a person has been sentenced for a registrable offence, and to record all the information on the Child Protection Register (the Register). The Register information is stored in a specific part of the system called ‘CPR COPS’.</w:t>
      </w:r>
    </w:p>
    <w:p w14:paraId="44F9B87A" w14:textId="2445CFB0" w:rsidR="00823D45" w:rsidRPr="004A3983" w:rsidRDefault="00823D45" w:rsidP="00062C0B">
      <w:pPr>
        <w:spacing w:after="160"/>
        <w:ind w:right="-2"/>
        <w:rPr>
          <w:rFonts w:ascii="Gotham Book" w:hAnsi="Gotham Book"/>
          <w:color w:val="000000"/>
        </w:rPr>
      </w:pPr>
      <w:r w:rsidRPr="004A3983">
        <w:rPr>
          <w:rFonts w:ascii="Gotham Book" w:hAnsi="Gotham Book"/>
          <w:color w:val="000000"/>
        </w:rPr>
        <w:t xml:space="preserve">Once the Registry has determined that an offender is a registrable person under the </w:t>
      </w:r>
      <w:r w:rsidRPr="004A3983">
        <w:rPr>
          <w:rFonts w:ascii="Gotham Book" w:hAnsi="Gotham Book"/>
          <w:i/>
          <w:color w:val="000000"/>
        </w:rPr>
        <w:t>Child Protection (Offenders Registration) Act 2000</w:t>
      </w:r>
      <w:r w:rsidRPr="004A3983">
        <w:rPr>
          <w:rFonts w:ascii="Gotham Book" w:hAnsi="Gotham Book"/>
          <w:color w:val="000000"/>
        </w:rPr>
        <w:t xml:space="preserve"> (NSW) (CPOR Act), it creates a ‘CPR case’ for the person in CPR COPS. The Registry enters the date that the person’s reporting obligations under the CPOR Act are due to end.</w:t>
      </w:r>
    </w:p>
    <w:p w14:paraId="5EB16716" w14:textId="078AB9F6" w:rsidR="00823D45" w:rsidRPr="004A3983" w:rsidRDefault="00823D45" w:rsidP="00062C0B">
      <w:pPr>
        <w:spacing w:after="160"/>
        <w:ind w:right="-2"/>
        <w:rPr>
          <w:rFonts w:ascii="Gotham Book" w:hAnsi="Gotham Book"/>
          <w:color w:val="000000"/>
        </w:rPr>
      </w:pPr>
      <w:r w:rsidRPr="004A3983">
        <w:rPr>
          <w:rFonts w:ascii="Gotham Book" w:hAnsi="Gotham Book"/>
          <w:color w:val="000000"/>
        </w:rPr>
        <w:t>The Registry is responsible for keeping the information in CPR COPS up to date. This includes recording when a person’s reporting obligations are ‘suspended’ because the person is in government custody,</w:t>
      </w:r>
      <w:r w:rsidRPr="004A3983">
        <w:rPr>
          <w:rStyle w:val="FootnoteReference"/>
          <w:rFonts w:ascii="Gotham Book" w:hAnsi="Gotham Book"/>
          <w:color w:val="000000"/>
        </w:rPr>
        <w:footnoteReference w:id="517"/>
      </w:r>
      <w:r w:rsidR="00C224A5" w:rsidRPr="004A3983">
        <w:rPr>
          <w:rFonts w:ascii="Gotham Book" w:hAnsi="Gotham Book"/>
          <w:color w:val="000000"/>
        </w:rPr>
        <w:t xml:space="preserve"> and recording</w:t>
      </w:r>
      <w:r w:rsidRPr="004A3983">
        <w:rPr>
          <w:rFonts w:ascii="Gotham Book" w:hAnsi="Gotham Book"/>
          <w:color w:val="000000"/>
        </w:rPr>
        <w:t xml:space="preserve"> that th</w:t>
      </w:r>
      <w:r w:rsidR="00F73EB5" w:rsidRPr="004A3983">
        <w:rPr>
          <w:rFonts w:ascii="Gotham Book" w:hAnsi="Gotham Book"/>
          <w:color w:val="000000"/>
        </w:rPr>
        <w:t>eir obligations have re</w:t>
      </w:r>
      <w:r w:rsidRPr="004A3983">
        <w:rPr>
          <w:rFonts w:ascii="Gotham Book" w:hAnsi="Gotham Book"/>
          <w:color w:val="000000"/>
        </w:rPr>
        <w:t>started (refe</w:t>
      </w:r>
      <w:r w:rsidR="00F73EB5" w:rsidRPr="004A3983">
        <w:rPr>
          <w:rFonts w:ascii="Gotham Book" w:hAnsi="Gotham Book"/>
          <w:color w:val="000000"/>
        </w:rPr>
        <w:t>rred to as their case being ‘re</w:t>
      </w:r>
      <w:r w:rsidRPr="004A3983">
        <w:rPr>
          <w:rFonts w:ascii="Gotham Book" w:hAnsi="Gotham Book"/>
          <w:color w:val="000000"/>
        </w:rPr>
        <w:t xml:space="preserve">opened’) as soon as they are released. </w:t>
      </w:r>
    </w:p>
    <w:p w14:paraId="02D1368D" w14:textId="06F7B7B0" w:rsidR="00823D45" w:rsidRPr="004A3983" w:rsidRDefault="00823D45" w:rsidP="00062C0B">
      <w:pPr>
        <w:spacing w:after="160"/>
        <w:ind w:right="-2"/>
      </w:pPr>
      <w:r w:rsidRPr="004A3983">
        <w:rPr>
          <w:rFonts w:ascii="Gotham Book" w:hAnsi="Gotham Book"/>
        </w:rPr>
        <w:t>Officers in the Police Area Commands and Police Districts (local commands) who are responsible for managing registrable persons rely on the accuracy of the information in CPR COPS. If a registrable person’s reporting periods are recorded in CPR COPS as ‘sus</w:t>
      </w:r>
      <w:r w:rsidR="00A83C62" w:rsidRPr="004A3983">
        <w:rPr>
          <w:rFonts w:ascii="Gotham Book" w:hAnsi="Gotham Book"/>
        </w:rPr>
        <w:t>pended’, until their case is re</w:t>
      </w:r>
      <w:r w:rsidRPr="004A3983">
        <w:rPr>
          <w:rFonts w:ascii="Gotham Book" w:hAnsi="Gotham Book"/>
        </w:rPr>
        <w:t>opened by the Registry, officers in the local commands will not know that the person should be making reports to the police.</w:t>
      </w:r>
      <w:r w:rsidRPr="004A3983">
        <w:t xml:space="preserve"> </w:t>
      </w:r>
    </w:p>
    <w:p w14:paraId="72BFFB0B" w14:textId="00D0C838" w:rsidR="00823D45" w:rsidRPr="004A3983" w:rsidRDefault="00823D45" w:rsidP="00062C0B">
      <w:pPr>
        <w:spacing w:after="160"/>
        <w:ind w:right="-2"/>
        <w:rPr>
          <w:rFonts w:ascii="Gotham Book" w:hAnsi="Gotham Book"/>
          <w:color w:val="000000"/>
        </w:rPr>
      </w:pPr>
      <w:r w:rsidRPr="004A3983">
        <w:rPr>
          <w:rFonts w:ascii="Gotham Book" w:hAnsi="Gotham Book"/>
          <w:color w:val="000000"/>
        </w:rPr>
        <w:t xml:space="preserve">The NSW Police Force set up automatic functions in CPR COPS in 2001 to suspend or reopen a person’s case whenever they entered or left custody. </w:t>
      </w:r>
    </w:p>
    <w:p w14:paraId="31D46837" w14:textId="70B55CFA" w:rsidR="00823D45" w:rsidRPr="004A3983" w:rsidRDefault="00823D45" w:rsidP="00062C0B">
      <w:pPr>
        <w:spacing w:after="160"/>
        <w:ind w:right="-2"/>
        <w:rPr>
          <w:rFonts w:ascii="Gotham Book" w:hAnsi="Gotham Book"/>
          <w:color w:val="000000"/>
        </w:rPr>
      </w:pPr>
      <w:r w:rsidRPr="004A3983">
        <w:rPr>
          <w:rFonts w:ascii="Gotham Book" w:hAnsi="Gotham Book"/>
          <w:color w:val="000000"/>
        </w:rPr>
        <w:t>However, in 2014 Registry officers began to notice issues with the reliability of some of the</w:t>
      </w:r>
      <w:r w:rsidRPr="004A3983">
        <w:rPr>
          <w:rFonts w:ascii="Gotham Book" w:hAnsi="Gotham Book"/>
        </w:rPr>
        <w:t xml:space="preserve"> automatic functions in CPR COPS, and in 2015 it was reported that these problems had resulted in registered child sex offenders being released into the community without being monitored by the NSW Police under the CPOR Act.</w:t>
      </w:r>
    </w:p>
    <w:p w14:paraId="3CAED45B" w14:textId="5A363747" w:rsidR="00823D45" w:rsidRPr="004A3983" w:rsidRDefault="00823D45" w:rsidP="00433D39">
      <w:bookmarkStart w:id="484" w:name="_Toc19867575"/>
      <w:r w:rsidRPr="004A3983">
        <w:t xml:space="preserve">The NSW Police Force approved an IT project in 2017 to fix the issues with the automatic functions in CPR COPS. However, at the time of writing, this project </w:t>
      </w:r>
      <w:r w:rsidR="00825EAD" w:rsidRPr="004A3983">
        <w:t>still had</w:t>
      </w:r>
      <w:r w:rsidR="00F75C29" w:rsidRPr="004A3983">
        <w:t xml:space="preserve"> not been completed. </w:t>
      </w:r>
      <w:r w:rsidR="00E76B6C" w:rsidRPr="004A3983">
        <w:t>We recommend that the NSW Police Force ensure that the project is completed as soon as possible.</w:t>
      </w:r>
      <w:bookmarkEnd w:id="484"/>
    </w:p>
    <w:p w14:paraId="30FB24FA" w14:textId="380B0602" w:rsidR="00465E60" w:rsidRPr="004A3983" w:rsidRDefault="00465E60" w:rsidP="00062C0B">
      <w:pPr>
        <w:pStyle w:val="Heading2"/>
        <w:spacing w:after="160"/>
        <w:ind w:right="-2"/>
      </w:pPr>
      <w:bookmarkStart w:id="485" w:name="_Toc22627828"/>
      <w:r w:rsidRPr="004A3983">
        <w:t>Creation of ‘auto-suspend’ and ‘auto-reopen’ functions for Register cases</w:t>
      </w:r>
      <w:bookmarkEnd w:id="485"/>
    </w:p>
    <w:p w14:paraId="4AFDC69B" w14:textId="347947DE" w:rsidR="00465E60" w:rsidRPr="004A3983" w:rsidRDefault="00465E60" w:rsidP="00062C0B">
      <w:pPr>
        <w:spacing w:after="160"/>
        <w:ind w:right="-2"/>
        <w:rPr>
          <w:rFonts w:ascii="Gotham Book" w:hAnsi="Gotham Book"/>
        </w:rPr>
      </w:pPr>
      <w:r w:rsidRPr="004A3983">
        <w:rPr>
          <w:rFonts w:ascii="Gotham Book" w:hAnsi="Gotham Book"/>
          <w:color w:val="000000"/>
        </w:rPr>
        <w:t xml:space="preserve">Whenever a registrable person enters government custody, the Registry is responsible for updating their </w:t>
      </w:r>
      <w:r w:rsidR="00FF3828" w:rsidRPr="004A3983">
        <w:rPr>
          <w:rFonts w:ascii="Gotham Book" w:hAnsi="Gotham Book"/>
          <w:color w:val="000000"/>
        </w:rPr>
        <w:t>CPR COPS</w:t>
      </w:r>
      <w:r w:rsidRPr="004A3983">
        <w:rPr>
          <w:rFonts w:ascii="Gotham Book" w:hAnsi="Gotham Book"/>
          <w:color w:val="000000"/>
        </w:rPr>
        <w:t xml:space="preserve"> case to indicate that their reporting obligations under the CPOR Act are suspended.</w:t>
      </w:r>
      <w:r w:rsidRPr="004A3983">
        <w:rPr>
          <w:rStyle w:val="FootnoteReference"/>
          <w:rFonts w:ascii="Gotham Book" w:hAnsi="Gotham Book"/>
          <w:color w:val="000000"/>
        </w:rPr>
        <w:footnoteReference w:id="518"/>
      </w:r>
      <w:r w:rsidRPr="004A3983">
        <w:rPr>
          <w:rFonts w:ascii="Gotham Book" w:hAnsi="Gotham Book"/>
          <w:color w:val="000000"/>
        </w:rPr>
        <w:t xml:space="preserve"> When the person is released from custody, the Registry is required to </w:t>
      </w:r>
      <w:r w:rsidR="00F73EB5" w:rsidRPr="004A3983">
        <w:rPr>
          <w:rFonts w:ascii="Gotham Book" w:hAnsi="Gotham Book"/>
          <w:color w:val="000000"/>
        </w:rPr>
        <w:t>‘re</w:t>
      </w:r>
      <w:r w:rsidRPr="004A3983">
        <w:rPr>
          <w:rFonts w:ascii="Gotham Book" w:hAnsi="Gotham Book"/>
          <w:color w:val="000000"/>
        </w:rPr>
        <w:t xml:space="preserve">open’ their case to </w:t>
      </w:r>
      <w:r w:rsidRPr="004A3983">
        <w:rPr>
          <w:rFonts w:ascii="Gotham Book" w:hAnsi="Gotham Book"/>
        </w:rPr>
        <w:t>show that the person’s reporting obligations have restarted. The Registry also must extend the person’s reporting period end date by the amount of time the person was in custody.</w:t>
      </w:r>
      <w:r w:rsidRPr="004A3983">
        <w:rPr>
          <w:rStyle w:val="FootnoteReference"/>
          <w:rFonts w:ascii="Gotham Book" w:hAnsi="Gotham Book"/>
        </w:rPr>
        <w:footnoteReference w:id="519"/>
      </w:r>
    </w:p>
    <w:p w14:paraId="4B48FE4F" w14:textId="020C12D4" w:rsidR="00465E60" w:rsidRPr="004A3983" w:rsidRDefault="00465E60" w:rsidP="00062C0B">
      <w:pPr>
        <w:spacing w:after="160"/>
        <w:ind w:right="-2"/>
        <w:rPr>
          <w:rFonts w:ascii="Gotham Book" w:hAnsi="Gotham Book"/>
          <w:color w:val="000000"/>
        </w:rPr>
      </w:pPr>
      <w:r w:rsidRPr="004A3983">
        <w:rPr>
          <w:rFonts w:ascii="Gotham Book" w:hAnsi="Gotham Book"/>
          <w:color w:val="000000"/>
        </w:rPr>
        <w:t>When the Register was established in 2001, functions were set up in CPR COPS to automatically ‘suspend’ registrable persons’ reporting obligations when they entered government custody (the auto-suspend function)</w:t>
      </w:r>
      <w:r w:rsidR="00A83C62" w:rsidRPr="004A3983">
        <w:rPr>
          <w:rFonts w:ascii="Gotham Book" w:hAnsi="Gotham Book"/>
          <w:color w:val="000000"/>
        </w:rPr>
        <w:t>, and re</w:t>
      </w:r>
      <w:r w:rsidRPr="004A3983">
        <w:rPr>
          <w:rFonts w:ascii="Gotham Book" w:hAnsi="Gotham Book"/>
          <w:color w:val="000000"/>
        </w:rPr>
        <w:t xml:space="preserve">open their cases when they </w:t>
      </w:r>
      <w:r w:rsidRPr="004A3983">
        <w:rPr>
          <w:rFonts w:ascii="Gotham Book" w:hAnsi="Gotham Book"/>
          <w:color w:val="000000"/>
        </w:rPr>
        <w:lastRenderedPageBreak/>
        <w:t>were released (the auto-reopen function).</w:t>
      </w:r>
      <w:r w:rsidRPr="004A3983">
        <w:rPr>
          <w:rStyle w:val="FootnoteReference"/>
          <w:rFonts w:ascii="Gotham Book" w:hAnsi="Gotham Book"/>
          <w:color w:val="000000"/>
        </w:rPr>
        <w:footnoteReference w:id="520"/>
      </w:r>
      <w:r w:rsidRPr="004A3983">
        <w:rPr>
          <w:rFonts w:ascii="Gotham Book" w:hAnsi="Gotham Book"/>
          <w:color w:val="000000"/>
        </w:rPr>
        <w:t xml:space="preserve"> These automatic functions worked because of an </w:t>
      </w:r>
      <w:r w:rsidRPr="004A3983">
        <w:rPr>
          <w:rFonts w:ascii="Gotham Book" w:hAnsi="Gotham Book"/>
        </w:rPr>
        <w:t xml:space="preserve">interface between COPS and </w:t>
      </w:r>
      <w:r w:rsidR="00FF3828" w:rsidRPr="004A3983">
        <w:rPr>
          <w:rFonts w:ascii="Gotham Book" w:hAnsi="Gotham Book"/>
        </w:rPr>
        <w:t xml:space="preserve">the </w:t>
      </w:r>
      <w:r w:rsidRPr="004A3983">
        <w:rPr>
          <w:rFonts w:ascii="Gotham Book" w:hAnsi="Gotham Book"/>
        </w:rPr>
        <w:t>Corrective Service</w:t>
      </w:r>
      <w:r w:rsidR="00FF3828" w:rsidRPr="004A3983">
        <w:rPr>
          <w:rFonts w:ascii="Gotham Book" w:hAnsi="Gotham Book"/>
        </w:rPr>
        <w:t>s NSW</w:t>
      </w:r>
      <w:r w:rsidRPr="004A3983">
        <w:rPr>
          <w:rFonts w:ascii="Gotham Book" w:hAnsi="Gotham Book"/>
        </w:rPr>
        <w:t xml:space="preserve"> Offender Integrated Management System (OIMS), through which OIMS sent automatic notifications to COPS (the OIMS interface).</w:t>
      </w:r>
      <w:r w:rsidRPr="004A3983">
        <w:rPr>
          <w:rStyle w:val="FootnoteReference"/>
          <w:rFonts w:ascii="Gotham Book" w:hAnsi="Gotham Book"/>
        </w:rPr>
        <w:footnoteReference w:id="521"/>
      </w:r>
      <w:r w:rsidRPr="004A3983">
        <w:rPr>
          <w:rFonts w:ascii="Gotham Book" w:hAnsi="Gotham Book"/>
        </w:rPr>
        <w:t xml:space="preserve"> </w:t>
      </w:r>
    </w:p>
    <w:p w14:paraId="4A50FA5C" w14:textId="4151EF32" w:rsidR="00465E60" w:rsidRPr="004A3983" w:rsidRDefault="00465E60" w:rsidP="00062C0B">
      <w:pPr>
        <w:spacing w:after="160"/>
        <w:ind w:right="-2"/>
        <w:rPr>
          <w:rFonts w:ascii="Gotham Book" w:hAnsi="Gotham Book"/>
          <w:color w:val="000000"/>
        </w:rPr>
      </w:pPr>
      <w:r w:rsidRPr="004A3983">
        <w:rPr>
          <w:rFonts w:ascii="Gotham Book" w:hAnsi="Gotham Book"/>
          <w:color w:val="000000"/>
        </w:rPr>
        <w:t>In 2014 Registry officers began to notice that there were issues with the reliability of these</w:t>
      </w:r>
      <w:r w:rsidRPr="004A3983">
        <w:rPr>
          <w:rFonts w:ascii="Gotham Book" w:hAnsi="Gotham Book"/>
        </w:rPr>
        <w:t xml:space="preserve"> automatic </w:t>
      </w:r>
      <w:r w:rsidR="008A1C86" w:rsidRPr="004A3983">
        <w:rPr>
          <w:rFonts w:ascii="Gotham Book" w:hAnsi="Gotham Book"/>
        </w:rPr>
        <w:t>functions in CPR COPS</w:t>
      </w:r>
      <w:r w:rsidRPr="004A3983">
        <w:rPr>
          <w:rFonts w:ascii="Gotham Book" w:hAnsi="Gotham Book"/>
        </w:rPr>
        <w:t xml:space="preserve"> and the </w:t>
      </w:r>
      <w:r w:rsidR="00FF3828" w:rsidRPr="004A3983">
        <w:rPr>
          <w:rFonts w:ascii="Gotham Book" w:hAnsi="Gotham Book"/>
        </w:rPr>
        <w:t xml:space="preserve">OIMS </w:t>
      </w:r>
      <w:r w:rsidRPr="004A3983">
        <w:rPr>
          <w:rFonts w:ascii="Gotham Book" w:hAnsi="Gotham Book"/>
        </w:rPr>
        <w:t xml:space="preserve">interface. </w:t>
      </w:r>
    </w:p>
    <w:p w14:paraId="090822C1" w14:textId="77777777" w:rsidR="00465E60" w:rsidRPr="004A3983" w:rsidRDefault="00465E60" w:rsidP="00062C0B">
      <w:pPr>
        <w:pStyle w:val="Heading2"/>
        <w:spacing w:after="160"/>
        <w:ind w:right="-2"/>
      </w:pPr>
      <w:bookmarkStart w:id="486" w:name="_Ref9259006"/>
      <w:bookmarkStart w:id="487" w:name="_Toc22627829"/>
      <w:r w:rsidRPr="004A3983">
        <w:t>Problems with the auto-suspend and auto-reopen functions resulted in registered sex offenders being unmonitored</w:t>
      </w:r>
      <w:bookmarkEnd w:id="486"/>
      <w:bookmarkEnd w:id="487"/>
    </w:p>
    <w:p w14:paraId="3EB4BE75" w14:textId="6D5DC47C" w:rsidR="00465E60" w:rsidRPr="004A3983" w:rsidRDefault="00465E60" w:rsidP="00062C0B">
      <w:pPr>
        <w:spacing w:after="160"/>
        <w:ind w:right="-2"/>
        <w:rPr>
          <w:rFonts w:ascii="Gotham Book" w:hAnsi="Gotham Book"/>
        </w:rPr>
      </w:pPr>
      <w:r w:rsidRPr="004A3983">
        <w:rPr>
          <w:rFonts w:ascii="Gotham Book" w:hAnsi="Gotham Book"/>
        </w:rPr>
        <w:t xml:space="preserve">In December 2014 officers in the Registry requested assistance from NSW Police Force Business and Technology Services (BTS) to look into an apparent </w:t>
      </w:r>
      <w:r w:rsidR="00B35A63" w:rsidRPr="004A3983">
        <w:rPr>
          <w:rFonts w:ascii="Gotham Book" w:hAnsi="Gotham Book"/>
        </w:rPr>
        <w:t xml:space="preserve">problem </w:t>
      </w:r>
      <w:r w:rsidR="0005720B">
        <w:rPr>
          <w:rFonts w:ascii="Gotham Book" w:hAnsi="Gotham Book"/>
        </w:rPr>
        <w:t>that</w:t>
      </w:r>
      <w:r w:rsidR="00B35A63" w:rsidRPr="004A3983">
        <w:rPr>
          <w:rFonts w:ascii="Gotham Book" w:hAnsi="Gotham Book"/>
        </w:rPr>
        <w:t xml:space="preserve"> </w:t>
      </w:r>
      <w:r w:rsidRPr="004A3983">
        <w:rPr>
          <w:rFonts w:ascii="Gotham Book" w:hAnsi="Gotham Book"/>
        </w:rPr>
        <w:t>OIMS and CPR COPS were not</w:t>
      </w:r>
      <w:r w:rsidR="00B35A63" w:rsidRPr="004A3983">
        <w:rPr>
          <w:rFonts w:ascii="Gotham Book" w:hAnsi="Gotham Book"/>
        </w:rPr>
        <w:t xml:space="preserve"> working together to flag </w:t>
      </w:r>
      <w:r w:rsidRPr="004A3983">
        <w:rPr>
          <w:rFonts w:ascii="Gotham Book" w:hAnsi="Gotham Book"/>
        </w:rPr>
        <w:t>movements</w:t>
      </w:r>
      <w:r w:rsidR="00B35A63" w:rsidRPr="004A3983">
        <w:rPr>
          <w:rFonts w:ascii="Gotham Book" w:hAnsi="Gotham Book"/>
        </w:rPr>
        <w:t xml:space="preserve"> of registrable persons who were going in and out of custody</w:t>
      </w:r>
      <w:r w:rsidRPr="004A3983">
        <w:rPr>
          <w:rFonts w:ascii="Gotham Book" w:hAnsi="Gotham Book"/>
        </w:rPr>
        <w:t>.</w:t>
      </w:r>
      <w:r w:rsidRPr="004A3983">
        <w:rPr>
          <w:rStyle w:val="FootnoteReference"/>
          <w:rFonts w:ascii="Gotham Book" w:hAnsi="Gotham Book"/>
        </w:rPr>
        <w:footnoteReference w:id="522"/>
      </w:r>
    </w:p>
    <w:p w14:paraId="64DC1547" w14:textId="01CB9BD5" w:rsidR="00465E60" w:rsidRPr="004A3983" w:rsidRDefault="000A408D" w:rsidP="00062C0B">
      <w:pPr>
        <w:autoSpaceDE w:val="0"/>
        <w:autoSpaceDN w:val="0"/>
        <w:spacing w:after="160"/>
        <w:ind w:right="-2"/>
        <w:rPr>
          <w:rFonts w:ascii="Gotham Book" w:hAnsi="Gotham Book" w:cs="Arial"/>
        </w:rPr>
      </w:pPr>
      <w:r w:rsidRPr="004A3983">
        <w:rPr>
          <w:rFonts w:ascii="Gotham Book" w:hAnsi="Gotham Book" w:cs="Arial"/>
        </w:rPr>
        <w:t xml:space="preserve">In early March 2015, an officer </w:t>
      </w:r>
      <w:r w:rsidR="00465E60" w:rsidRPr="004A3983">
        <w:rPr>
          <w:rFonts w:ascii="Gotham Book" w:hAnsi="Gotham Book" w:cs="Arial"/>
        </w:rPr>
        <w:t xml:space="preserve">working in a local command </w:t>
      </w:r>
      <w:r w:rsidR="00465E60" w:rsidRPr="004A3983">
        <w:rPr>
          <w:rFonts w:ascii="Gotham Book" w:hAnsi="Gotham Book"/>
        </w:rPr>
        <w:t>raised concerns that deficiencies in the way the NSW</w:t>
      </w:r>
      <w:r w:rsidR="00F02F2F" w:rsidRPr="004A3983">
        <w:rPr>
          <w:rFonts w:ascii="Gotham Book" w:hAnsi="Gotham Book"/>
        </w:rPr>
        <w:t xml:space="preserve"> </w:t>
      </w:r>
      <w:r w:rsidR="00465E60" w:rsidRPr="004A3983">
        <w:rPr>
          <w:rFonts w:ascii="Gotham Book" w:hAnsi="Gotham Book"/>
        </w:rPr>
        <w:t>P</w:t>
      </w:r>
      <w:r w:rsidR="00F02F2F" w:rsidRPr="004A3983">
        <w:rPr>
          <w:rFonts w:ascii="Gotham Book" w:hAnsi="Gotham Book"/>
        </w:rPr>
        <w:t xml:space="preserve">olice </w:t>
      </w:r>
      <w:r w:rsidR="00465E60" w:rsidRPr="004A3983">
        <w:rPr>
          <w:rFonts w:ascii="Gotham Book" w:hAnsi="Gotham Book"/>
        </w:rPr>
        <w:t>F</w:t>
      </w:r>
      <w:r w:rsidR="00F02F2F" w:rsidRPr="004A3983">
        <w:rPr>
          <w:rFonts w:ascii="Gotham Book" w:hAnsi="Gotham Book"/>
        </w:rPr>
        <w:t>orce</w:t>
      </w:r>
      <w:r w:rsidR="00465E60" w:rsidRPr="004A3983">
        <w:rPr>
          <w:rFonts w:ascii="Gotham Book" w:hAnsi="Gotham Book"/>
        </w:rPr>
        <w:t xml:space="preserve"> tracked registrable offenders who were in custody were ‘essentially ena</w:t>
      </w:r>
      <w:r w:rsidR="00FF3828" w:rsidRPr="004A3983">
        <w:rPr>
          <w:rFonts w:ascii="Gotham Book" w:hAnsi="Gotham Book"/>
        </w:rPr>
        <w:t>bling [registrable persons] to “drop off the radar”</w:t>
      </w:r>
      <w:r w:rsidR="00465E60" w:rsidRPr="004A3983">
        <w:rPr>
          <w:rFonts w:ascii="Gotham Book" w:hAnsi="Gotham Book"/>
        </w:rPr>
        <w:t xml:space="preserve"> and avoid monitoring’.</w:t>
      </w:r>
      <w:r w:rsidR="00465E60" w:rsidRPr="004A3983">
        <w:rPr>
          <w:rStyle w:val="FootnoteReference"/>
          <w:rFonts w:ascii="Gotham Book" w:hAnsi="Gotham Book"/>
        </w:rPr>
        <w:footnoteReference w:id="523"/>
      </w:r>
      <w:r w:rsidR="00465E60" w:rsidRPr="004A3983">
        <w:rPr>
          <w:rFonts w:ascii="Gotham Book" w:hAnsi="Gotham Book"/>
        </w:rPr>
        <w:t xml:space="preserve"> The </w:t>
      </w:r>
      <w:r w:rsidRPr="004A3983">
        <w:rPr>
          <w:rFonts w:ascii="Gotham Book" w:hAnsi="Gotham Book"/>
        </w:rPr>
        <w:t>officer</w:t>
      </w:r>
      <w:r w:rsidR="00465E60" w:rsidRPr="004A3983">
        <w:rPr>
          <w:rFonts w:ascii="Gotham Book" w:hAnsi="Gotham Book"/>
        </w:rPr>
        <w:t xml:space="preserve"> reported that </w:t>
      </w:r>
      <w:r w:rsidR="00465E60" w:rsidRPr="004A3983">
        <w:rPr>
          <w:rFonts w:ascii="Gotham Book" w:hAnsi="Gotham Book" w:cs="Arial"/>
        </w:rPr>
        <w:t xml:space="preserve">two registrable persons within his command had been released from custody but their case had not been reopened on CPR COPS. These two men’s cases are discussed in </w:t>
      </w:r>
      <w:r w:rsidR="00FF3828" w:rsidRPr="004A3983">
        <w:rPr>
          <w:rFonts w:ascii="Gotham Book" w:hAnsi="Gotham Book" w:cs="Arial"/>
        </w:rPr>
        <w:t>Case S</w:t>
      </w:r>
      <w:r w:rsidR="00FF7BEB" w:rsidRPr="004A3983">
        <w:rPr>
          <w:rFonts w:ascii="Gotham Book" w:hAnsi="Gotham Book" w:cs="Arial"/>
        </w:rPr>
        <w:t>tudies 10 and 11</w:t>
      </w:r>
      <w:r w:rsidR="00465E60" w:rsidRPr="004A3983">
        <w:rPr>
          <w:rFonts w:ascii="Gotham Book" w:hAnsi="Gotham Book" w:cs="Arial"/>
        </w:rPr>
        <w:t xml:space="preserve">. As a result of his </w:t>
      </w:r>
      <w:r w:rsidR="001C6776" w:rsidRPr="004A3983">
        <w:rPr>
          <w:rFonts w:ascii="Gotham Book" w:hAnsi="Gotham Book" w:cs="Arial"/>
        </w:rPr>
        <w:t xml:space="preserve">COPS </w:t>
      </w:r>
      <w:r w:rsidR="00465E60" w:rsidRPr="004A3983">
        <w:rPr>
          <w:rFonts w:ascii="Gotham Book" w:hAnsi="Gotham Book" w:cs="Arial"/>
        </w:rPr>
        <w:t xml:space="preserve">Register case not reopening, the person in </w:t>
      </w:r>
      <w:r w:rsidR="007F27C6" w:rsidRPr="004A3983">
        <w:rPr>
          <w:rFonts w:ascii="Gotham Book" w:hAnsi="Gotham Book" w:cs="Arial"/>
        </w:rPr>
        <w:t>Case Study</w:t>
      </w:r>
      <w:r w:rsidR="00FF7BEB" w:rsidRPr="004A3983">
        <w:rPr>
          <w:rFonts w:ascii="Gotham Book" w:hAnsi="Gotham Book" w:cs="Arial"/>
        </w:rPr>
        <w:t xml:space="preserve"> 10 </w:t>
      </w:r>
      <w:r w:rsidR="00FF3828" w:rsidRPr="004A3983">
        <w:rPr>
          <w:rFonts w:ascii="Gotham Book" w:hAnsi="Gotham Book" w:cs="Arial"/>
        </w:rPr>
        <w:t>had avoided</w:t>
      </w:r>
      <w:r w:rsidR="00465E60" w:rsidRPr="004A3983">
        <w:rPr>
          <w:rFonts w:ascii="Gotham Book" w:hAnsi="Gotham Book" w:cs="Arial"/>
        </w:rPr>
        <w:t xml:space="preserve"> reporting to the NSW Police Force </w:t>
      </w:r>
      <w:r w:rsidR="00FF3828" w:rsidRPr="004A3983">
        <w:rPr>
          <w:rFonts w:ascii="Gotham Book" w:hAnsi="Gotham Book" w:cs="Arial"/>
        </w:rPr>
        <w:t xml:space="preserve">under the CPOR Act </w:t>
      </w:r>
      <w:r w:rsidR="00465E60" w:rsidRPr="004A3983">
        <w:rPr>
          <w:rFonts w:ascii="Gotham Book" w:hAnsi="Gotham Book" w:cs="Arial"/>
        </w:rPr>
        <w:t xml:space="preserve">for a period of almost two years. </w:t>
      </w:r>
    </w:p>
    <w:p w14:paraId="76ADA1C9" w14:textId="2AC5D537" w:rsidR="00823D45" w:rsidRPr="004A3983" w:rsidRDefault="00465E60" w:rsidP="00062C0B">
      <w:pPr>
        <w:pStyle w:val="CaseStudyHeading"/>
        <w:spacing w:after="160" w:line="259" w:lineRule="auto"/>
        <w:ind w:right="-2"/>
        <w:rPr>
          <w:b w:val="0"/>
        </w:rPr>
      </w:pPr>
      <w:r w:rsidRPr="004A3983">
        <w:t xml:space="preserve"> </w:t>
      </w:r>
      <w:bookmarkStart w:id="488" w:name="_Toc22280908"/>
      <w:r w:rsidRPr="004A3983">
        <w:t>Registered person not reporting for two years due to systems malfunction</w:t>
      </w:r>
      <w:bookmarkEnd w:id="488"/>
      <w:r w:rsidRPr="004A3983">
        <w:t xml:space="preserve"> </w:t>
      </w:r>
    </w:p>
    <w:p w14:paraId="58F1F85B" w14:textId="68524407" w:rsidR="00465E60" w:rsidRPr="004A3983" w:rsidRDefault="00A866D1" w:rsidP="00062C0B">
      <w:pPr>
        <w:pStyle w:val="CaseStudyText"/>
        <w:spacing w:after="160"/>
        <w:ind w:right="-2"/>
      </w:pPr>
      <w:r w:rsidRPr="004A3983">
        <w:t>Mr BB</w:t>
      </w:r>
      <w:r w:rsidR="00465E60" w:rsidRPr="004A3983">
        <w:rPr>
          <w:rStyle w:val="FootnoteReference"/>
          <w:rFonts w:ascii="Gotham Book" w:hAnsi="Gotham Book"/>
        </w:rPr>
        <w:footnoteReference w:id="524"/>
      </w:r>
      <w:r w:rsidR="00465E60" w:rsidRPr="004A3983">
        <w:t xml:space="preserve"> was placed on the Register in 2005 following his conviction and imprisonment for sexual intercourse with a child. His reporting period was 15</w:t>
      </w:r>
      <w:r w:rsidR="007124B7">
        <w:t> </w:t>
      </w:r>
      <w:r w:rsidR="00465E60" w:rsidRPr="004A3983">
        <w:t>years.</w:t>
      </w:r>
    </w:p>
    <w:p w14:paraId="6591BE7B" w14:textId="3CBB140A" w:rsidR="00465E60" w:rsidRPr="004A3983" w:rsidRDefault="00465E60" w:rsidP="00062C0B">
      <w:pPr>
        <w:pStyle w:val="CaseStudyText"/>
        <w:spacing w:after="160"/>
        <w:ind w:right="-2"/>
      </w:pPr>
      <w:r w:rsidRPr="004A3983">
        <w:t>Between 2008 and 2012 Mr BB was co</w:t>
      </w:r>
      <w:r w:rsidR="00411965" w:rsidRPr="004A3983">
        <w:t>nvicted of a number of offences</w:t>
      </w:r>
      <w:r w:rsidRPr="004A3983">
        <w:t xml:space="preserve"> and spent multiple periods in prison. In November 2012, he was charged with multiple counts of assault and was refused bail. On 8 January 2013, while Mr BB was being </w:t>
      </w:r>
      <w:r w:rsidRPr="004A3983">
        <w:lastRenderedPageBreak/>
        <w:t>held on remand, the Registry marked his reporting obligations as ‘suspended – in custody’ on CPR COP</w:t>
      </w:r>
      <w:r w:rsidR="00810F88" w:rsidRPr="004A3983">
        <w:t>S</w:t>
      </w:r>
      <w:r w:rsidRPr="004A3983">
        <w:rPr>
          <w:rStyle w:val="FootnoteReference"/>
          <w:rFonts w:ascii="Gotham Book" w:hAnsi="Gotham Book"/>
          <w:vertAlign w:val="baseline"/>
        </w:rPr>
        <w:t>.</w:t>
      </w:r>
      <w:r w:rsidRPr="004A3983">
        <w:t xml:space="preserve"> </w:t>
      </w:r>
    </w:p>
    <w:p w14:paraId="39268B35" w14:textId="4EA3CD6C" w:rsidR="00465E60" w:rsidRPr="004A3983" w:rsidRDefault="00465E60" w:rsidP="00062C0B">
      <w:pPr>
        <w:pStyle w:val="CaseStudyText"/>
        <w:spacing w:after="160"/>
        <w:ind w:right="-2"/>
      </w:pPr>
      <w:r w:rsidRPr="004A3983">
        <w:t>When Mr BB was acquitted of the charges and released in January 2013, his case on CP</w:t>
      </w:r>
      <w:r w:rsidR="00A83C62" w:rsidRPr="004A3983">
        <w:t>R COPS did not automatically re</w:t>
      </w:r>
      <w:r w:rsidRPr="004A3983">
        <w:t>open. As a result, for almost two years after he was released, Mr BB was recorded in CPR COPS as still being in custody, until 5 December 2014 when a member of the public alerted the police t</w:t>
      </w:r>
      <w:r w:rsidR="00876D52" w:rsidRPr="004A3983">
        <w:t>o his location in the community</w:t>
      </w:r>
      <w:r w:rsidR="00A83C62" w:rsidRPr="004A3983">
        <w:t xml:space="preserve"> and the Registry manually re</w:t>
      </w:r>
      <w:r w:rsidRPr="004A3983">
        <w:t>opened his case.</w:t>
      </w:r>
      <w:r w:rsidR="00C704CC" w:rsidRPr="004A3983">
        <w:t xml:space="preserve"> </w:t>
      </w:r>
    </w:p>
    <w:p w14:paraId="11998146" w14:textId="7EE8C574" w:rsidR="00465E60" w:rsidRPr="004A3983" w:rsidRDefault="00465E60" w:rsidP="00062C0B">
      <w:pPr>
        <w:pStyle w:val="CaseStudyText"/>
        <w:spacing w:after="160"/>
        <w:ind w:right="-2"/>
      </w:pPr>
      <w:r w:rsidRPr="004A3983">
        <w:t xml:space="preserve">During this almost two year period, the NSW Police Force did not take any action against Mr BB for failing to comply with his reporting obligations under the CPOR Act, despite the fact he was arrested and granted bail (for </w:t>
      </w:r>
      <w:r w:rsidR="000556F8" w:rsidRPr="004A3983">
        <w:t>offences un</w:t>
      </w:r>
      <w:r w:rsidR="009D3442" w:rsidRPr="004A3983">
        <w:t xml:space="preserve">related </w:t>
      </w:r>
      <w:r w:rsidR="000556F8" w:rsidRPr="004A3983">
        <w:t>to the Register</w:t>
      </w:r>
      <w:r w:rsidR="009D3442" w:rsidRPr="004A3983">
        <w:t xml:space="preserve">) in August 2013 and in </w:t>
      </w:r>
      <w:r w:rsidRPr="004A3983">
        <w:t>May 2014.</w:t>
      </w:r>
      <w:r w:rsidR="008306E5" w:rsidRPr="004A3983">
        <w:t xml:space="preserve"> </w:t>
      </w:r>
    </w:p>
    <w:p w14:paraId="49010450" w14:textId="328418C8" w:rsidR="00465E60" w:rsidRPr="004A3983" w:rsidRDefault="00465E60" w:rsidP="00062C0B">
      <w:pPr>
        <w:pStyle w:val="CaseStudyText"/>
        <w:spacing w:after="160"/>
        <w:ind w:right="-2"/>
      </w:pPr>
      <w:r w:rsidRPr="004A3983">
        <w:t>In March 2015, the NSW Police Force charged Mr BB</w:t>
      </w:r>
      <w:r w:rsidR="009D3442" w:rsidRPr="004A3983">
        <w:t xml:space="preserve"> with failing</w:t>
      </w:r>
      <w:r w:rsidRPr="004A3983">
        <w:t xml:space="preserve"> to comply with</w:t>
      </w:r>
      <w:r w:rsidR="003A007A" w:rsidRPr="004A3983">
        <w:t xml:space="preserve"> his reporting </w:t>
      </w:r>
      <w:r w:rsidRPr="004A3983">
        <w:t>obligations. He was subsequently convicted on two counts and sentenced to 12 months’ imprisonment, with a non-parole period of 9 months.</w:t>
      </w:r>
      <w:r w:rsidR="002B4927" w:rsidRPr="004A3983">
        <w:t xml:space="preserve"> </w:t>
      </w:r>
    </w:p>
    <w:p w14:paraId="02916D49" w14:textId="65BA725A" w:rsidR="00465E60" w:rsidRPr="004A3983" w:rsidRDefault="009774CD" w:rsidP="00062C0B">
      <w:pPr>
        <w:pStyle w:val="CaseStudyHeading"/>
        <w:spacing w:after="160" w:line="259" w:lineRule="auto"/>
        <w:ind w:right="-2"/>
        <w:rPr>
          <w:b w:val="0"/>
        </w:rPr>
      </w:pPr>
      <w:bookmarkStart w:id="489" w:name="_Toc22280909"/>
      <w:r w:rsidRPr="004A3983">
        <w:t>System failed to show h</w:t>
      </w:r>
      <w:r w:rsidR="00EC0859" w:rsidRPr="004A3983">
        <w:t xml:space="preserve">igh </w:t>
      </w:r>
      <w:r w:rsidRPr="004A3983">
        <w:t>risk registered person had been</w:t>
      </w:r>
      <w:r w:rsidR="007124B7">
        <w:t> </w:t>
      </w:r>
      <w:r w:rsidRPr="004A3983">
        <w:t>released</w:t>
      </w:r>
      <w:bookmarkEnd w:id="489"/>
      <w:r w:rsidRPr="004A3983">
        <w:t xml:space="preserve"> </w:t>
      </w:r>
    </w:p>
    <w:p w14:paraId="551D04E9" w14:textId="71F5FBEE" w:rsidR="00465E60" w:rsidRPr="004A3983" w:rsidRDefault="00465E60" w:rsidP="00062C0B">
      <w:pPr>
        <w:pStyle w:val="CaseStudyText"/>
        <w:spacing w:after="160"/>
        <w:ind w:right="-2"/>
      </w:pPr>
      <w:r w:rsidRPr="004A3983">
        <w:t>In October 2000 Mr R</w:t>
      </w:r>
      <w:r w:rsidR="00200716" w:rsidRPr="004A3983">
        <w:t>R</w:t>
      </w:r>
      <w:r w:rsidRPr="004A3983">
        <w:rPr>
          <w:rStyle w:val="FootnoteReference"/>
          <w:rFonts w:ascii="Gotham Book" w:hAnsi="Gotham Book" w:cs="Arial"/>
          <w:sz w:val="20"/>
          <w:szCs w:val="20"/>
        </w:rPr>
        <w:footnoteReference w:id="525"/>
      </w:r>
      <w:r w:rsidRPr="004A3983">
        <w:t xml:space="preserve"> was convicted of sexual intercourse with a child and aggravated indecent assault of a child and was sentenced to four years’ imprisonment, with a non-parole period of two years.</w:t>
      </w:r>
      <w:r w:rsidR="009C141A" w:rsidRPr="004A3983">
        <w:t xml:space="preserve"> </w:t>
      </w:r>
    </w:p>
    <w:p w14:paraId="55524BAA" w14:textId="12A29FB2" w:rsidR="00465E60" w:rsidRPr="004A3983" w:rsidRDefault="00465E60" w:rsidP="00062C0B">
      <w:pPr>
        <w:pStyle w:val="CaseStudyText"/>
        <w:spacing w:after="160"/>
        <w:ind w:right="-2"/>
      </w:pPr>
      <w:r w:rsidRPr="004A3983">
        <w:t xml:space="preserve">Mr RR was released on parole in October 2002, and the NSW Police Force determined he was a registrable person with a reporting period of 15 years. </w:t>
      </w:r>
    </w:p>
    <w:p w14:paraId="5E04563E" w14:textId="7060154D" w:rsidR="00465E60" w:rsidRPr="004A3983" w:rsidRDefault="00465E60" w:rsidP="00062C0B">
      <w:pPr>
        <w:pStyle w:val="CaseStudyText"/>
        <w:spacing w:after="160"/>
        <w:ind w:right="-2"/>
      </w:pPr>
      <w:r w:rsidRPr="004A3983">
        <w:t xml:space="preserve">In June 2014 Mr RR was arrested and charged with two counts of </w:t>
      </w:r>
      <w:r w:rsidR="0038089D" w:rsidRPr="004A3983">
        <w:t>possessing child</w:t>
      </w:r>
      <w:r w:rsidR="007124B7">
        <w:t> </w:t>
      </w:r>
      <w:r w:rsidR="0038089D" w:rsidRPr="004A3983">
        <w:t>abuse material</w:t>
      </w:r>
      <w:r w:rsidR="009D3442" w:rsidRPr="004A3983">
        <w:t xml:space="preserve"> and one count of failing</w:t>
      </w:r>
      <w:r w:rsidRPr="004A3983">
        <w:t xml:space="preserve"> to comply with reporting obligations under s 17 of the CPOR Act. He was refused bail and was held on remand.</w:t>
      </w:r>
      <w:r w:rsidR="0038089D" w:rsidRPr="004A3983">
        <w:t xml:space="preserve"> As he was in custody</w:t>
      </w:r>
      <w:r w:rsidR="009D3442" w:rsidRPr="004A3983">
        <w:t>, in</w:t>
      </w:r>
      <w:r w:rsidRPr="004A3983">
        <w:t xml:space="preserve"> July 2014 Mr RR</w:t>
      </w:r>
      <w:r w:rsidR="0038089D" w:rsidRPr="004A3983">
        <w:t>’s</w:t>
      </w:r>
      <w:r w:rsidRPr="004A3983">
        <w:t xml:space="preserve"> reporting obligations were recorded as ‘suspended’ in CPR COPS. </w:t>
      </w:r>
    </w:p>
    <w:p w14:paraId="6B85AE65" w14:textId="71F2CDE6" w:rsidR="00465E60" w:rsidRPr="004A3983" w:rsidRDefault="00465E60" w:rsidP="00062C0B">
      <w:pPr>
        <w:pStyle w:val="CaseStudyText"/>
        <w:spacing w:after="160"/>
        <w:ind w:right="-2"/>
      </w:pPr>
      <w:r w:rsidRPr="004A3983">
        <w:t>In January 2015 Mr RR was convicted of all three offences and was sentenced to a minimum of six month</w:t>
      </w:r>
      <w:r w:rsidR="00E31C12" w:rsidRPr="004A3983">
        <w:t>s’</w:t>
      </w:r>
      <w:r w:rsidRPr="004A3983">
        <w:t xml:space="preserve"> imprisonment, backdated</w:t>
      </w:r>
      <w:r w:rsidR="0074038C" w:rsidRPr="004A3983">
        <w:t xml:space="preserve"> to reflect his time on remand.</w:t>
      </w:r>
    </w:p>
    <w:p w14:paraId="0BEB740D" w14:textId="62955188" w:rsidR="00465E60" w:rsidRPr="004A3983" w:rsidRDefault="009D3442" w:rsidP="00062C0B">
      <w:pPr>
        <w:pStyle w:val="CaseStudyText"/>
        <w:spacing w:after="160"/>
        <w:ind w:right="-2"/>
      </w:pPr>
      <w:r w:rsidRPr="004A3983">
        <w:t>In</w:t>
      </w:r>
      <w:r w:rsidR="00465E60" w:rsidRPr="004A3983">
        <w:t xml:space="preserve"> February 2015 Corrective Services </w:t>
      </w:r>
      <w:r w:rsidR="00493C9E" w:rsidRPr="004A3983">
        <w:t xml:space="preserve">NSW </w:t>
      </w:r>
      <w:r w:rsidR="00465E60" w:rsidRPr="004A3983">
        <w:t>notified Mr RR of his obligation to report to a</w:t>
      </w:r>
      <w:r w:rsidR="008A21D3" w:rsidRPr="004A3983">
        <w:t xml:space="preserve"> police station by 6 March 2015</w:t>
      </w:r>
      <w:r w:rsidRPr="004A3983">
        <w:t>,</w:t>
      </w:r>
      <w:r w:rsidR="00465E60" w:rsidRPr="004A3983">
        <w:t xml:space="preserve"> and he was released.</w:t>
      </w:r>
    </w:p>
    <w:p w14:paraId="56F7A16D" w14:textId="1F5BBE31" w:rsidR="00465E60" w:rsidRPr="004A3983" w:rsidRDefault="00465E60" w:rsidP="00062C0B">
      <w:pPr>
        <w:pStyle w:val="CaseStudyText"/>
        <w:spacing w:after="160"/>
        <w:ind w:right="-2"/>
      </w:pPr>
      <w:r w:rsidRPr="004A3983">
        <w:t>On 1 March 2015 Mr RR attended a police station to report his details. Officers at the station realised that Mr RR’s ‘CPR case’ on COPS had not reopened when he was released from pris</w:t>
      </w:r>
      <w:r w:rsidR="00F5422F" w:rsidRPr="004A3983">
        <w:t>on. They contacted the Registry</w:t>
      </w:r>
      <w:r w:rsidRPr="004A3983">
        <w:t xml:space="preserve"> and the Registry manually reopened his case.</w:t>
      </w:r>
    </w:p>
    <w:p w14:paraId="74F8BF9E" w14:textId="6406D7D8" w:rsidR="00465E60" w:rsidRPr="004A3983" w:rsidRDefault="00465E60" w:rsidP="00062C0B">
      <w:pPr>
        <w:pStyle w:val="CaseStudyText"/>
        <w:spacing w:after="360"/>
        <w:ind w:right="-2"/>
      </w:pPr>
      <w:r w:rsidRPr="004A3983">
        <w:t>The NSW Police Force completed a threat assessment for Mr RR which classified him as high risk.</w:t>
      </w:r>
      <w:r w:rsidRPr="004A3983">
        <w:rPr>
          <w:vertAlign w:val="superscript"/>
        </w:rPr>
        <w:t xml:space="preserve"> </w:t>
      </w:r>
      <w:r w:rsidRPr="004A3983">
        <w:t>His offending subsequent to being put on the Register classified him under the CPOR Act as a person who would have reporting obligations for the remainder of his life.</w:t>
      </w:r>
    </w:p>
    <w:p w14:paraId="71D77746" w14:textId="7E1DED02" w:rsidR="00207E8A" w:rsidRPr="004A3983" w:rsidRDefault="00207E8A" w:rsidP="00062C0B">
      <w:pPr>
        <w:pStyle w:val="Heading2"/>
        <w:spacing w:after="160"/>
        <w:ind w:right="-2"/>
      </w:pPr>
      <w:bookmarkStart w:id="490" w:name="_Toc22627830"/>
      <w:r w:rsidRPr="004A3983">
        <w:lastRenderedPageBreak/>
        <w:t xml:space="preserve">Reports from the Registry about need to </w:t>
      </w:r>
      <w:r w:rsidR="009D3442" w:rsidRPr="004A3983">
        <w:t>fix</w:t>
      </w:r>
      <w:r w:rsidRPr="004A3983">
        <w:t xml:space="preserve"> </w:t>
      </w:r>
      <w:r w:rsidR="009D3442" w:rsidRPr="004A3983">
        <w:t>the auto-suspend and auto-reopen</w:t>
      </w:r>
      <w:r w:rsidRPr="004A3983">
        <w:t xml:space="preserve"> functions</w:t>
      </w:r>
      <w:bookmarkEnd w:id="490"/>
    </w:p>
    <w:p w14:paraId="6D0E7B9F" w14:textId="7D0C7E53" w:rsidR="00207E8A" w:rsidRPr="004A3983" w:rsidRDefault="00207E8A" w:rsidP="00062C0B">
      <w:pPr>
        <w:spacing w:after="160"/>
        <w:ind w:right="-2"/>
        <w:rPr>
          <w:rFonts w:ascii="Gotham Book" w:hAnsi="Gotham Book"/>
        </w:rPr>
      </w:pPr>
      <w:r w:rsidRPr="004A3983">
        <w:rPr>
          <w:rFonts w:ascii="Gotham Book" w:hAnsi="Gotham Book"/>
        </w:rPr>
        <w:t>On 28 September 2015 the Registry Manager sent a request for ‘urgent assistance’ from BTS regarding the problem with the ‘auto-reopen’ function not working</w:t>
      </w:r>
      <w:r w:rsidR="00305463" w:rsidRPr="004A3983">
        <w:rPr>
          <w:rFonts w:ascii="Gotham Book" w:hAnsi="Gotham Book"/>
        </w:rPr>
        <w:t xml:space="preserve"> reliably</w:t>
      </w:r>
      <w:r w:rsidRPr="004A3983">
        <w:rPr>
          <w:rFonts w:ascii="Gotham Book" w:hAnsi="Gotham Book"/>
        </w:rPr>
        <w:t xml:space="preserve"> to reopen Register cases in CPR COPS when registrable persons were released from custody.</w:t>
      </w:r>
      <w:r w:rsidRPr="004A3983">
        <w:rPr>
          <w:rStyle w:val="FootnoteReference"/>
          <w:rFonts w:ascii="Gotham Book" w:hAnsi="Gotham Book"/>
        </w:rPr>
        <w:footnoteReference w:id="526"/>
      </w:r>
      <w:r w:rsidRPr="004A3983">
        <w:rPr>
          <w:rFonts w:ascii="Gotham Book" w:hAnsi="Gotham Book"/>
        </w:rPr>
        <w:t xml:space="preserve"> </w:t>
      </w:r>
    </w:p>
    <w:p w14:paraId="03C49E7C" w14:textId="6C20490E" w:rsidR="00207E8A" w:rsidRPr="004A3983" w:rsidRDefault="00207E8A" w:rsidP="00062C0B">
      <w:pPr>
        <w:spacing w:after="160"/>
        <w:ind w:right="-2"/>
        <w:rPr>
          <w:rFonts w:ascii="Gotham Book" w:hAnsi="Gotham Book"/>
        </w:rPr>
      </w:pPr>
      <w:r w:rsidRPr="004A3983">
        <w:rPr>
          <w:rFonts w:ascii="Gotham Book" w:hAnsi="Gotham Book"/>
        </w:rPr>
        <w:t>He reported that the Registry had initiated an audit of the registrable persons listed on CPR COPS with a status of ‘Suspended in custody’ in August 2015. It identified six registrable persons who had been living in</w:t>
      </w:r>
      <w:r w:rsidR="003D7CFC" w:rsidRPr="004A3983">
        <w:rPr>
          <w:rFonts w:ascii="Gotham Book" w:hAnsi="Gotham Book"/>
        </w:rPr>
        <w:t xml:space="preserve"> the community and had not report</w:t>
      </w:r>
      <w:r w:rsidR="00E275AE" w:rsidRPr="004A3983">
        <w:rPr>
          <w:rFonts w:ascii="Gotham Book" w:hAnsi="Gotham Book"/>
        </w:rPr>
        <w:t>ed</w:t>
      </w:r>
      <w:r w:rsidR="003D7CFC" w:rsidRPr="004A3983">
        <w:rPr>
          <w:rFonts w:ascii="Gotham Book" w:hAnsi="Gotham Book"/>
        </w:rPr>
        <w:t xml:space="preserve"> to</w:t>
      </w:r>
      <w:r w:rsidRPr="004A3983">
        <w:rPr>
          <w:rFonts w:ascii="Gotham Book" w:hAnsi="Gotham Book"/>
        </w:rPr>
        <w:t xml:space="preserve"> police. It also identified one registrable person who had been released from custody in July 2005, and should have been reporting under the CPOR Act for 10 years, but he had never </w:t>
      </w:r>
      <w:r w:rsidR="00E275AE" w:rsidRPr="004A3983">
        <w:rPr>
          <w:rFonts w:ascii="Gotham Book" w:hAnsi="Gotham Book"/>
        </w:rPr>
        <w:t>made an initial report to police</w:t>
      </w:r>
      <w:r w:rsidRPr="004A3983">
        <w:rPr>
          <w:rFonts w:ascii="Gotham Book" w:hAnsi="Gotham Book"/>
        </w:rPr>
        <w:t>.</w:t>
      </w:r>
      <w:r w:rsidRPr="004A3983">
        <w:rPr>
          <w:rStyle w:val="FootnoteReference"/>
          <w:rFonts w:ascii="Gotham Book" w:hAnsi="Gotham Book"/>
        </w:rPr>
        <w:footnoteReference w:id="527"/>
      </w:r>
      <w:r w:rsidRPr="004A3983">
        <w:rPr>
          <w:rFonts w:ascii="Gotham Book" w:hAnsi="Gotham Book"/>
        </w:rPr>
        <w:t xml:space="preserve"> Due to the failure of the auto-reopen function, the Registry had not been aware that these registrable persons had been released from prison.</w:t>
      </w:r>
      <w:r w:rsidRPr="004A3983">
        <w:rPr>
          <w:rStyle w:val="FootnoteReference"/>
          <w:rFonts w:ascii="Gotham Book" w:hAnsi="Gotham Book"/>
        </w:rPr>
        <w:footnoteReference w:id="528"/>
      </w:r>
    </w:p>
    <w:p w14:paraId="1814D4CC" w14:textId="601436A5" w:rsidR="00207E8A" w:rsidRPr="004A3983" w:rsidRDefault="00207E8A" w:rsidP="00062C0B">
      <w:pPr>
        <w:spacing w:after="160"/>
        <w:ind w:right="-2"/>
        <w:rPr>
          <w:rFonts w:ascii="Gotham Book" w:hAnsi="Gotham Book"/>
        </w:rPr>
      </w:pPr>
      <w:r w:rsidRPr="004A3983">
        <w:rPr>
          <w:rFonts w:ascii="Gotham Book" w:hAnsi="Gotham Book"/>
        </w:rPr>
        <w:t xml:space="preserve">The Registry Manager stated the failure of the ‘auto-reopen’ function also meant that the reporting period end dates for many registrable persons </w:t>
      </w:r>
      <w:r w:rsidR="00666C4A" w:rsidRPr="004A3983">
        <w:rPr>
          <w:rFonts w:ascii="Gotham Book" w:hAnsi="Gotham Book"/>
        </w:rPr>
        <w:t>could</w:t>
      </w:r>
      <w:r w:rsidRPr="004A3983">
        <w:rPr>
          <w:rFonts w:ascii="Gotham Book" w:hAnsi="Gotham Book"/>
        </w:rPr>
        <w:t xml:space="preserve"> be incorrect, as they had not been</w:t>
      </w:r>
      <w:r w:rsidR="00666C4A" w:rsidRPr="004A3983">
        <w:rPr>
          <w:rFonts w:ascii="Gotham Book" w:hAnsi="Gotham Book"/>
        </w:rPr>
        <w:t xml:space="preserve"> extended for </w:t>
      </w:r>
      <w:r w:rsidRPr="004A3983">
        <w:rPr>
          <w:rFonts w:ascii="Gotham Book" w:hAnsi="Gotham Book"/>
        </w:rPr>
        <w:t>time spent in custody.</w:t>
      </w:r>
      <w:r w:rsidRPr="004A3983">
        <w:rPr>
          <w:rStyle w:val="FootnoteReference"/>
          <w:rFonts w:ascii="Gotham Book" w:hAnsi="Gotham Book"/>
        </w:rPr>
        <w:footnoteReference w:id="529"/>
      </w:r>
    </w:p>
    <w:p w14:paraId="5CA41DE5" w14:textId="2134B068" w:rsidR="00207E8A" w:rsidRPr="004A3983" w:rsidRDefault="00207E8A" w:rsidP="00062C0B">
      <w:pPr>
        <w:autoSpaceDE w:val="0"/>
        <w:autoSpaceDN w:val="0"/>
        <w:spacing w:after="160"/>
        <w:ind w:right="-2"/>
        <w:rPr>
          <w:rFonts w:ascii="Gotham Book" w:hAnsi="Gotham Book"/>
        </w:rPr>
      </w:pPr>
      <w:r w:rsidRPr="004A3983">
        <w:rPr>
          <w:rFonts w:ascii="Gotham Book" w:hAnsi="Gotham Book"/>
        </w:rPr>
        <w:t>The Registry Manager concluded that ‘[i]t would also appear that this has been the case for years with COPS, and it is unknown how many other Registrable Persons this may have affected’. He recommended that BTS address the issue ‘without delay’.</w:t>
      </w:r>
      <w:r w:rsidRPr="004A3983">
        <w:rPr>
          <w:rStyle w:val="FootnoteReference"/>
          <w:rFonts w:ascii="Gotham Book" w:hAnsi="Gotham Book"/>
        </w:rPr>
        <w:footnoteReference w:id="530"/>
      </w:r>
      <w:r w:rsidRPr="004A3983">
        <w:rPr>
          <w:rFonts w:ascii="Gotham Book" w:hAnsi="Gotham Book"/>
        </w:rPr>
        <w:t xml:space="preserve"> The Acting Commander of the State Crime Command supported the Registry Manager’s recommendation and noted:</w:t>
      </w:r>
    </w:p>
    <w:p w14:paraId="04BF699E" w14:textId="3C303A2D" w:rsidR="00207E8A" w:rsidRPr="004A3983" w:rsidRDefault="00207E8A" w:rsidP="00DA75A7">
      <w:pPr>
        <w:pStyle w:val="Quotesmall1cm"/>
        <w:rPr>
          <w:u w:val="single"/>
        </w:rPr>
      </w:pPr>
      <w:r w:rsidRPr="004A3983">
        <w:t>The issue requires urgent consideration. A high degree of risk to NSWPF exists in the circumstances outlined…it is not only a risk for NSWPF; the community is also in jeopardy.</w:t>
      </w:r>
      <w:r w:rsidRPr="004A3983">
        <w:rPr>
          <w:rStyle w:val="FootnoteReference"/>
        </w:rPr>
        <w:footnoteReference w:id="531"/>
      </w:r>
    </w:p>
    <w:p w14:paraId="3E937E22" w14:textId="06776952" w:rsidR="00207E8A" w:rsidRPr="004A3983" w:rsidRDefault="00207E8A" w:rsidP="00062C0B">
      <w:pPr>
        <w:spacing w:after="160"/>
        <w:ind w:right="-2"/>
        <w:rPr>
          <w:rFonts w:ascii="Gotham Book" w:hAnsi="Gotham Book"/>
          <w:color w:val="000000"/>
        </w:rPr>
      </w:pPr>
      <w:r w:rsidRPr="004A3983">
        <w:rPr>
          <w:rFonts w:ascii="Gotham Book" w:hAnsi="Gotham Book"/>
          <w:color w:val="000000"/>
        </w:rPr>
        <w:t>From October 2015 to May 2016 four further reports were submitted raising the issues with the auto-suspend and auto-reopen function in CPR COPS and the OIMS interface.</w:t>
      </w:r>
      <w:r w:rsidRPr="004A3983">
        <w:rPr>
          <w:rStyle w:val="FootnoteReference"/>
          <w:rFonts w:ascii="Gotham Book" w:hAnsi="Gotham Book"/>
          <w:color w:val="000000"/>
        </w:rPr>
        <w:footnoteReference w:id="532"/>
      </w:r>
      <w:r w:rsidRPr="004A3983">
        <w:rPr>
          <w:rFonts w:ascii="Gotham Book" w:hAnsi="Gotham Book"/>
          <w:color w:val="000000"/>
        </w:rPr>
        <w:t xml:space="preserve"> </w:t>
      </w:r>
    </w:p>
    <w:p w14:paraId="352F5DCB" w14:textId="723BE698" w:rsidR="00207E8A" w:rsidRPr="004A3983" w:rsidRDefault="00207E8A" w:rsidP="00062C0B">
      <w:pPr>
        <w:pStyle w:val="Heading2"/>
        <w:spacing w:after="160"/>
        <w:ind w:right="-2"/>
      </w:pPr>
      <w:bookmarkStart w:id="491" w:name="_Toc22627831"/>
      <w:r w:rsidRPr="004A3983">
        <w:lastRenderedPageBreak/>
        <w:t>Auto-suspend and auto-reopen functions turned off and IT upgrade project approved</w:t>
      </w:r>
      <w:bookmarkEnd w:id="491"/>
    </w:p>
    <w:p w14:paraId="24756929" w14:textId="5F0F2D5E" w:rsidR="00207E8A" w:rsidRPr="004A3983" w:rsidRDefault="00207E8A" w:rsidP="00062C0B">
      <w:pPr>
        <w:spacing w:after="160"/>
        <w:ind w:right="-2"/>
        <w:rPr>
          <w:rFonts w:ascii="Gotham Book" w:hAnsi="Gotham Book"/>
        </w:rPr>
      </w:pPr>
      <w:r w:rsidRPr="004A3983">
        <w:rPr>
          <w:rFonts w:ascii="Gotham Book" w:hAnsi="Gotham Book"/>
        </w:rPr>
        <w:t xml:space="preserve">In June 2016 a Business Analyst appointed by BTS to examine the issues with the </w:t>
      </w:r>
      <w:r w:rsidR="00E40DB2" w:rsidRPr="004A3983">
        <w:rPr>
          <w:rFonts w:ascii="Gotham Book" w:hAnsi="Gotham Book"/>
        </w:rPr>
        <w:t xml:space="preserve">OIMS </w:t>
      </w:r>
      <w:r w:rsidRPr="004A3983">
        <w:rPr>
          <w:rFonts w:ascii="Gotham Book" w:hAnsi="Gotham Book"/>
        </w:rPr>
        <w:t>interface concluded that a joint project between the NSW Police</w:t>
      </w:r>
      <w:r w:rsidR="009156F4" w:rsidRPr="004A3983">
        <w:rPr>
          <w:rFonts w:ascii="Gotham Book" w:hAnsi="Gotham Book"/>
        </w:rPr>
        <w:t xml:space="preserve"> Force, Corrective Services NSW</w:t>
      </w:r>
      <w:r w:rsidRPr="004A3983">
        <w:rPr>
          <w:rFonts w:ascii="Gotham Book" w:hAnsi="Gotham Book"/>
        </w:rPr>
        <w:t xml:space="preserve"> and the Department of Attorney-General and Justice would be required to address the failings of the interface.</w:t>
      </w:r>
      <w:r w:rsidRPr="004A3983">
        <w:rPr>
          <w:rStyle w:val="FootnoteReference"/>
          <w:rFonts w:ascii="Gotham Book" w:hAnsi="Gotham Book"/>
        </w:rPr>
        <w:footnoteReference w:id="533"/>
      </w:r>
    </w:p>
    <w:p w14:paraId="674702AD" w14:textId="3D8F68DA" w:rsidR="00207E8A" w:rsidRPr="004A3983" w:rsidRDefault="00207E8A" w:rsidP="00062C0B">
      <w:pPr>
        <w:spacing w:after="160"/>
        <w:ind w:right="-2"/>
        <w:rPr>
          <w:rFonts w:ascii="Gotham Book" w:hAnsi="Gotham Book"/>
          <w:color w:val="000000"/>
        </w:rPr>
      </w:pPr>
      <w:r w:rsidRPr="004A3983">
        <w:rPr>
          <w:rFonts w:ascii="Gotham Book" w:hAnsi="Gotham Book"/>
        </w:rPr>
        <w:t xml:space="preserve">In April 2017 the Commander of the Sex Crimes Squad reported that her </w:t>
      </w:r>
      <w:r w:rsidRPr="004A3983">
        <w:rPr>
          <w:rFonts w:ascii="Gotham Book" w:hAnsi="Gotham Book"/>
          <w:color w:val="000000"/>
        </w:rPr>
        <w:t>staff had appeared before the Senior Officers board, which was chaired by the Deputy Commissioner of Field Operations:</w:t>
      </w:r>
    </w:p>
    <w:p w14:paraId="3D0398C7" w14:textId="6D108368" w:rsidR="00207E8A" w:rsidRPr="004A3983" w:rsidRDefault="00207E8A" w:rsidP="007124B7">
      <w:pPr>
        <w:pStyle w:val="Quotesmall1cm"/>
      </w:pPr>
      <w:r w:rsidRPr="004A3983">
        <w:t>to highlight the case that the Child Protection Registry has an urgent priority within the NSWPF to have the Child Protection Register (CPR) COPS application enhanced and have its interfaces with external systems (NSW Correction OIMS) replaced due to data quality issues which are leading to poor management of Registrable Persons in the community.</w:t>
      </w:r>
      <w:r w:rsidRPr="004A3983">
        <w:rPr>
          <w:rStyle w:val="FootnoteReference"/>
          <w:color w:val="000000"/>
        </w:rPr>
        <w:footnoteReference w:id="534"/>
      </w:r>
    </w:p>
    <w:p w14:paraId="483B65F8" w14:textId="22074102" w:rsidR="00207E8A" w:rsidRPr="004A3983" w:rsidRDefault="00207E8A" w:rsidP="00062C0B">
      <w:pPr>
        <w:spacing w:after="160"/>
        <w:ind w:right="-2"/>
        <w:rPr>
          <w:rFonts w:ascii="Gotham Book" w:hAnsi="Gotham Book"/>
          <w:color w:val="000000"/>
        </w:rPr>
      </w:pPr>
      <w:r w:rsidRPr="004A3983">
        <w:rPr>
          <w:rFonts w:ascii="Gotham Book" w:hAnsi="Gotham Book"/>
          <w:color w:val="000000"/>
        </w:rPr>
        <w:t xml:space="preserve">In around June 2017 NSW Police Force approved the project to upgrade CPR COPS and the OIMS interface </w:t>
      </w:r>
      <w:r w:rsidR="005F3E73" w:rsidRPr="004A3983">
        <w:rPr>
          <w:rFonts w:ascii="Gotham Book" w:hAnsi="Gotham Book"/>
          <w:color w:val="000000"/>
        </w:rPr>
        <w:t>(the CPR COPS upgrade project</w:t>
      </w:r>
      <w:r w:rsidRPr="004A3983">
        <w:rPr>
          <w:rFonts w:ascii="Gotham Book" w:hAnsi="Gotham Book"/>
          <w:color w:val="000000"/>
        </w:rPr>
        <w:t>)</w:t>
      </w:r>
      <w:r w:rsidRPr="004A3983">
        <w:rPr>
          <w:rFonts w:ascii="Gotham Book" w:hAnsi="Gotham Book"/>
          <w:color w:val="000000"/>
          <w:sz w:val="20"/>
          <w:szCs w:val="20"/>
        </w:rPr>
        <w:t>.</w:t>
      </w:r>
      <w:r w:rsidRPr="004A3983">
        <w:rPr>
          <w:rStyle w:val="FootnoteReference"/>
          <w:rFonts w:ascii="Gotham Book" w:hAnsi="Gotham Book"/>
          <w:color w:val="000000"/>
          <w:sz w:val="20"/>
          <w:szCs w:val="20"/>
        </w:rPr>
        <w:footnoteReference w:id="535"/>
      </w:r>
      <w:r w:rsidRPr="004A3983">
        <w:rPr>
          <w:rFonts w:ascii="Gotham Book" w:hAnsi="Gotham Book"/>
          <w:color w:val="000000"/>
          <w:sz w:val="20"/>
          <w:szCs w:val="20"/>
        </w:rPr>
        <w:t xml:space="preserve"> </w:t>
      </w:r>
    </w:p>
    <w:p w14:paraId="540C85FA" w14:textId="0133C82A" w:rsidR="00207E8A" w:rsidRPr="004A3983" w:rsidRDefault="00207E8A" w:rsidP="00062C0B">
      <w:pPr>
        <w:spacing w:after="160"/>
        <w:ind w:right="-2"/>
        <w:rPr>
          <w:rFonts w:ascii="Gotham Book" w:hAnsi="Gotham Book"/>
        </w:rPr>
      </w:pPr>
      <w:r w:rsidRPr="004A3983">
        <w:rPr>
          <w:rFonts w:ascii="Gotham Book" w:hAnsi="Gotham Book"/>
        </w:rPr>
        <w:t>At around the same time the NSW Police Force disabled the auto-suspend and auto-reopen functions in CPR COPS.</w:t>
      </w:r>
      <w:r w:rsidRPr="004A3983">
        <w:rPr>
          <w:rStyle w:val="FootnoteReference"/>
          <w:rFonts w:ascii="Gotham Book" w:hAnsi="Gotham Book"/>
        </w:rPr>
        <w:footnoteReference w:id="536"/>
      </w:r>
      <w:r w:rsidRPr="004A3983">
        <w:rPr>
          <w:rFonts w:ascii="Gotham Book" w:hAnsi="Gotham Book"/>
        </w:rPr>
        <w:t xml:space="preserve"> This increased the workload for the R</w:t>
      </w:r>
      <w:r w:rsidR="00A66129" w:rsidRPr="004A3983">
        <w:rPr>
          <w:rFonts w:ascii="Gotham Book" w:hAnsi="Gotham Book"/>
        </w:rPr>
        <w:t>egistry officers</w:t>
      </w:r>
      <w:r w:rsidRPr="004A3983">
        <w:rPr>
          <w:rFonts w:ascii="Gotham Book" w:hAnsi="Gotham Book"/>
        </w:rPr>
        <w:t xml:space="preserve"> as once these automatic functions had been turned off, the Registry officers were required to:</w:t>
      </w:r>
    </w:p>
    <w:p w14:paraId="6E88BD14" w14:textId="262D8F12" w:rsidR="00207E8A" w:rsidRPr="004A3983" w:rsidRDefault="00207E8A" w:rsidP="007124B7">
      <w:pPr>
        <w:pStyle w:val="ListBullet"/>
      </w:pPr>
      <w:r w:rsidRPr="004A3983">
        <w:t xml:space="preserve">‘perpetually review’ the accuracy of Register cases, because as soon as a registrable person went into or was released from custody, their CPR case would become inaccurate, and </w:t>
      </w:r>
    </w:p>
    <w:p w14:paraId="511F0DFC" w14:textId="085614C3" w:rsidR="00207E8A" w:rsidRPr="004A3983" w:rsidRDefault="00207E8A" w:rsidP="007124B7">
      <w:pPr>
        <w:pStyle w:val="ListBullet"/>
      </w:pPr>
      <w:r w:rsidRPr="004A3983">
        <w:t>manually request custody reports f</w:t>
      </w:r>
      <w:r w:rsidR="00A83C62" w:rsidRPr="004A3983">
        <w:t>rom Corrective Services NSW, re</w:t>
      </w:r>
      <w:r w:rsidRPr="004A3983">
        <w:t>open the cases and re-calculate the reporting periods when registrable persons were released from custody.</w:t>
      </w:r>
      <w:r w:rsidRPr="004A3983">
        <w:rPr>
          <w:rStyle w:val="FootnoteReference"/>
        </w:rPr>
        <w:footnoteReference w:id="537"/>
      </w:r>
    </w:p>
    <w:p w14:paraId="04D8E399" w14:textId="12EB5D2C" w:rsidR="00207E8A" w:rsidRPr="004A3983" w:rsidRDefault="00207E8A" w:rsidP="00062C0B">
      <w:pPr>
        <w:autoSpaceDE w:val="0"/>
        <w:autoSpaceDN w:val="0"/>
        <w:spacing w:after="160"/>
        <w:ind w:right="-2"/>
        <w:rPr>
          <w:rFonts w:ascii="Gotham Book" w:hAnsi="Gotham Book" w:cs="Arial"/>
        </w:rPr>
      </w:pPr>
      <w:r w:rsidRPr="004A3983">
        <w:rPr>
          <w:rFonts w:ascii="Gotham Book" w:hAnsi="Gotham Book" w:cs="Arial"/>
        </w:rPr>
        <w:t xml:space="preserve">The Workforce Intelligence Unit </w:t>
      </w:r>
      <w:r w:rsidR="00355520" w:rsidRPr="004A3983">
        <w:rPr>
          <w:rFonts w:ascii="Gotham Book" w:hAnsi="Gotham Book" w:cs="Arial"/>
        </w:rPr>
        <w:t>within the NSW Police Force</w:t>
      </w:r>
      <w:r w:rsidRPr="004A3983">
        <w:rPr>
          <w:rFonts w:ascii="Gotham Book" w:hAnsi="Gotham Book" w:cs="Arial"/>
        </w:rPr>
        <w:t xml:space="preserve"> Human Resources Command completed a review of the Registry’s workload in July 2017 (the Register Staffing Review). The Workforce Intelligence Unit recommended that ‘the project to </w:t>
      </w:r>
      <w:r w:rsidRPr="004A3983">
        <w:rPr>
          <w:rFonts w:ascii="Gotham Book" w:hAnsi="Gotham Book" w:cs="Arial"/>
        </w:rPr>
        <w:lastRenderedPageBreak/>
        <w:t>fix the COPS interface with OIMS should be prioritised and begin as soon as possible’.</w:t>
      </w:r>
      <w:r w:rsidRPr="004A3983">
        <w:rPr>
          <w:rStyle w:val="FootnoteReference"/>
          <w:rFonts w:ascii="Gotham Book" w:hAnsi="Gotham Book" w:cs="Arial"/>
        </w:rPr>
        <w:footnoteReference w:id="538"/>
      </w:r>
      <w:r w:rsidRPr="004A3983">
        <w:rPr>
          <w:rFonts w:ascii="Gotham Book" w:hAnsi="Gotham Book" w:cs="Arial"/>
        </w:rPr>
        <w:t xml:space="preserve"> </w:t>
      </w:r>
    </w:p>
    <w:p w14:paraId="0CB09EA6" w14:textId="06A0ECDF" w:rsidR="00207E8A" w:rsidRPr="004A3983" w:rsidRDefault="00207E8A" w:rsidP="00062C0B">
      <w:pPr>
        <w:spacing w:after="160"/>
        <w:ind w:right="-2"/>
        <w:rPr>
          <w:rFonts w:ascii="Gotham Book" w:hAnsi="Gotham Book"/>
        </w:rPr>
      </w:pPr>
      <w:r w:rsidRPr="004A3983">
        <w:rPr>
          <w:rFonts w:ascii="Gotham Book" w:hAnsi="Gotham Book"/>
        </w:rPr>
        <w:t>The Workforce Intelligence Unit emphasised the Registry would need to continue to</w:t>
      </w:r>
      <w:r w:rsidR="007A19B8">
        <w:rPr>
          <w:rFonts w:ascii="Gotham Book" w:hAnsi="Gotham Book"/>
        </w:rPr>
        <w:t> </w:t>
      </w:r>
      <w:r w:rsidRPr="004A3983">
        <w:rPr>
          <w:rFonts w:ascii="Gotham Book" w:hAnsi="Gotham Book"/>
        </w:rPr>
        <w:t>‘perpetually review’ the Register cases ‘[u]ntil the issues with COPS have been fixed’.</w:t>
      </w:r>
      <w:r w:rsidRPr="004A3983">
        <w:rPr>
          <w:rStyle w:val="FootnoteReference"/>
          <w:rFonts w:ascii="Gotham Book" w:hAnsi="Gotham Book"/>
        </w:rPr>
        <w:footnoteReference w:id="539"/>
      </w:r>
      <w:r w:rsidRPr="004A3983">
        <w:rPr>
          <w:rFonts w:ascii="Gotham Book" w:hAnsi="Gotham Book"/>
        </w:rPr>
        <w:t xml:space="preserve"> The Unit warned that ‘[t]he longer it takes to fix the issues with COPS, the more out of date and incorrect the [results of the review of Register case files] will be’.</w:t>
      </w:r>
      <w:r w:rsidRPr="004A3983">
        <w:rPr>
          <w:rStyle w:val="FootnoteReference"/>
          <w:rFonts w:ascii="Gotham Book" w:hAnsi="Gotham Book"/>
        </w:rPr>
        <w:footnoteReference w:id="540"/>
      </w:r>
      <w:r w:rsidRPr="004A3983">
        <w:rPr>
          <w:rFonts w:ascii="Gotham Book" w:hAnsi="Gotham Book"/>
          <w:sz w:val="20"/>
          <w:szCs w:val="20"/>
        </w:rPr>
        <w:t xml:space="preserve"> </w:t>
      </w:r>
    </w:p>
    <w:p w14:paraId="4A9BCC51" w14:textId="36337B8D" w:rsidR="00207E8A" w:rsidRPr="004A3983" w:rsidRDefault="00207E8A" w:rsidP="00062C0B">
      <w:pPr>
        <w:spacing w:after="160"/>
        <w:ind w:right="-2"/>
        <w:rPr>
          <w:rFonts w:ascii="Gotham Book" w:hAnsi="Gotham Book"/>
        </w:rPr>
      </w:pPr>
      <w:r w:rsidRPr="004A3983">
        <w:rPr>
          <w:rFonts w:ascii="Gotham Book" w:hAnsi="Gotham Book"/>
        </w:rPr>
        <w:t xml:space="preserve">In early 2018 the Registry Manager recommended </w:t>
      </w:r>
      <w:r w:rsidR="00BD3600" w:rsidRPr="004A3983">
        <w:rPr>
          <w:rFonts w:ascii="Gotham Book" w:hAnsi="Gotham Book"/>
        </w:rPr>
        <w:t xml:space="preserve">in his scholarship report on the management of the Register </w:t>
      </w:r>
      <w:r w:rsidRPr="004A3983">
        <w:rPr>
          <w:rFonts w:ascii="Gotham Book" w:hAnsi="Gotham Book"/>
        </w:rPr>
        <w:t>that the NSW Police Force prioritise the CPR COPS upgrade project</w:t>
      </w:r>
      <w:r w:rsidRPr="004A3983">
        <w:rPr>
          <w:rFonts w:ascii="Gotham Book" w:hAnsi="Gotham Book" w:cs="ArialMT"/>
          <w:sz w:val="18"/>
          <w:szCs w:val="18"/>
        </w:rPr>
        <w:t>.</w:t>
      </w:r>
      <w:r w:rsidRPr="004A3983">
        <w:rPr>
          <w:rStyle w:val="FootnoteReference"/>
          <w:rFonts w:ascii="Gotham Book" w:hAnsi="Gotham Book" w:cs="ArialMT"/>
          <w:sz w:val="18"/>
          <w:szCs w:val="18"/>
        </w:rPr>
        <w:footnoteReference w:id="541"/>
      </w:r>
    </w:p>
    <w:p w14:paraId="55FA20E8" w14:textId="23E0B489" w:rsidR="00207E8A" w:rsidRPr="004A3983" w:rsidRDefault="00207E8A" w:rsidP="00062C0B">
      <w:pPr>
        <w:spacing w:after="160"/>
        <w:ind w:right="-2"/>
        <w:rPr>
          <w:rFonts w:ascii="Gotham Book" w:hAnsi="Gotham Book"/>
          <w:color w:val="000000"/>
        </w:rPr>
      </w:pPr>
      <w:r w:rsidRPr="004A3983">
        <w:rPr>
          <w:rFonts w:ascii="Gotham Book" w:hAnsi="Gotham Book"/>
          <w:color w:val="000000"/>
        </w:rPr>
        <w:t>However, in December 2018 the NSW Police Force informed us that the CPR COPS upgrade project was still in the ‘recruitment process for commencement’.</w:t>
      </w:r>
      <w:r w:rsidRPr="004A3983">
        <w:rPr>
          <w:rStyle w:val="FootnoteReference"/>
          <w:rFonts w:ascii="Gotham Book" w:hAnsi="Gotham Book"/>
          <w:color w:val="000000"/>
        </w:rPr>
        <w:footnoteReference w:id="542"/>
      </w:r>
      <w:r w:rsidRPr="004A3983">
        <w:rPr>
          <w:rFonts w:ascii="Gotham Book" w:hAnsi="Gotham Book"/>
          <w:color w:val="000000"/>
        </w:rPr>
        <w:t xml:space="preserve"> Therefore</w:t>
      </w:r>
      <w:r w:rsidR="00AB4E25" w:rsidRPr="004A3983">
        <w:rPr>
          <w:rFonts w:ascii="Gotham Book" w:hAnsi="Gotham Book"/>
          <w:color w:val="000000"/>
        </w:rPr>
        <w:t>,</w:t>
      </w:r>
      <w:r w:rsidRPr="004A3983">
        <w:rPr>
          <w:rFonts w:ascii="Gotham Book" w:hAnsi="Gotham Book"/>
          <w:color w:val="000000"/>
        </w:rPr>
        <w:t xml:space="preserve"> despite the project being approved in mid-2017, and the Workforce Intelligence Unit’s recommendation that it ‘be prioritised and begin as soon as</w:t>
      </w:r>
      <w:r w:rsidR="008435D6" w:rsidRPr="004A3983">
        <w:rPr>
          <w:rFonts w:ascii="Gotham Book" w:hAnsi="Gotham Book"/>
          <w:color w:val="000000"/>
        </w:rPr>
        <w:t xml:space="preserve"> possible’, 18 months later the project </w:t>
      </w:r>
      <w:r w:rsidRPr="004A3983">
        <w:rPr>
          <w:rFonts w:ascii="Gotham Book" w:hAnsi="Gotham Book"/>
          <w:color w:val="000000"/>
        </w:rPr>
        <w:t>had not started.</w:t>
      </w:r>
      <w:r w:rsidR="00CE67BB" w:rsidRPr="004A3983">
        <w:rPr>
          <w:rFonts w:ascii="Gotham Book" w:hAnsi="Gotham Book"/>
          <w:color w:val="000000"/>
        </w:rPr>
        <w:t xml:space="preserve"> In September 2019 the NSW Police Force advised the Commission that the project was underway.</w:t>
      </w:r>
      <w:r w:rsidR="002845A1" w:rsidRPr="004A3983">
        <w:rPr>
          <w:rStyle w:val="FootnoteReference"/>
          <w:rFonts w:ascii="Gotham Book" w:hAnsi="Gotham Book"/>
          <w:color w:val="000000"/>
        </w:rPr>
        <w:footnoteReference w:id="543"/>
      </w:r>
    </w:p>
    <w:p w14:paraId="284FDD0B" w14:textId="4CFF4ADB" w:rsidR="00207E8A" w:rsidRPr="004A3983" w:rsidRDefault="00207E8A" w:rsidP="00062C0B">
      <w:pPr>
        <w:pStyle w:val="Heading2"/>
        <w:spacing w:after="160"/>
        <w:ind w:right="-2"/>
      </w:pPr>
      <w:bookmarkStart w:id="492" w:name="_Toc22627832"/>
      <w:r w:rsidRPr="004A3983">
        <w:t>Delays in the CPR COPS upgrade project has on</w:t>
      </w:r>
      <w:r w:rsidR="004C33DC" w:rsidRPr="004A3983">
        <w:t xml:space="preserve">going impact on accuracy of </w:t>
      </w:r>
      <w:r w:rsidRPr="004A3983">
        <w:t>the Register</w:t>
      </w:r>
      <w:bookmarkEnd w:id="492"/>
      <w:r w:rsidRPr="004A3983">
        <w:t xml:space="preserve"> </w:t>
      </w:r>
    </w:p>
    <w:p w14:paraId="69291974" w14:textId="4EC07979" w:rsidR="0094006E" w:rsidRPr="004A3983" w:rsidRDefault="0094006E" w:rsidP="00062C0B">
      <w:pPr>
        <w:spacing w:after="160"/>
        <w:ind w:right="-2"/>
        <w:rPr>
          <w:rFonts w:ascii="Gotham Book" w:hAnsi="Gotham Book"/>
        </w:rPr>
      </w:pPr>
      <w:r w:rsidRPr="004A3983">
        <w:rPr>
          <w:rFonts w:ascii="Gotham Book" w:hAnsi="Gotham Book"/>
        </w:rPr>
        <w:t xml:space="preserve">The delays in the implementation of the CPR COPS upgrade project, and the fact that Registry staff need to manually update Register cases for every period of incarceration until it is finished, will continue to have an impact on the workload of the Registry and the accuracy of </w:t>
      </w:r>
      <w:r w:rsidR="0061139C" w:rsidRPr="004A3983">
        <w:rPr>
          <w:rFonts w:ascii="Gotham Book" w:hAnsi="Gotham Book"/>
        </w:rPr>
        <w:t>information i</w:t>
      </w:r>
      <w:r w:rsidRPr="004A3983">
        <w:rPr>
          <w:rFonts w:ascii="Gotham Book" w:hAnsi="Gotham Book"/>
        </w:rPr>
        <w:t xml:space="preserve">n the Register. </w:t>
      </w:r>
    </w:p>
    <w:p w14:paraId="05AE9090" w14:textId="74EA58E8" w:rsidR="0094006E" w:rsidRPr="004A3983" w:rsidRDefault="0094006E" w:rsidP="00062C0B">
      <w:pPr>
        <w:spacing w:after="160"/>
        <w:ind w:right="-2"/>
        <w:rPr>
          <w:rFonts w:ascii="Gotham Book" w:hAnsi="Gotham Book"/>
        </w:rPr>
      </w:pPr>
      <w:r w:rsidRPr="004A3983">
        <w:rPr>
          <w:rFonts w:ascii="Gotham Book" w:hAnsi="Gotham Book"/>
        </w:rPr>
        <w:t>When the NSW Police Force completed its review of 5,749 Register fi</w:t>
      </w:r>
      <w:r w:rsidR="0061139C" w:rsidRPr="004A3983">
        <w:rPr>
          <w:rFonts w:ascii="Gotham Book" w:hAnsi="Gotham Book"/>
        </w:rPr>
        <w:t>les in September 2018 (the CPR case r</w:t>
      </w:r>
      <w:r w:rsidRPr="004A3983">
        <w:rPr>
          <w:rFonts w:ascii="Gotham Book" w:hAnsi="Gotham Book"/>
        </w:rPr>
        <w:t>eview), it found 906 (15.7 per cent) of those files contained errors due to the person’s time in custody not having been recorded correctly.</w:t>
      </w:r>
      <w:r w:rsidRPr="004A3983">
        <w:rPr>
          <w:rStyle w:val="FootnoteReference"/>
          <w:rFonts w:ascii="Gotham Book" w:hAnsi="Gotham Book"/>
        </w:rPr>
        <w:footnoteReference w:id="544"/>
      </w:r>
      <w:r w:rsidRPr="004A3983">
        <w:rPr>
          <w:rFonts w:ascii="Gotham Book" w:hAnsi="Gotham Book"/>
        </w:rPr>
        <w:t xml:space="preserve"> This was the most common type of error detected by the CPR case review team, comprising 35 per cent of all cases found to contain inaccuracies.</w:t>
      </w:r>
      <w:r w:rsidRPr="004A3983">
        <w:rPr>
          <w:rStyle w:val="FootnoteReference"/>
          <w:rFonts w:ascii="Gotham Book" w:hAnsi="Gotham Book"/>
        </w:rPr>
        <w:footnoteReference w:id="545"/>
      </w:r>
    </w:p>
    <w:p w14:paraId="50D61118" w14:textId="14C5D3BB" w:rsidR="0094006E" w:rsidRPr="004A3983" w:rsidRDefault="0094006E" w:rsidP="00062C0B">
      <w:pPr>
        <w:spacing w:after="160"/>
        <w:ind w:right="-2"/>
        <w:rPr>
          <w:rFonts w:ascii="Gotham Book" w:hAnsi="Gotham Book"/>
          <w:color w:val="000000"/>
        </w:rPr>
      </w:pPr>
      <w:r w:rsidRPr="004A3983">
        <w:rPr>
          <w:rFonts w:ascii="Gotham Book" w:hAnsi="Gotham Book"/>
          <w:color w:val="000000"/>
        </w:rPr>
        <w:lastRenderedPageBreak/>
        <w:t xml:space="preserve">As illustrated by the case studies in this chapter, the consequences of these type of errors are significant. If Register cases are not </w:t>
      </w:r>
      <w:r w:rsidR="00A83C62" w:rsidRPr="004A3983">
        <w:rPr>
          <w:rFonts w:ascii="Gotham Book" w:hAnsi="Gotham Book"/>
          <w:color w:val="000000"/>
        </w:rPr>
        <w:t>re</w:t>
      </w:r>
      <w:r w:rsidRPr="004A3983">
        <w:rPr>
          <w:rFonts w:ascii="Gotham Book" w:hAnsi="Gotham Book"/>
          <w:color w:val="000000"/>
        </w:rPr>
        <w:t xml:space="preserve">opened when registrable persons exit prison, those offenders may end up living in the community without being monitored under the CPOR Act. </w:t>
      </w:r>
    </w:p>
    <w:p w14:paraId="7D959E5D" w14:textId="4B88A959" w:rsidR="00DC0AE7" w:rsidRPr="004A3983" w:rsidRDefault="0094006E" w:rsidP="00062C0B">
      <w:pPr>
        <w:spacing w:after="160"/>
        <w:ind w:right="-2"/>
        <w:rPr>
          <w:rFonts w:ascii="Gotham Book" w:hAnsi="Gotham Book"/>
          <w:color w:val="000000"/>
        </w:rPr>
      </w:pPr>
      <w:r w:rsidRPr="004A3983">
        <w:rPr>
          <w:rFonts w:ascii="Gotham Book" w:hAnsi="Gotham Book"/>
          <w:color w:val="000000"/>
        </w:rPr>
        <w:t xml:space="preserve">Some persons on the Register frequently go in and out of prison. If the Registry officers are not aware of these periods of incarceration, they will not know to extend these offenders’ reporting obligations, as required by the CPOR Act. </w:t>
      </w:r>
      <w:r w:rsidR="007F27C6" w:rsidRPr="004A3983">
        <w:rPr>
          <w:rFonts w:ascii="Gotham Book" w:hAnsi="Gotham Book"/>
          <w:color w:val="000000"/>
        </w:rPr>
        <w:t>Case Study</w:t>
      </w:r>
      <w:r w:rsidR="00CF01D6" w:rsidRPr="004A3983">
        <w:rPr>
          <w:rFonts w:ascii="Gotham Book" w:hAnsi="Gotham Book"/>
          <w:color w:val="000000"/>
        </w:rPr>
        <w:t xml:space="preserve"> 12</w:t>
      </w:r>
      <w:r w:rsidR="008422B0" w:rsidRPr="004A3983">
        <w:rPr>
          <w:rFonts w:ascii="Gotham Book" w:hAnsi="Gotham Book"/>
          <w:color w:val="000000"/>
        </w:rPr>
        <w:t>, concerning Mr LL,</w:t>
      </w:r>
      <w:r w:rsidRPr="004A3983">
        <w:rPr>
          <w:rFonts w:ascii="Gotham Book" w:hAnsi="Gotham Book"/>
          <w:color w:val="000000"/>
        </w:rPr>
        <w:t xml:space="preserve"> demonstrates the extent to which certain offenders</w:t>
      </w:r>
      <w:r w:rsidR="00C22FF4" w:rsidRPr="004A3983">
        <w:rPr>
          <w:rFonts w:ascii="Gotham Book" w:hAnsi="Gotham Book"/>
          <w:color w:val="000000"/>
        </w:rPr>
        <w:t>’</w:t>
      </w:r>
      <w:r w:rsidRPr="004A3983">
        <w:rPr>
          <w:rFonts w:ascii="Gotham Book" w:hAnsi="Gotham Book"/>
          <w:color w:val="000000"/>
        </w:rPr>
        <w:t xml:space="preserve"> reporting period</w:t>
      </w:r>
      <w:r w:rsidR="008422B0" w:rsidRPr="004A3983">
        <w:rPr>
          <w:rFonts w:ascii="Gotham Book" w:hAnsi="Gotham Book"/>
          <w:color w:val="000000"/>
        </w:rPr>
        <w:t xml:space="preserve"> end dates can become inaccurate</w:t>
      </w:r>
      <w:r w:rsidRPr="004A3983">
        <w:rPr>
          <w:rFonts w:ascii="Gotham Book" w:hAnsi="Gotham Book"/>
          <w:color w:val="000000"/>
        </w:rPr>
        <w:t xml:space="preserve"> if they are not extended for periods in custody. The NSW Police Force needed to add 900 days onto </w:t>
      </w:r>
      <w:r w:rsidR="008422B0" w:rsidRPr="004A3983">
        <w:rPr>
          <w:rFonts w:ascii="Gotham Book" w:hAnsi="Gotham Book"/>
          <w:color w:val="000000"/>
        </w:rPr>
        <w:t>Mr LL’s</w:t>
      </w:r>
      <w:r w:rsidRPr="004A3983">
        <w:rPr>
          <w:rFonts w:ascii="Gotham Book" w:hAnsi="Gotham Book"/>
          <w:color w:val="000000"/>
        </w:rPr>
        <w:t xml:space="preserve"> reporting period end date, due to </w:t>
      </w:r>
      <w:r w:rsidR="00951F06" w:rsidRPr="004A3983">
        <w:rPr>
          <w:rFonts w:ascii="Gotham Book" w:hAnsi="Gotham Book"/>
          <w:color w:val="000000"/>
        </w:rPr>
        <w:t>time he had spent in prison</w:t>
      </w:r>
      <w:r w:rsidRPr="004A3983">
        <w:rPr>
          <w:rFonts w:ascii="Gotham Book" w:hAnsi="Gotham Book"/>
          <w:color w:val="000000"/>
        </w:rPr>
        <w:t xml:space="preserve"> after he had been put on the Register.</w:t>
      </w:r>
    </w:p>
    <w:p w14:paraId="1154D1E2" w14:textId="0ED286C4" w:rsidR="0094006E" w:rsidRPr="004A3983" w:rsidRDefault="0094006E" w:rsidP="00062C0B">
      <w:pPr>
        <w:pStyle w:val="CaseStudyHeading"/>
        <w:spacing w:after="160" w:line="259" w:lineRule="auto"/>
        <w:ind w:right="-2"/>
        <w:rPr>
          <w:b w:val="0"/>
        </w:rPr>
      </w:pPr>
      <w:r w:rsidRPr="004A3983">
        <w:t xml:space="preserve"> </w:t>
      </w:r>
      <w:bookmarkStart w:id="493" w:name="_Toc22280910"/>
      <w:r w:rsidRPr="004A3983">
        <w:t>Person’s reporting period extended by 900 days for time in</w:t>
      </w:r>
      <w:r w:rsidR="009644F5">
        <w:t> </w:t>
      </w:r>
      <w:r w:rsidRPr="004A3983">
        <w:t>custody</w:t>
      </w:r>
      <w:bookmarkEnd w:id="493"/>
    </w:p>
    <w:p w14:paraId="77980EC3" w14:textId="3613C6BC" w:rsidR="0094006E" w:rsidRPr="004A3983" w:rsidRDefault="0094006E" w:rsidP="00062C0B">
      <w:pPr>
        <w:pStyle w:val="CaseStudyText"/>
        <w:spacing w:after="160"/>
        <w:ind w:right="-2"/>
      </w:pPr>
      <w:r w:rsidRPr="004A3983">
        <w:t>In September 2003 Mr LL</w:t>
      </w:r>
      <w:r w:rsidRPr="004A3983">
        <w:rPr>
          <w:rStyle w:val="FootnoteReference"/>
          <w:rFonts w:ascii="Gotham Book" w:hAnsi="Gotham Book"/>
          <w:color w:val="000000"/>
          <w:sz w:val="20"/>
          <w:szCs w:val="20"/>
        </w:rPr>
        <w:footnoteReference w:id="546"/>
      </w:r>
      <w:r w:rsidRPr="004A3983">
        <w:t xml:space="preserve"> was convicted of two counts of sexual intercourse again</w:t>
      </w:r>
      <w:r w:rsidR="007B7374" w:rsidRPr="004A3983">
        <w:t>st a victim under 18 years’ old</w:t>
      </w:r>
      <w:r w:rsidRPr="004A3983">
        <w:t xml:space="preserve"> and was sentenced to five years’ imprisonment. He was placed on the Register. He was released in February 2008, at which point his reporting obligations under the CPOR Act started.</w:t>
      </w:r>
      <w:r w:rsidR="00F040D1" w:rsidRPr="004A3983">
        <w:t xml:space="preserve"> </w:t>
      </w:r>
    </w:p>
    <w:p w14:paraId="58D367E6" w14:textId="462DD657" w:rsidR="0094006E" w:rsidRPr="004A3983" w:rsidRDefault="0094006E" w:rsidP="00062C0B">
      <w:pPr>
        <w:pStyle w:val="CaseStudyText"/>
        <w:spacing w:after="160"/>
        <w:ind w:right="-2"/>
        <w:rPr>
          <w:rFonts w:cs="Arial"/>
        </w:rPr>
      </w:pPr>
      <w:r w:rsidRPr="004A3983">
        <w:rPr>
          <w:rFonts w:cs="Arial"/>
        </w:rPr>
        <w:t>After 2008 Mr LL committed and was convicted of mult</w:t>
      </w:r>
      <w:r w:rsidR="005611B9" w:rsidRPr="004A3983">
        <w:rPr>
          <w:rFonts w:cs="Arial"/>
        </w:rPr>
        <w:t>iple offences, including failing</w:t>
      </w:r>
      <w:r w:rsidRPr="004A3983">
        <w:rPr>
          <w:rFonts w:cs="Arial"/>
        </w:rPr>
        <w:t xml:space="preserve"> to report under the CPOR Act, resulting in several different periods of incarceration. In total he spent almost 900 days in custody between May 2009 and December 2012. </w:t>
      </w:r>
    </w:p>
    <w:p w14:paraId="2A3CAD2B" w14:textId="58C69EA7" w:rsidR="0094006E" w:rsidRPr="004A3983" w:rsidRDefault="0094006E" w:rsidP="00062C0B">
      <w:pPr>
        <w:pStyle w:val="CaseStudyText"/>
        <w:spacing w:after="160"/>
        <w:ind w:right="-2"/>
      </w:pPr>
      <w:r w:rsidRPr="004A3983">
        <w:t xml:space="preserve">In 2016 the CPR case review team reviewed Mr LL’s case and realised that his </w:t>
      </w:r>
      <w:r w:rsidRPr="004A3983">
        <w:rPr>
          <w:rFonts w:cs="Arial"/>
        </w:rPr>
        <w:t xml:space="preserve">reporting obligations had not been suspended and extended for his periods in custody, as required by s 15(1) and (3) the CPOR Act. </w:t>
      </w:r>
    </w:p>
    <w:p w14:paraId="268A0777" w14:textId="2AD24D11" w:rsidR="00667685" w:rsidRPr="004A3983" w:rsidRDefault="0094006E" w:rsidP="00062C0B">
      <w:pPr>
        <w:pStyle w:val="CaseStudyText"/>
        <w:spacing w:after="360"/>
        <w:ind w:right="-2"/>
      </w:pPr>
      <w:r w:rsidRPr="004A3983">
        <w:t>The NSW Po</w:t>
      </w:r>
      <w:r w:rsidR="0004756A" w:rsidRPr="004A3983">
        <w:t>lice Force updated the Register</w:t>
      </w:r>
      <w:r w:rsidRPr="004A3983">
        <w:t xml:space="preserve"> and informed Mr LL that his reporting obligations would continue until 2025. </w:t>
      </w:r>
    </w:p>
    <w:p w14:paraId="33628AA5" w14:textId="76A786E7" w:rsidR="0094006E" w:rsidRPr="004A3983" w:rsidRDefault="005E4E46" w:rsidP="00062C0B">
      <w:pPr>
        <w:spacing w:after="160"/>
        <w:ind w:right="-2"/>
        <w:rPr>
          <w:rFonts w:ascii="Gotham Book" w:hAnsi="Gotham Book" w:cs="Arial"/>
        </w:rPr>
      </w:pPr>
      <w:r w:rsidRPr="004A3983">
        <w:rPr>
          <w:rFonts w:ascii="Gotham Book" w:hAnsi="Gotham Book" w:cs="Arial"/>
        </w:rPr>
        <w:t>On 31 August 2019 t</w:t>
      </w:r>
      <w:r w:rsidR="0094006E" w:rsidRPr="004A3983">
        <w:rPr>
          <w:rFonts w:ascii="Gotham Book" w:hAnsi="Gotham Book" w:cs="Arial"/>
        </w:rPr>
        <w:t xml:space="preserve">here were </w:t>
      </w:r>
      <w:r w:rsidR="00227D72" w:rsidRPr="004A3983">
        <w:rPr>
          <w:rFonts w:ascii="Gotham Book" w:hAnsi="Gotham Book" w:cs="Arial"/>
        </w:rPr>
        <w:t>1,585</w:t>
      </w:r>
      <w:r w:rsidR="0094006E" w:rsidRPr="004A3983">
        <w:rPr>
          <w:rFonts w:ascii="Gotham Book" w:hAnsi="Gotham Book" w:cs="Arial"/>
        </w:rPr>
        <w:t xml:space="preserve"> re</w:t>
      </w:r>
      <w:r w:rsidR="00227D72" w:rsidRPr="004A3983">
        <w:rPr>
          <w:rFonts w:ascii="Gotham Book" w:hAnsi="Gotham Book" w:cs="Arial"/>
        </w:rPr>
        <w:t xml:space="preserve">gistrable persons </w:t>
      </w:r>
      <w:r w:rsidR="0094006E" w:rsidRPr="004A3983">
        <w:rPr>
          <w:rFonts w:ascii="Gotham Book" w:hAnsi="Gotham Book" w:cs="Arial"/>
        </w:rPr>
        <w:t>whose reporting ob</w:t>
      </w:r>
      <w:r w:rsidR="00CD6EC8" w:rsidRPr="004A3983">
        <w:rPr>
          <w:rFonts w:ascii="Gotham Book" w:hAnsi="Gotham Book" w:cs="Arial"/>
        </w:rPr>
        <w:t xml:space="preserve">ligations were suspended as </w:t>
      </w:r>
      <w:r w:rsidRPr="004A3983">
        <w:rPr>
          <w:rFonts w:ascii="Gotham Book" w:hAnsi="Gotham Book" w:cs="Arial"/>
        </w:rPr>
        <w:t>they</w:t>
      </w:r>
      <w:r w:rsidR="0094006E" w:rsidRPr="004A3983">
        <w:rPr>
          <w:rFonts w:ascii="Gotham Book" w:hAnsi="Gotham Book" w:cs="Arial"/>
        </w:rPr>
        <w:t xml:space="preserve"> were in custody at that time.</w:t>
      </w:r>
      <w:r w:rsidR="0094006E" w:rsidRPr="004A3983">
        <w:rPr>
          <w:rStyle w:val="FootnoteReference"/>
          <w:rFonts w:ascii="Gotham Book" w:hAnsi="Gotham Book" w:cs="Arial"/>
        </w:rPr>
        <w:footnoteReference w:id="547"/>
      </w:r>
      <w:r w:rsidR="0094006E" w:rsidRPr="004A3983">
        <w:rPr>
          <w:rFonts w:ascii="Gotham Book" w:hAnsi="Gotham Book" w:cs="Arial"/>
        </w:rPr>
        <w:t xml:space="preserve"> This group represents a future workload for the Registry, </w:t>
      </w:r>
      <w:r w:rsidR="00002F0C" w:rsidRPr="004A3983">
        <w:rPr>
          <w:rFonts w:ascii="Gotham Book" w:hAnsi="Gotham Book" w:cs="Arial"/>
        </w:rPr>
        <w:t xml:space="preserve">because </w:t>
      </w:r>
      <w:r w:rsidR="0094006E" w:rsidRPr="004A3983">
        <w:rPr>
          <w:rFonts w:ascii="Gotham Book" w:hAnsi="Gotham Book" w:cs="Arial"/>
        </w:rPr>
        <w:t xml:space="preserve">as </w:t>
      </w:r>
      <w:r w:rsidR="00002F0C" w:rsidRPr="004A3983">
        <w:rPr>
          <w:rFonts w:ascii="Gotham Book" w:hAnsi="Gotham Book" w:cs="Arial"/>
        </w:rPr>
        <w:t>soon as each person is released the Registry</w:t>
      </w:r>
      <w:r w:rsidR="0094006E" w:rsidRPr="004A3983">
        <w:rPr>
          <w:rFonts w:ascii="Gotham Book" w:hAnsi="Gotham Book" w:cs="Arial"/>
        </w:rPr>
        <w:t xml:space="preserve"> will need to </w:t>
      </w:r>
      <w:r w:rsidR="008F19B8" w:rsidRPr="004A3983">
        <w:rPr>
          <w:rFonts w:ascii="Gotham Book" w:hAnsi="Gotham Book" w:cs="Arial"/>
        </w:rPr>
        <w:t xml:space="preserve">manually </w:t>
      </w:r>
      <w:r w:rsidR="00A83C62" w:rsidRPr="004A3983">
        <w:rPr>
          <w:rFonts w:ascii="Gotham Book" w:hAnsi="Gotham Book" w:cs="Arial"/>
        </w:rPr>
        <w:t>re</w:t>
      </w:r>
      <w:r w:rsidR="0094006E" w:rsidRPr="004A3983">
        <w:rPr>
          <w:rFonts w:ascii="Gotham Book" w:hAnsi="Gotham Book" w:cs="Arial"/>
        </w:rPr>
        <w:t xml:space="preserve">open </w:t>
      </w:r>
      <w:r w:rsidR="00002F0C" w:rsidRPr="004A3983">
        <w:rPr>
          <w:rFonts w:ascii="Gotham Book" w:hAnsi="Gotham Book" w:cs="Arial"/>
        </w:rPr>
        <w:t>their case</w:t>
      </w:r>
      <w:r w:rsidR="0094006E" w:rsidRPr="004A3983">
        <w:rPr>
          <w:rFonts w:ascii="Gotham Book" w:hAnsi="Gotham Book" w:cs="Arial"/>
        </w:rPr>
        <w:t xml:space="preserve"> and update </w:t>
      </w:r>
      <w:r w:rsidR="00002F0C" w:rsidRPr="004A3983">
        <w:rPr>
          <w:rFonts w:ascii="Gotham Book" w:hAnsi="Gotham Book" w:cs="Arial"/>
        </w:rPr>
        <w:t>the end date of their</w:t>
      </w:r>
      <w:r w:rsidR="0094006E" w:rsidRPr="004A3983">
        <w:rPr>
          <w:rFonts w:ascii="Gotham Book" w:hAnsi="Gotham Book" w:cs="Arial"/>
        </w:rPr>
        <w:t xml:space="preserve"> reporting period.</w:t>
      </w:r>
    </w:p>
    <w:p w14:paraId="666D98B5" w14:textId="1728E3B3" w:rsidR="0094006E" w:rsidRPr="004A3983" w:rsidRDefault="0094006E" w:rsidP="00233D69">
      <w:pPr>
        <w:pStyle w:val="ListNumber"/>
        <w:numPr>
          <w:ilvl w:val="0"/>
          <w:numId w:val="0"/>
        </w:numPr>
      </w:pPr>
      <w:r w:rsidRPr="004A3983">
        <w:t xml:space="preserve">As discussed </w:t>
      </w:r>
      <w:r w:rsidR="00C177FE" w:rsidRPr="004A3983">
        <w:t>in</w:t>
      </w:r>
      <w:r w:rsidR="001E5B37" w:rsidRPr="004A3983">
        <w:t xml:space="preserve"> Chapter 7</w:t>
      </w:r>
      <w:r w:rsidRPr="004A3983">
        <w:t>,</w:t>
      </w:r>
      <w:r w:rsidR="00775A66" w:rsidRPr="004A3983">
        <w:rPr>
          <w:rStyle w:val="FootnoteReference"/>
        </w:rPr>
        <w:footnoteReference w:id="548"/>
      </w:r>
      <w:r w:rsidRPr="004A3983">
        <w:t xml:space="preserve"> in 2018 the Commission facilitated a meeting between Corrective Services NSW and the Child Abuse and Sex Crimes Squad, which ultimately resulted in the Regist</w:t>
      </w:r>
      <w:r w:rsidR="00DD530B" w:rsidRPr="004A3983">
        <w:t>ry officers being granted</w:t>
      </w:r>
      <w:r w:rsidRPr="004A3983">
        <w:t xml:space="preserve"> read-only access to OIMS. As an interim measure, this will save the Registry time in being able to access </w:t>
      </w:r>
      <w:r w:rsidR="00784A1D" w:rsidRPr="004A3983">
        <w:t xml:space="preserve">a </w:t>
      </w:r>
      <w:r w:rsidRPr="004A3983">
        <w:lastRenderedPageBreak/>
        <w:t>registrable person</w:t>
      </w:r>
      <w:r w:rsidR="00784A1D" w:rsidRPr="004A3983">
        <w:t>’s</w:t>
      </w:r>
      <w:r w:rsidRPr="004A3983">
        <w:t xml:space="preserve"> custodial </w:t>
      </w:r>
      <w:r w:rsidR="00DD530B" w:rsidRPr="004A3983">
        <w:t xml:space="preserve">status and </w:t>
      </w:r>
      <w:r w:rsidR="00784A1D" w:rsidRPr="004A3983">
        <w:t>history</w:t>
      </w:r>
      <w:r w:rsidRPr="004A3983">
        <w:t xml:space="preserve"> without needing to request it </w:t>
      </w:r>
      <w:r w:rsidR="00021A37" w:rsidRPr="004A3983">
        <w:t>from</w:t>
      </w:r>
      <w:r w:rsidRPr="004A3983">
        <w:t xml:space="preserve"> Corrective Services NSW. </w:t>
      </w:r>
    </w:p>
    <w:p w14:paraId="26AC7154" w14:textId="50A5544E" w:rsidR="0094006E" w:rsidRPr="004A3983" w:rsidRDefault="0094006E" w:rsidP="00233D69">
      <w:pPr>
        <w:pStyle w:val="ListNumber"/>
        <w:numPr>
          <w:ilvl w:val="0"/>
          <w:numId w:val="0"/>
        </w:numPr>
      </w:pPr>
      <w:r w:rsidRPr="004A3983">
        <w:t xml:space="preserve">However, CPR COPS does not notify the Registry when a registrable person enters or leaves custody, so there is no prompt in the system for the Registry to check OIMS for a particular offender. The Registry relies on manual notification from Corrective Services. The NSW Police Force advised us </w:t>
      </w:r>
      <w:r w:rsidR="00170AF7" w:rsidRPr="004A3983">
        <w:t xml:space="preserve">this </w:t>
      </w:r>
      <w:r w:rsidRPr="004A3983">
        <w:t>does not always occur.</w:t>
      </w:r>
      <w:r w:rsidRPr="004A3983">
        <w:rPr>
          <w:rStyle w:val="FootnoteReference"/>
        </w:rPr>
        <w:footnoteReference w:id="549"/>
      </w:r>
      <w:r w:rsidRPr="004A3983">
        <w:t xml:space="preserve"> </w:t>
      </w:r>
    </w:p>
    <w:p w14:paraId="5D5EB776" w14:textId="7F2B5B73" w:rsidR="0094006E" w:rsidRPr="004A3983" w:rsidRDefault="0094006E" w:rsidP="00233D69">
      <w:pPr>
        <w:pStyle w:val="ListNumber"/>
        <w:numPr>
          <w:ilvl w:val="0"/>
          <w:numId w:val="0"/>
        </w:numPr>
      </w:pPr>
      <w:r w:rsidRPr="004A3983">
        <w:t xml:space="preserve">Until the CPR COPS upgrade project is completed </w:t>
      </w:r>
      <w:r w:rsidR="005B3DDC" w:rsidRPr="004A3983">
        <w:t>and these auto-suspend and auto-</w:t>
      </w:r>
      <w:r w:rsidRPr="004A3983">
        <w:t>reopen functions are turned back on, there is an ongoing risk that the Registry will not know w</w:t>
      </w:r>
      <w:r w:rsidR="00A83C62" w:rsidRPr="004A3983">
        <w:t>hen it needs to manually re</w:t>
      </w:r>
      <w:r w:rsidRPr="004A3983">
        <w:t>open a registrable person’s CPR case on COPS. This may lead to more registrable persons being unmonitored in the community</w:t>
      </w:r>
      <w:r w:rsidR="002F5A93" w:rsidRPr="004A3983">
        <w:t xml:space="preserve"> or their reporting period</w:t>
      </w:r>
      <w:r w:rsidR="003A77DA" w:rsidRPr="004A3983">
        <w:t xml:space="preserve"> </w:t>
      </w:r>
      <w:r w:rsidRPr="004A3983">
        <w:t>end dates becoming incorrect. To address this risk, Registry staff must continue to ‘perpetually review’ Register cases, as noted by the Workforce Intelligence Unit, which impacts on the workload of those staff.</w:t>
      </w:r>
    </w:p>
    <w:p w14:paraId="2DE6C7CC" w14:textId="1E452A01" w:rsidR="00D564ED" w:rsidRPr="004A3983" w:rsidRDefault="00D564ED" w:rsidP="00233D69">
      <w:pPr>
        <w:pStyle w:val="ListNumber"/>
        <w:numPr>
          <w:ilvl w:val="0"/>
          <w:numId w:val="0"/>
        </w:numPr>
      </w:pPr>
      <w:r w:rsidRPr="004A3983">
        <w:t>The Commission recommends that the NSW Police Force ensure the CPR COPS upgrade project is completed as soon as possible so that</w:t>
      </w:r>
      <w:r w:rsidR="006732AB" w:rsidRPr="004A3983">
        <w:t xml:space="preserve"> the automatic functions can </w:t>
      </w:r>
      <w:r w:rsidRPr="004A3983">
        <w:t>again be utilised.</w:t>
      </w:r>
    </w:p>
    <w:p w14:paraId="68268DA5" w14:textId="16DD870A" w:rsidR="0094006E" w:rsidRPr="004A3983" w:rsidRDefault="007B4B7E" w:rsidP="009E7AA3">
      <w:pPr>
        <w:pStyle w:val="RecommendationHeadings"/>
        <w:spacing w:after="160"/>
      </w:pPr>
      <w:bookmarkStart w:id="494" w:name="_Toc22277344"/>
      <w:r w:rsidRPr="004A3983">
        <w:rPr>
          <w:b/>
        </w:rPr>
        <w:t>Prioritise the</w:t>
      </w:r>
      <w:r w:rsidR="0094006E" w:rsidRPr="004A3983">
        <w:rPr>
          <w:b/>
        </w:rPr>
        <w:t xml:space="preserve"> </w:t>
      </w:r>
      <w:r w:rsidR="00F95BFB" w:rsidRPr="004A3983">
        <w:rPr>
          <w:b/>
        </w:rPr>
        <w:t>‘</w:t>
      </w:r>
      <w:r w:rsidR="0094006E" w:rsidRPr="004A3983">
        <w:rPr>
          <w:b/>
        </w:rPr>
        <w:t>CPR COPS</w:t>
      </w:r>
      <w:r w:rsidR="00F95BFB" w:rsidRPr="004A3983">
        <w:rPr>
          <w:b/>
        </w:rPr>
        <w:t>’</w:t>
      </w:r>
      <w:r w:rsidR="0094006E" w:rsidRPr="004A3983">
        <w:rPr>
          <w:b/>
        </w:rPr>
        <w:t xml:space="preserve"> upgrade project</w:t>
      </w:r>
      <w:r w:rsidR="00EA16AD" w:rsidRPr="004A3983">
        <w:t xml:space="preserve">. </w:t>
      </w:r>
      <w:r w:rsidR="00C3248D" w:rsidRPr="004A3983">
        <w:t>The</w:t>
      </w:r>
      <w:r w:rsidR="0094006E" w:rsidRPr="004A3983">
        <w:t xml:space="preserve"> NSW Police Force prioritise the recruitment for the CPR COPS upgrade project to ensure that the project is completed as soon as possible.</w:t>
      </w:r>
      <w:bookmarkEnd w:id="494"/>
    </w:p>
    <w:p w14:paraId="3705F8FF" w14:textId="59A7BCCA" w:rsidR="00E02E71" w:rsidRPr="004A3983" w:rsidRDefault="00E02E71" w:rsidP="00847837">
      <w:r w:rsidRPr="004A3983">
        <w:rPr>
          <w:b/>
        </w:rPr>
        <w:t>NSW Police Force response to Recommendation 7</w:t>
      </w:r>
      <w:r w:rsidRPr="004A3983">
        <w:t>: The NSW</w:t>
      </w:r>
      <w:r w:rsidR="00781095" w:rsidRPr="004A3983">
        <w:t xml:space="preserve"> Police Force stated that it</w:t>
      </w:r>
      <w:r w:rsidR="00302324" w:rsidRPr="004A3983">
        <w:t xml:space="preserve"> supports</w:t>
      </w:r>
      <w:r w:rsidRPr="004A3983">
        <w:t xml:space="preserve"> this recommendation. It advised (in September 2019) that the CPR COPS upgrade project was ‘underway’ and that it was anticipated that the interface between CPR COPS and OIMS would be completed in October 2019, and the remainder of the project </w:t>
      </w:r>
      <w:r w:rsidR="00D611D4" w:rsidRPr="004A3983">
        <w:t xml:space="preserve">would be completed </w:t>
      </w:r>
      <w:r w:rsidRPr="004A3983">
        <w:t>by March 2020.</w:t>
      </w:r>
      <w:r w:rsidRPr="004A3983">
        <w:rPr>
          <w:rStyle w:val="FootnoteReference"/>
          <w:rFonts w:ascii="Gotham Book" w:hAnsi="Gotham Book"/>
          <w:color w:val="000000"/>
        </w:rPr>
        <w:footnoteReference w:id="550"/>
      </w:r>
    </w:p>
    <w:p w14:paraId="632826A6" w14:textId="28A654AA" w:rsidR="00667685" w:rsidRPr="004A3983" w:rsidRDefault="007E5AEF" w:rsidP="00062C0B">
      <w:pPr>
        <w:pStyle w:val="Heading2"/>
        <w:spacing w:after="160"/>
        <w:ind w:right="-2"/>
      </w:pPr>
      <w:bookmarkStart w:id="495" w:name="_Toc22627833"/>
      <w:r w:rsidRPr="004A3983">
        <w:t>CPR COPS does not notify</w:t>
      </w:r>
      <w:r w:rsidR="00667685" w:rsidRPr="004A3983">
        <w:t xml:space="preserve"> Registry when a registrable person has been sentenced</w:t>
      </w:r>
      <w:bookmarkEnd w:id="495"/>
      <w:r w:rsidR="00667685" w:rsidRPr="004A3983">
        <w:t xml:space="preserve"> </w:t>
      </w:r>
    </w:p>
    <w:p w14:paraId="52B40FB8" w14:textId="12A69600" w:rsidR="00667685" w:rsidRPr="004A3983" w:rsidRDefault="00667685" w:rsidP="00062C0B">
      <w:pPr>
        <w:spacing w:after="160"/>
        <w:ind w:right="-2"/>
        <w:rPr>
          <w:rFonts w:ascii="Gotham Book" w:hAnsi="Gotham Book"/>
          <w:color w:val="000000"/>
        </w:rPr>
      </w:pPr>
      <w:r w:rsidRPr="004A3983">
        <w:rPr>
          <w:rFonts w:ascii="Gotham Book" w:hAnsi="Gotham Book"/>
          <w:color w:val="000000"/>
        </w:rPr>
        <w:t>The Registry relies on the information in COPS to identify when a person has been cha</w:t>
      </w:r>
      <w:r w:rsidR="008841C8" w:rsidRPr="004A3983">
        <w:rPr>
          <w:rFonts w:ascii="Gotham Book" w:hAnsi="Gotham Book"/>
          <w:color w:val="000000"/>
        </w:rPr>
        <w:t>rged with a registrable offence</w:t>
      </w:r>
      <w:r w:rsidRPr="004A3983">
        <w:rPr>
          <w:rFonts w:ascii="Gotham Book" w:hAnsi="Gotham Book"/>
          <w:color w:val="000000"/>
        </w:rPr>
        <w:t xml:space="preserve"> and when a person may have been sentenced for a registrable offence. </w:t>
      </w:r>
    </w:p>
    <w:p w14:paraId="0AD4F148" w14:textId="01B8D3A6" w:rsidR="00667685" w:rsidRPr="004A3983" w:rsidRDefault="00667685" w:rsidP="00062C0B">
      <w:pPr>
        <w:spacing w:after="160"/>
        <w:ind w:right="-2"/>
        <w:rPr>
          <w:rFonts w:ascii="Gotham Book" w:hAnsi="Gotham Book"/>
        </w:rPr>
      </w:pPr>
      <w:r w:rsidRPr="004A3983">
        <w:rPr>
          <w:rFonts w:ascii="Gotham Book" w:hAnsi="Gotham Book"/>
        </w:rPr>
        <w:t xml:space="preserve">As discussed in </w:t>
      </w:r>
      <w:r w:rsidR="0092755D" w:rsidRPr="004A3983">
        <w:rPr>
          <w:rFonts w:ascii="Gotham Book" w:hAnsi="Gotham Book"/>
        </w:rPr>
        <w:t xml:space="preserve">Chapter </w:t>
      </w:r>
      <w:r w:rsidR="0092755D" w:rsidRPr="004A3983">
        <w:rPr>
          <w:rFonts w:ascii="Gotham Book" w:hAnsi="Gotham Book"/>
        </w:rPr>
        <w:fldChar w:fldCharType="begin"/>
      </w:r>
      <w:r w:rsidR="0092755D" w:rsidRPr="004A3983">
        <w:rPr>
          <w:rFonts w:ascii="Gotham Book" w:hAnsi="Gotham Book"/>
        </w:rPr>
        <w:instrText xml:space="preserve"> REF _Ref10460472 \r \h </w:instrText>
      </w:r>
      <w:r w:rsidR="007E5AEF" w:rsidRPr="004A3983">
        <w:rPr>
          <w:rFonts w:ascii="Gotham Book" w:hAnsi="Gotham Book"/>
        </w:rPr>
        <w:instrText xml:space="preserve"> \* MERGEFORMAT </w:instrText>
      </w:r>
      <w:r w:rsidR="0092755D" w:rsidRPr="004A3983">
        <w:rPr>
          <w:rFonts w:ascii="Gotham Book" w:hAnsi="Gotham Book"/>
        </w:rPr>
      </w:r>
      <w:r w:rsidR="0092755D" w:rsidRPr="004A3983">
        <w:rPr>
          <w:rFonts w:ascii="Gotham Book" w:hAnsi="Gotham Book"/>
        </w:rPr>
        <w:fldChar w:fldCharType="separate"/>
      </w:r>
      <w:r w:rsidR="00022664">
        <w:rPr>
          <w:rFonts w:ascii="Gotham Book" w:hAnsi="Gotham Book" w:hint="cs"/>
          <w:cs/>
        </w:rPr>
        <w:t>‎</w:t>
      </w:r>
      <w:r w:rsidR="00022664">
        <w:rPr>
          <w:rFonts w:ascii="Gotham Book" w:hAnsi="Gotham Book"/>
        </w:rPr>
        <w:t>2</w:t>
      </w:r>
      <w:r w:rsidR="0092755D" w:rsidRPr="004A3983">
        <w:rPr>
          <w:rFonts w:ascii="Gotham Book" w:hAnsi="Gotham Book"/>
        </w:rPr>
        <w:fldChar w:fldCharType="end"/>
      </w:r>
      <w:r w:rsidRPr="004A3983">
        <w:rPr>
          <w:rFonts w:ascii="Gotham Book" w:hAnsi="Gotham Book"/>
        </w:rPr>
        <w:t xml:space="preserve">, persons who are charged with potentially registrable offences are automatically flagged in CPR COPS. </w:t>
      </w:r>
    </w:p>
    <w:p w14:paraId="74EC7F6F" w14:textId="19DDE7B7" w:rsidR="00667685" w:rsidRPr="004A3983" w:rsidRDefault="00667685" w:rsidP="00062C0B">
      <w:pPr>
        <w:spacing w:after="160"/>
        <w:ind w:right="-2"/>
        <w:rPr>
          <w:rFonts w:ascii="Gotham Book" w:hAnsi="Gotham Book"/>
        </w:rPr>
      </w:pPr>
      <w:r w:rsidRPr="004A3983">
        <w:rPr>
          <w:rFonts w:ascii="Gotham Book" w:hAnsi="Gotham Book"/>
        </w:rPr>
        <w:t xml:space="preserve">Registry staff cannot process the case further until the person is convicted and sentenced for the offence, at which point they must decide if the person falls within the definition of a ‘registrable person’ under the CPOR Act.  </w:t>
      </w:r>
    </w:p>
    <w:p w14:paraId="03CB1923" w14:textId="0E2CBC16" w:rsidR="00667685" w:rsidRPr="004A3983" w:rsidRDefault="00667685" w:rsidP="00062C0B">
      <w:pPr>
        <w:spacing w:after="160"/>
        <w:ind w:right="-2"/>
        <w:rPr>
          <w:rFonts w:ascii="Gotham Book" w:hAnsi="Gotham Book"/>
        </w:rPr>
      </w:pPr>
      <w:r w:rsidRPr="004A3983">
        <w:rPr>
          <w:rFonts w:ascii="Gotham Book" w:hAnsi="Gotham Book"/>
        </w:rPr>
        <w:t xml:space="preserve">Registry officers informed the Commission that CPR COPS does not notify them when there is a court outcome for a person who has been flagged as a potential </w:t>
      </w:r>
      <w:r w:rsidRPr="004A3983">
        <w:rPr>
          <w:rFonts w:ascii="Gotham Book" w:hAnsi="Gotham Book"/>
        </w:rPr>
        <w:lastRenderedPageBreak/>
        <w:t>registrable person</w:t>
      </w:r>
      <w:r w:rsidRPr="004A3983">
        <w:rPr>
          <w:rFonts w:ascii="Gotham Book" w:hAnsi="Gotham Book" w:cs="Arial"/>
        </w:rPr>
        <w:t>.</w:t>
      </w:r>
      <w:r w:rsidRPr="004A3983">
        <w:rPr>
          <w:rStyle w:val="FootnoteReference"/>
          <w:rFonts w:ascii="Gotham Book" w:hAnsi="Gotham Book" w:cs="Arial"/>
        </w:rPr>
        <w:footnoteReference w:id="551"/>
      </w:r>
      <w:r w:rsidRPr="004A3983">
        <w:rPr>
          <w:rFonts w:ascii="Gotham Book" w:hAnsi="Gotham Book" w:cs="Arial"/>
        </w:rPr>
        <w:t xml:space="preserve"> </w:t>
      </w:r>
      <w:r w:rsidRPr="004A3983">
        <w:rPr>
          <w:rFonts w:ascii="Gotham Book" w:hAnsi="Gotham Book"/>
        </w:rPr>
        <w:t>In order to identify whether any new registrable persons have been sentenced, Registry officers must open up every matter listed in a particular screen in CPR COPS</w:t>
      </w:r>
      <w:r w:rsidRPr="004A3983">
        <w:rPr>
          <w:rStyle w:val="FootnoteReference"/>
          <w:rFonts w:ascii="Gotham Book" w:hAnsi="Gotham Book"/>
        </w:rPr>
        <w:footnoteReference w:id="552"/>
      </w:r>
      <w:r w:rsidRPr="004A3983">
        <w:rPr>
          <w:rFonts w:ascii="Gotham Book" w:hAnsi="Gotham Book"/>
        </w:rPr>
        <w:t xml:space="preserve"> to check if a court outcome for any of those matters </w:t>
      </w:r>
      <w:r w:rsidR="00C14312" w:rsidRPr="004A3983">
        <w:rPr>
          <w:rFonts w:ascii="Gotham Book" w:hAnsi="Gotham Book"/>
        </w:rPr>
        <w:t>has</w:t>
      </w:r>
      <w:r w:rsidRPr="004A3983">
        <w:rPr>
          <w:rFonts w:ascii="Gotham Book" w:hAnsi="Gotham Book"/>
        </w:rPr>
        <w:t xml:space="preserve"> been recorded since the previous day. The Registry officers must check every record on the screen every day, until a court outcome appears and they can determine whether they need to create a CPR case for the person. </w:t>
      </w:r>
    </w:p>
    <w:p w14:paraId="2F2E406E" w14:textId="50040C79" w:rsidR="00667685" w:rsidRPr="004A3983" w:rsidRDefault="00667685" w:rsidP="00062C0B">
      <w:pPr>
        <w:spacing w:after="160"/>
        <w:ind w:right="-2"/>
        <w:rPr>
          <w:rFonts w:ascii="Gotham Book" w:hAnsi="Gotham Book"/>
        </w:rPr>
      </w:pPr>
      <w:r w:rsidRPr="004A3983">
        <w:rPr>
          <w:rFonts w:ascii="Gotham Book" w:hAnsi="Gotham Book"/>
        </w:rPr>
        <w:t>For example, on 7 March 2017 there were 124 records on CPR COPS which the Registry need</w:t>
      </w:r>
      <w:r w:rsidR="00B63443" w:rsidRPr="004A3983">
        <w:rPr>
          <w:rFonts w:ascii="Gotham Book" w:hAnsi="Gotham Book"/>
        </w:rPr>
        <w:t>ed</w:t>
      </w:r>
      <w:r w:rsidRPr="004A3983">
        <w:rPr>
          <w:rFonts w:ascii="Gotham Book" w:hAnsi="Gotham Book"/>
        </w:rPr>
        <w:t xml:space="preserve"> to </w:t>
      </w:r>
      <w:r w:rsidR="006D5B46" w:rsidRPr="004A3983">
        <w:rPr>
          <w:rFonts w:ascii="Gotham Book" w:hAnsi="Gotham Book"/>
        </w:rPr>
        <w:t>review that day, to determine if</w:t>
      </w:r>
      <w:r w:rsidRPr="004A3983">
        <w:rPr>
          <w:rFonts w:ascii="Gotham Book" w:hAnsi="Gotham Book"/>
        </w:rPr>
        <w:t xml:space="preserve"> any of those persons had been sentenced for a registrable offence and needed to be put on the Register. In 54 of those cases </w:t>
      </w:r>
      <w:r w:rsidR="006D5B46" w:rsidRPr="004A3983">
        <w:rPr>
          <w:rFonts w:ascii="Gotham Book" w:hAnsi="Gotham Book"/>
        </w:rPr>
        <w:t>there was</w:t>
      </w:r>
      <w:r w:rsidRPr="004A3983">
        <w:rPr>
          <w:rFonts w:ascii="Gotham Book" w:hAnsi="Gotham Book"/>
        </w:rPr>
        <w:t xml:space="preserve"> a court outcome which the Registry needed to review.</w:t>
      </w:r>
      <w:r w:rsidRPr="004A3983">
        <w:rPr>
          <w:rStyle w:val="FootnoteReference"/>
          <w:rFonts w:ascii="Gotham Book" w:hAnsi="Gotham Book"/>
        </w:rPr>
        <w:footnoteReference w:id="553"/>
      </w:r>
      <w:r w:rsidRPr="004A3983">
        <w:rPr>
          <w:rFonts w:ascii="Gotham Book" w:hAnsi="Gotham Book"/>
        </w:rPr>
        <w:t xml:space="preserve"> The only way for the Registry to identify which of the 124 records had such an </w:t>
      </w:r>
      <w:r w:rsidR="003A405B" w:rsidRPr="004A3983">
        <w:rPr>
          <w:rFonts w:ascii="Gotham Book" w:hAnsi="Gotham Book"/>
        </w:rPr>
        <w:t>outcome was to open up each one</w:t>
      </w:r>
      <w:r w:rsidR="00391320" w:rsidRPr="004A3983">
        <w:rPr>
          <w:rFonts w:ascii="Gotham Book" w:hAnsi="Gotham Book"/>
        </w:rPr>
        <w:t xml:space="preserve">. </w:t>
      </w:r>
    </w:p>
    <w:p w14:paraId="3C3336FD" w14:textId="1ED39836" w:rsidR="00667685" w:rsidRPr="004A3983" w:rsidRDefault="00667685" w:rsidP="00062C0B">
      <w:pPr>
        <w:spacing w:after="160"/>
        <w:ind w:right="-2"/>
        <w:rPr>
          <w:rFonts w:ascii="Gotham Book" w:hAnsi="Gotham Book"/>
        </w:rPr>
      </w:pPr>
      <w:r w:rsidRPr="004A3983">
        <w:rPr>
          <w:rFonts w:ascii="Gotham Book" w:hAnsi="Gotham Book"/>
        </w:rPr>
        <w:t xml:space="preserve">This inefficient system for identifying registrable persons who need to be added to the Register creates unnecessary work for Registry officers. It also creates the risk that a registrable person will be missed being put on the Register, because the Registry is not aware that they have been sentenced. While the sentencing court is required under the CPOR Act to notify the NSW Police Force any time a registrable person is sentenced, as discussed in </w:t>
      </w:r>
      <w:r w:rsidR="00A44EA2" w:rsidRPr="004A3983">
        <w:rPr>
          <w:rFonts w:ascii="Gotham Book" w:hAnsi="Gotham Book"/>
        </w:rPr>
        <w:t>Chapter 7</w:t>
      </w:r>
      <w:r w:rsidRPr="004A3983">
        <w:rPr>
          <w:rFonts w:ascii="Gotham Book" w:hAnsi="Gotham Book"/>
        </w:rPr>
        <w:t>,</w:t>
      </w:r>
      <w:r w:rsidR="00EC0939" w:rsidRPr="004A3983">
        <w:rPr>
          <w:rStyle w:val="FootnoteReference"/>
          <w:rFonts w:ascii="Gotham Book" w:hAnsi="Gotham Book"/>
        </w:rPr>
        <w:footnoteReference w:id="554"/>
      </w:r>
      <w:r w:rsidRPr="004A3983">
        <w:rPr>
          <w:rFonts w:ascii="Gotham Book" w:hAnsi="Gotham Book"/>
        </w:rPr>
        <w:t xml:space="preserve"> </w:t>
      </w:r>
      <w:r w:rsidR="000B304D" w:rsidRPr="004A3983">
        <w:rPr>
          <w:rFonts w:ascii="Gotham Book" w:hAnsi="Gotham Book"/>
        </w:rPr>
        <w:t xml:space="preserve">for a number of reasons </w:t>
      </w:r>
      <w:r w:rsidRPr="004A3983">
        <w:rPr>
          <w:rFonts w:ascii="Gotham Book" w:hAnsi="Gotham Book"/>
        </w:rPr>
        <w:t>this often does not happen in practice.</w:t>
      </w:r>
    </w:p>
    <w:p w14:paraId="13D14AE6" w14:textId="5E4D22A2" w:rsidR="00667685" w:rsidRPr="004A3983" w:rsidRDefault="00667685" w:rsidP="00062C0B">
      <w:pPr>
        <w:spacing w:after="160"/>
        <w:ind w:right="-2"/>
        <w:rPr>
          <w:rFonts w:ascii="Gotham Book" w:hAnsi="Gotham Book"/>
        </w:rPr>
      </w:pPr>
      <w:r w:rsidRPr="004A3983">
        <w:rPr>
          <w:rFonts w:ascii="Gotham Book" w:hAnsi="Gotham Book"/>
        </w:rPr>
        <w:t>The Workforce Intelligence Unit noted in the Register Staffing Review that ‘inconsistencies and errors’ in the way Registry officers had monitored these records in CPR COPS in the past had resulted in persons ‘not being registered when they should have been’.</w:t>
      </w:r>
      <w:r w:rsidRPr="004A3983">
        <w:rPr>
          <w:rStyle w:val="FootnoteReference"/>
          <w:rFonts w:ascii="Gotham Book" w:hAnsi="Gotham Book"/>
        </w:rPr>
        <w:footnoteReference w:id="555"/>
      </w:r>
      <w:r w:rsidRPr="004A3983">
        <w:rPr>
          <w:rFonts w:ascii="Gotham Book" w:hAnsi="Gotham Book"/>
        </w:rPr>
        <w:t xml:space="preserve"> The Unit clearly spelt</w:t>
      </w:r>
      <w:r w:rsidR="003821FE" w:rsidRPr="004A3983">
        <w:rPr>
          <w:rFonts w:ascii="Gotham Book" w:hAnsi="Gotham Book"/>
        </w:rPr>
        <w:t xml:space="preserve"> out </w:t>
      </w:r>
      <w:r w:rsidRPr="004A3983">
        <w:rPr>
          <w:rFonts w:ascii="Gotham Book" w:hAnsi="Gotham Book"/>
        </w:rPr>
        <w:t>the ‘inherent risk’ that if Registry staff are unable to adequately monitor records in CPR COPS to identify in a timely manner new Register cases that need to be created, local commands could have registrable persons ‘residing in their command but would be completely unaware of it.’</w:t>
      </w:r>
      <w:r w:rsidRPr="004A3983">
        <w:rPr>
          <w:rStyle w:val="FootnoteReference"/>
          <w:rFonts w:ascii="Gotham Book" w:hAnsi="Gotham Book"/>
        </w:rPr>
        <w:footnoteReference w:id="556"/>
      </w:r>
      <w:r w:rsidRPr="004A3983">
        <w:rPr>
          <w:rFonts w:ascii="Gotham Book" w:hAnsi="Gotham Book"/>
        </w:rPr>
        <w:t xml:space="preserve"> </w:t>
      </w:r>
    </w:p>
    <w:p w14:paraId="15D4AAF2" w14:textId="627B78EE" w:rsidR="009644F5" w:rsidRPr="004A3983" w:rsidRDefault="00667685" w:rsidP="009644F5">
      <w:pPr>
        <w:keepLines/>
        <w:spacing w:after="160"/>
        <w:rPr>
          <w:rFonts w:ascii="Gotham Book" w:hAnsi="Gotham Book"/>
        </w:rPr>
      </w:pPr>
      <w:r w:rsidRPr="009644F5">
        <w:lastRenderedPageBreak/>
        <w:t>This problem with CPR COPS has existed for a number of years. Registry officers discussed</w:t>
      </w:r>
      <w:r w:rsidRPr="004A3983">
        <w:rPr>
          <w:rFonts w:ascii="Gotham Book" w:hAnsi="Gotham Book"/>
        </w:rPr>
        <w:t xml:space="preserve"> this problem with BTS in November 2014, raising concerns that some records were ‘slipping through the system’.</w:t>
      </w:r>
      <w:r w:rsidRPr="004A3983">
        <w:rPr>
          <w:rStyle w:val="FootnoteReference"/>
          <w:rFonts w:ascii="Gotham Book" w:hAnsi="Gotham Book"/>
        </w:rPr>
        <w:footnoteReference w:id="557"/>
      </w:r>
      <w:r w:rsidRPr="004A3983">
        <w:rPr>
          <w:rFonts w:ascii="Gotham Book" w:hAnsi="Gotham Book"/>
        </w:rPr>
        <w:t xml:space="preserve"> In December 2014 the officers sent a formal work request to BTS to see if these issues could be addressed.</w:t>
      </w:r>
      <w:r w:rsidRPr="004A3983">
        <w:rPr>
          <w:rStyle w:val="FootnoteReference"/>
          <w:rFonts w:ascii="Gotham Book" w:hAnsi="Gotham Book"/>
        </w:rPr>
        <w:footnoteReference w:id="558"/>
      </w:r>
    </w:p>
    <w:p w14:paraId="3EF8C4E8" w14:textId="474E2AF5" w:rsidR="00667685" w:rsidRPr="004A3983" w:rsidRDefault="00667685" w:rsidP="00233D69">
      <w:pPr>
        <w:pStyle w:val="ListNumber"/>
        <w:numPr>
          <w:ilvl w:val="0"/>
          <w:numId w:val="0"/>
        </w:numPr>
      </w:pPr>
      <w:r w:rsidRPr="004A3983">
        <w:t xml:space="preserve">The Workforce Intelligence Unit recommended in its Register Staffing Review in July 2017 that the relevant screen in CPR COPS be updated ‘to only show cases that are ready for a [Child Protection Register] case to be created’ (ie those matters </w:t>
      </w:r>
      <w:r w:rsidR="00C16093" w:rsidRPr="004A3983">
        <w:t>in which</w:t>
      </w:r>
      <w:r w:rsidRPr="004A3983">
        <w:t xml:space="preserve"> a sentence or other court outcome has been recorded).</w:t>
      </w:r>
      <w:r w:rsidRPr="004A3983">
        <w:rPr>
          <w:rStyle w:val="FootnoteReference"/>
        </w:rPr>
        <w:footnoteReference w:id="559"/>
      </w:r>
    </w:p>
    <w:p w14:paraId="6F823625" w14:textId="77777777" w:rsidR="007C125F" w:rsidRDefault="00667685" w:rsidP="00062C0B">
      <w:pPr>
        <w:spacing w:after="160"/>
        <w:ind w:right="-2"/>
        <w:rPr>
          <w:rFonts w:ascii="Gotham Book" w:hAnsi="Gotham Book"/>
        </w:rPr>
      </w:pPr>
      <w:r w:rsidRPr="004A3983">
        <w:rPr>
          <w:rFonts w:ascii="Gotham Book" w:hAnsi="Gotham Book"/>
        </w:rPr>
        <w:t>In December 2018 the NSW Police Force advised us that the improvement recommended by the Workforce Intelligence Unit will be included in the CPR COPS upgrade project mentioned above.</w:t>
      </w:r>
      <w:r w:rsidRPr="004A3983">
        <w:rPr>
          <w:rStyle w:val="FootnoteReference"/>
          <w:rFonts w:ascii="Gotham Book" w:hAnsi="Gotham Book"/>
        </w:rPr>
        <w:footnoteReference w:id="560"/>
      </w:r>
      <w:r w:rsidRPr="004A3983">
        <w:rPr>
          <w:rFonts w:ascii="Gotham Book" w:hAnsi="Gotham Book"/>
        </w:rPr>
        <w:t xml:space="preserve"> The need for these improvements, so that Registry staff can clearly identify each day any offenders who may need to be put on the Register, further supports our recommendation above that the NSW Police Force prioritise the completion of the CPR COPS upgrade project.</w:t>
      </w:r>
    </w:p>
    <w:p w14:paraId="2ADACDE6" w14:textId="77777777" w:rsidR="009644F5" w:rsidRDefault="009644F5" w:rsidP="00062C0B">
      <w:pPr>
        <w:spacing w:after="160"/>
        <w:ind w:right="-2"/>
        <w:rPr>
          <w:rFonts w:ascii="Gotham Book" w:hAnsi="Gotham Book"/>
        </w:rPr>
      </w:pPr>
    </w:p>
    <w:p w14:paraId="1DFAE440" w14:textId="71642B37" w:rsidR="009644F5" w:rsidRPr="004A3983" w:rsidRDefault="009644F5" w:rsidP="00062C0B">
      <w:pPr>
        <w:spacing w:after="160"/>
        <w:ind w:right="-2"/>
        <w:rPr>
          <w:rFonts w:ascii="Gotham Book" w:hAnsi="Gotham Book"/>
        </w:rPr>
        <w:sectPr w:rsidR="009644F5" w:rsidRPr="004A3983" w:rsidSect="00C36AFD">
          <w:headerReference w:type="even" r:id="rId57"/>
          <w:headerReference w:type="default" r:id="rId58"/>
          <w:headerReference w:type="first" r:id="rId59"/>
          <w:pgSz w:w="11906" w:h="16838"/>
          <w:pgMar w:top="720" w:right="1276" w:bottom="1418" w:left="1276" w:header="709" w:footer="567" w:gutter="0"/>
          <w:cols w:space="708"/>
          <w:titlePg/>
          <w:docGrid w:linePitch="360"/>
        </w:sectPr>
      </w:pPr>
    </w:p>
    <w:p w14:paraId="68A6BD70" w14:textId="6E62D116" w:rsidR="007C125F" w:rsidRPr="004A3983" w:rsidRDefault="00EF7626" w:rsidP="001C3982">
      <w:pPr>
        <w:pStyle w:val="Heading1"/>
        <w:framePr w:wrap="around"/>
      </w:pPr>
      <w:r w:rsidRPr="004A3983">
        <w:rPr>
          <w:color w:val="auto"/>
        </w:rPr>
        <w:lastRenderedPageBreak/>
        <w:br/>
      </w:r>
      <w:bookmarkStart w:id="496" w:name="_Ref9615727"/>
      <w:bookmarkStart w:id="497" w:name="_Toc22627834"/>
      <w:r w:rsidR="007C125F" w:rsidRPr="004A3983">
        <w:t>Improving governance, quality assurance and accountability in relation to the Register</w:t>
      </w:r>
      <w:bookmarkEnd w:id="496"/>
      <w:bookmarkEnd w:id="497"/>
    </w:p>
    <w:p w14:paraId="6436204A" w14:textId="77777777" w:rsidR="007C125F" w:rsidRPr="004A3983" w:rsidRDefault="007C125F" w:rsidP="00F03C93">
      <w:pPr>
        <w:spacing w:after="160"/>
        <w:ind w:right="260"/>
        <w:rPr>
          <w:rFonts w:ascii="Gotham Book" w:hAnsi="Gotham Book"/>
        </w:rPr>
      </w:pPr>
      <w:r w:rsidRPr="004A3983">
        <w:rPr>
          <w:rFonts w:ascii="Gotham Book" w:hAnsi="Gotham Book"/>
        </w:rPr>
        <w:br w:type="page"/>
      </w:r>
    </w:p>
    <w:p w14:paraId="101C5FB6" w14:textId="44F278E3" w:rsidR="00667685" w:rsidRPr="004A3983" w:rsidRDefault="00852B65" w:rsidP="00062C0B">
      <w:pPr>
        <w:pStyle w:val="Heading2"/>
        <w:spacing w:after="160"/>
        <w:ind w:right="-2"/>
      </w:pPr>
      <w:bookmarkStart w:id="498" w:name="_Toc22627835"/>
      <w:r w:rsidRPr="004A3983">
        <w:lastRenderedPageBreak/>
        <w:t>Introduction</w:t>
      </w:r>
      <w:bookmarkEnd w:id="498"/>
    </w:p>
    <w:p w14:paraId="10CA8FB0" w14:textId="639240BB" w:rsidR="002142D3" w:rsidRPr="004A3983" w:rsidRDefault="007B532A" w:rsidP="00062C0B">
      <w:pPr>
        <w:spacing w:after="160"/>
        <w:ind w:right="-2"/>
        <w:rPr>
          <w:rFonts w:ascii="Gotham Book" w:hAnsi="Gotham Book"/>
        </w:rPr>
      </w:pPr>
      <w:r w:rsidRPr="004A3983">
        <w:rPr>
          <w:rFonts w:ascii="Gotham Book" w:hAnsi="Gotham Book"/>
        </w:rPr>
        <w:t xml:space="preserve">In </w:t>
      </w:r>
      <w:r w:rsidR="002142D3" w:rsidRPr="004A3983">
        <w:rPr>
          <w:rFonts w:ascii="Gotham Book" w:hAnsi="Gotham Book"/>
        </w:rPr>
        <w:t xml:space="preserve">2014 and </w:t>
      </w:r>
      <w:r w:rsidRPr="004A3983">
        <w:rPr>
          <w:rFonts w:ascii="Gotham Book" w:hAnsi="Gotham Book"/>
        </w:rPr>
        <w:t xml:space="preserve">2015 the NSW Police Force Child Protection Registry (the Registry) reported </w:t>
      </w:r>
      <w:r w:rsidR="00422D93" w:rsidRPr="004A3983">
        <w:rPr>
          <w:rFonts w:ascii="Gotham Book" w:hAnsi="Gotham Book"/>
        </w:rPr>
        <w:t xml:space="preserve">internally </w:t>
      </w:r>
      <w:r w:rsidRPr="004A3983">
        <w:rPr>
          <w:rFonts w:ascii="Gotham Book" w:hAnsi="Gotham Book"/>
        </w:rPr>
        <w:t xml:space="preserve">that there were a number of systemic issues which were impacting on the accuracy of the </w:t>
      </w:r>
      <w:r w:rsidR="004777A0" w:rsidRPr="004A3983">
        <w:rPr>
          <w:rFonts w:ascii="Gotham Book" w:hAnsi="Gotham Book"/>
        </w:rPr>
        <w:t xml:space="preserve">Child Protection </w:t>
      </w:r>
      <w:r w:rsidRPr="004A3983">
        <w:rPr>
          <w:rFonts w:ascii="Gotham Book" w:hAnsi="Gotham Book"/>
        </w:rPr>
        <w:t>Register</w:t>
      </w:r>
      <w:r w:rsidR="004777A0" w:rsidRPr="004A3983">
        <w:rPr>
          <w:rFonts w:ascii="Gotham Book" w:hAnsi="Gotham Book"/>
        </w:rPr>
        <w:t xml:space="preserve"> (the Register)</w:t>
      </w:r>
      <w:r w:rsidRPr="004A3983">
        <w:rPr>
          <w:rFonts w:ascii="Gotham Book" w:hAnsi="Gotham Book"/>
        </w:rPr>
        <w:t>.</w:t>
      </w:r>
      <w:r w:rsidRPr="004A3983">
        <w:rPr>
          <w:rStyle w:val="FootnoteReference"/>
          <w:rFonts w:ascii="Gotham Book" w:hAnsi="Gotham Book"/>
        </w:rPr>
        <w:footnoteReference w:id="561"/>
      </w:r>
      <w:r w:rsidRPr="004A3983">
        <w:rPr>
          <w:rFonts w:ascii="Gotham Book" w:hAnsi="Gotham Book"/>
        </w:rPr>
        <w:t xml:space="preserve"> </w:t>
      </w:r>
      <w:r w:rsidR="002142D3" w:rsidRPr="004A3983">
        <w:rPr>
          <w:rFonts w:ascii="Gotham Book" w:hAnsi="Gotham Book"/>
        </w:rPr>
        <w:t xml:space="preserve">These issues were discussed with the NSW Police Force Executive at </w:t>
      </w:r>
      <w:r w:rsidR="00906568" w:rsidRPr="004A3983">
        <w:rPr>
          <w:rFonts w:ascii="Gotham Book" w:hAnsi="Gotham Book"/>
        </w:rPr>
        <w:t>internal</w:t>
      </w:r>
      <w:r w:rsidR="002142D3" w:rsidRPr="004A3983">
        <w:rPr>
          <w:rFonts w:ascii="Gotham Book" w:hAnsi="Gotham Book"/>
        </w:rPr>
        <w:t xml:space="preserve"> forums in 2015 and in 2016.</w:t>
      </w:r>
      <w:r w:rsidR="002142D3" w:rsidRPr="004A3983">
        <w:rPr>
          <w:rStyle w:val="FootnoteReference"/>
          <w:rFonts w:ascii="Gotham Book" w:hAnsi="Gotham Book"/>
        </w:rPr>
        <w:footnoteReference w:id="562"/>
      </w:r>
    </w:p>
    <w:p w14:paraId="1D7A7A36" w14:textId="39DBAD74" w:rsidR="00A0529B" w:rsidRPr="004A3983" w:rsidRDefault="006B06A3" w:rsidP="00062C0B">
      <w:pPr>
        <w:spacing w:after="160"/>
        <w:ind w:right="-2"/>
        <w:rPr>
          <w:rFonts w:ascii="Gotham Book" w:hAnsi="Gotham Book"/>
        </w:rPr>
      </w:pPr>
      <w:r w:rsidRPr="004A3983">
        <w:rPr>
          <w:rFonts w:ascii="Gotham Book" w:hAnsi="Gotham Book"/>
        </w:rPr>
        <w:t>I</w:t>
      </w:r>
      <w:r w:rsidR="002142D3" w:rsidRPr="004A3983">
        <w:rPr>
          <w:rFonts w:ascii="Gotham Book" w:hAnsi="Gotham Book"/>
        </w:rPr>
        <w:t xml:space="preserve">n 2016 the NSW Police Force </w:t>
      </w:r>
      <w:r w:rsidR="00F12380" w:rsidRPr="004A3983">
        <w:rPr>
          <w:rFonts w:ascii="Gotham Book" w:hAnsi="Gotham Book"/>
        </w:rPr>
        <w:t xml:space="preserve">also </w:t>
      </w:r>
      <w:r w:rsidRPr="004A3983">
        <w:rPr>
          <w:rFonts w:ascii="Gotham Book" w:hAnsi="Gotham Book"/>
        </w:rPr>
        <w:t>acknowledged at a corporate level the need to evaluate the functioning and resourcing of the Register. One of the strategies contained in the 2016-2018 NSW Police Force Corporate Plan was: ‘Evaluate Child Protection Register resourcing and compliance arrangements’.</w:t>
      </w:r>
      <w:r w:rsidRPr="004A3983">
        <w:rPr>
          <w:rStyle w:val="FootnoteReference"/>
          <w:rFonts w:ascii="Gotham Book" w:hAnsi="Gotham Book"/>
        </w:rPr>
        <w:footnoteReference w:id="563"/>
      </w:r>
      <w:r w:rsidRPr="004A3983">
        <w:rPr>
          <w:rFonts w:ascii="Gotham Book" w:hAnsi="Gotham Book"/>
        </w:rPr>
        <w:t xml:space="preserve"> </w:t>
      </w:r>
    </w:p>
    <w:p w14:paraId="3827FEF2" w14:textId="2E4E2821" w:rsidR="00F12380" w:rsidRPr="004A3983" w:rsidRDefault="007E5196" w:rsidP="009E20AC">
      <w:pPr>
        <w:spacing w:after="160"/>
        <w:ind w:right="-2"/>
        <w:rPr>
          <w:rFonts w:ascii="Gotham Book" w:hAnsi="Gotham Book"/>
        </w:rPr>
      </w:pPr>
      <w:r w:rsidRPr="004A3983">
        <w:rPr>
          <w:rFonts w:ascii="Gotham Book" w:hAnsi="Gotham Book"/>
        </w:rPr>
        <w:t>T</w:t>
      </w:r>
      <w:r w:rsidR="006B06A3" w:rsidRPr="004A3983">
        <w:rPr>
          <w:rFonts w:ascii="Gotham Book" w:hAnsi="Gotham Book"/>
        </w:rPr>
        <w:t xml:space="preserve">he NSW Police Force has </w:t>
      </w:r>
      <w:r w:rsidR="00F12380" w:rsidRPr="004A3983">
        <w:rPr>
          <w:rFonts w:ascii="Gotham Book" w:hAnsi="Gotham Book"/>
        </w:rPr>
        <w:t>completed</w:t>
      </w:r>
      <w:r w:rsidR="00785594" w:rsidRPr="004A3983">
        <w:rPr>
          <w:rFonts w:ascii="Gotham Book" w:hAnsi="Gotham Book"/>
        </w:rPr>
        <w:t xml:space="preserve"> </w:t>
      </w:r>
      <w:r w:rsidR="006B06A3" w:rsidRPr="004A3983">
        <w:rPr>
          <w:rFonts w:ascii="Gotham Book" w:hAnsi="Gotham Book"/>
        </w:rPr>
        <w:t>reviews relevant to this strategy,</w:t>
      </w:r>
      <w:r w:rsidR="00F12380" w:rsidRPr="004A3983">
        <w:rPr>
          <w:rFonts w:ascii="Gotham Book" w:hAnsi="Gotham Book"/>
        </w:rPr>
        <w:t xml:space="preserve"> </w:t>
      </w:r>
      <w:r w:rsidR="00785594" w:rsidRPr="004A3983">
        <w:rPr>
          <w:rFonts w:ascii="Gotham Book" w:hAnsi="Gotham Book"/>
        </w:rPr>
        <w:t xml:space="preserve">including </w:t>
      </w:r>
      <w:r w:rsidR="00D7007B" w:rsidRPr="004A3983">
        <w:rPr>
          <w:rFonts w:ascii="Gotham Book" w:hAnsi="Gotham Book"/>
        </w:rPr>
        <w:t xml:space="preserve">a comprehensive analysis of the staffing of the Registry by the </w:t>
      </w:r>
      <w:r w:rsidR="006B06A3" w:rsidRPr="004A3983">
        <w:rPr>
          <w:rFonts w:ascii="Gotham Book" w:hAnsi="Gotham Book"/>
        </w:rPr>
        <w:t>Workforce Intelligence Unit in the NSW Police Force Human Resources Command</w:t>
      </w:r>
      <w:r w:rsidR="00785594" w:rsidRPr="004A3983">
        <w:rPr>
          <w:rFonts w:ascii="Gotham Book" w:hAnsi="Gotham Book"/>
        </w:rPr>
        <w:t xml:space="preserve"> (the Register Staffing Review). This review was completed in July 2017</w:t>
      </w:r>
      <w:r w:rsidR="00D7007B" w:rsidRPr="004A3983">
        <w:rPr>
          <w:rFonts w:ascii="Gotham Book" w:hAnsi="Gotham Book"/>
        </w:rPr>
        <w:t>,</w:t>
      </w:r>
      <w:r w:rsidR="006B06A3" w:rsidRPr="004A3983">
        <w:rPr>
          <w:rFonts w:ascii="Gotham Book" w:hAnsi="Gotham Book"/>
        </w:rPr>
        <w:t xml:space="preserve"> </w:t>
      </w:r>
      <w:r w:rsidR="00785594" w:rsidRPr="004A3983">
        <w:rPr>
          <w:rFonts w:ascii="Gotham Book" w:hAnsi="Gotham Book"/>
        </w:rPr>
        <w:t xml:space="preserve">and made </w:t>
      </w:r>
      <w:r w:rsidR="006B06A3" w:rsidRPr="004A3983">
        <w:rPr>
          <w:rFonts w:ascii="Gotham Book" w:hAnsi="Gotham Book"/>
        </w:rPr>
        <w:t>22 recommendations</w:t>
      </w:r>
      <w:r w:rsidR="00785594" w:rsidRPr="004A3983">
        <w:rPr>
          <w:rFonts w:ascii="Gotham Book" w:hAnsi="Gotham Book"/>
        </w:rPr>
        <w:t>.</w:t>
      </w:r>
      <w:r w:rsidR="006B06A3" w:rsidRPr="004A3983">
        <w:rPr>
          <w:rStyle w:val="FootnoteReference"/>
          <w:rFonts w:ascii="Gotham Book" w:hAnsi="Gotham Book"/>
        </w:rPr>
        <w:footnoteReference w:id="564"/>
      </w:r>
      <w:r w:rsidRPr="004A3983">
        <w:rPr>
          <w:rFonts w:ascii="Gotham Book" w:hAnsi="Gotham Book"/>
        </w:rPr>
        <w:t xml:space="preserve"> </w:t>
      </w:r>
      <w:r w:rsidR="009E20AC" w:rsidRPr="004A3983">
        <w:rPr>
          <w:rFonts w:ascii="Gotham Book" w:hAnsi="Gotham Book"/>
        </w:rPr>
        <w:t xml:space="preserve">Between 2016 and 2018 the NSW Police Force also completed a </w:t>
      </w:r>
      <w:r w:rsidR="00F12380" w:rsidRPr="004A3983">
        <w:rPr>
          <w:rFonts w:ascii="Gotham Book" w:hAnsi="Gotham Book"/>
        </w:rPr>
        <w:t xml:space="preserve">review of </w:t>
      </w:r>
      <w:r w:rsidR="00906568" w:rsidRPr="004A3983">
        <w:rPr>
          <w:rFonts w:ascii="Gotham Book" w:hAnsi="Gotham Book"/>
        </w:rPr>
        <w:t>5,749</w:t>
      </w:r>
      <w:r w:rsidR="00F12380" w:rsidRPr="004A3983">
        <w:rPr>
          <w:rFonts w:ascii="Gotham Book" w:hAnsi="Gotham Book"/>
        </w:rPr>
        <w:t xml:space="preserve"> Register case files </w:t>
      </w:r>
      <w:r w:rsidR="00130E8A" w:rsidRPr="004A3983">
        <w:rPr>
          <w:rFonts w:ascii="Gotham Book" w:hAnsi="Gotham Book"/>
        </w:rPr>
        <w:t xml:space="preserve">in order </w:t>
      </w:r>
      <w:r w:rsidR="009E20AC" w:rsidRPr="004A3983">
        <w:rPr>
          <w:rFonts w:ascii="Gotham Book" w:hAnsi="Gotham Book"/>
        </w:rPr>
        <w:t xml:space="preserve">to identify and correct errors </w:t>
      </w:r>
      <w:r w:rsidR="00F12380" w:rsidRPr="004A3983">
        <w:rPr>
          <w:rFonts w:ascii="Gotham Book" w:hAnsi="Gotham Book"/>
        </w:rPr>
        <w:t>(the CPR case review)</w:t>
      </w:r>
      <w:r w:rsidR="009E20AC" w:rsidRPr="004A3983">
        <w:rPr>
          <w:rFonts w:ascii="Gotham Book" w:hAnsi="Gotham Book"/>
        </w:rPr>
        <w:t>.</w:t>
      </w:r>
      <w:r w:rsidR="00F12380" w:rsidRPr="004A3983">
        <w:rPr>
          <w:rStyle w:val="FootnoteReference"/>
          <w:rFonts w:ascii="Gotham Book" w:hAnsi="Gotham Book"/>
        </w:rPr>
        <w:footnoteReference w:id="565"/>
      </w:r>
    </w:p>
    <w:p w14:paraId="0220C5AB" w14:textId="65598009" w:rsidR="00422D93" w:rsidRPr="004A3983" w:rsidRDefault="00422D93" w:rsidP="009E20AC">
      <w:pPr>
        <w:spacing w:after="160"/>
        <w:ind w:right="-2"/>
        <w:rPr>
          <w:rFonts w:ascii="Gotham Book" w:hAnsi="Gotham Book"/>
        </w:rPr>
      </w:pPr>
      <w:r w:rsidRPr="004A3983">
        <w:rPr>
          <w:rFonts w:ascii="Gotham Book" w:hAnsi="Gotham Book"/>
        </w:rPr>
        <w:t>During Operation Tusket</w:t>
      </w:r>
      <w:r w:rsidRPr="004A3983" w:rsidDel="001F173B">
        <w:rPr>
          <w:rFonts w:ascii="Gotham Book" w:hAnsi="Gotham Book"/>
        </w:rPr>
        <w:t xml:space="preserve"> </w:t>
      </w:r>
      <w:r w:rsidRPr="004A3983">
        <w:rPr>
          <w:rFonts w:ascii="Gotham Book" w:hAnsi="Gotham Book"/>
        </w:rPr>
        <w:t>the NSW Police Force acknowledged the need to improve governance, quality assurance and accountability in relation to the Register.</w:t>
      </w:r>
    </w:p>
    <w:p w14:paraId="303953D1" w14:textId="0766437F" w:rsidR="00852B65" w:rsidRPr="004A3983" w:rsidRDefault="00852B65" w:rsidP="00062C0B">
      <w:pPr>
        <w:spacing w:after="160"/>
        <w:ind w:right="-2"/>
        <w:rPr>
          <w:rFonts w:ascii="Gotham Book" w:hAnsi="Gotham Book" w:cs="Arial"/>
        </w:rPr>
      </w:pPr>
      <w:r w:rsidRPr="004A3983">
        <w:rPr>
          <w:rFonts w:ascii="Gotham Book" w:hAnsi="Gotham Book" w:cs="Arial"/>
        </w:rPr>
        <w:t xml:space="preserve">In this chapter we discuss the gaps in governance and accountability arrangements between the NSW Police Force and other authorities with responsibilities under the </w:t>
      </w:r>
      <w:r w:rsidRPr="004A3983">
        <w:rPr>
          <w:rFonts w:ascii="Gotham Book" w:hAnsi="Gotham Book" w:cs="Arial"/>
          <w:i/>
        </w:rPr>
        <w:t>Child Protection (Offenders Registration) Act 2000</w:t>
      </w:r>
      <w:r w:rsidRPr="004A3983">
        <w:rPr>
          <w:rFonts w:ascii="Gotham Book" w:hAnsi="Gotham Book" w:cs="Arial"/>
        </w:rPr>
        <w:t xml:space="preserve"> (NSW) (CPOR Act). We </w:t>
      </w:r>
      <w:r w:rsidR="00E50A46" w:rsidRPr="004A3983">
        <w:rPr>
          <w:rFonts w:ascii="Gotham Book" w:hAnsi="Gotham Book" w:cs="Arial"/>
        </w:rPr>
        <w:t>support</w:t>
      </w:r>
      <w:r w:rsidRPr="004A3983">
        <w:rPr>
          <w:rFonts w:ascii="Gotham Book" w:hAnsi="Gotham Book" w:cs="Arial"/>
        </w:rPr>
        <w:t xml:space="preserve"> the </w:t>
      </w:r>
      <w:r w:rsidR="0044611D" w:rsidRPr="004A3983">
        <w:rPr>
          <w:rFonts w:ascii="Gotham Book" w:hAnsi="Gotham Book" w:cs="Arial"/>
        </w:rPr>
        <w:t xml:space="preserve">suggestion from the </w:t>
      </w:r>
      <w:r w:rsidRPr="004A3983">
        <w:rPr>
          <w:rFonts w:ascii="Gotham Book" w:hAnsi="Gotham Book" w:cs="Arial"/>
        </w:rPr>
        <w:t>NSW Police Force</w:t>
      </w:r>
      <w:r w:rsidR="0044611D" w:rsidRPr="004A3983">
        <w:rPr>
          <w:rFonts w:ascii="Gotham Book" w:hAnsi="Gotham Book" w:cs="Arial"/>
        </w:rPr>
        <w:t xml:space="preserve"> </w:t>
      </w:r>
      <w:r w:rsidRPr="004A3983">
        <w:rPr>
          <w:rFonts w:ascii="Gotham Book" w:hAnsi="Gotham Book" w:cs="Arial"/>
        </w:rPr>
        <w:t>that an interagency committee be established to determine the obligations and governance arrangements for the NSW Police Force and partner agencies with respect to the Register.</w:t>
      </w:r>
    </w:p>
    <w:p w14:paraId="6E6DA762" w14:textId="18F2EEC3" w:rsidR="009A7135" w:rsidRPr="004A3983" w:rsidRDefault="00852B65" w:rsidP="00062C0B">
      <w:pPr>
        <w:spacing w:after="160"/>
        <w:ind w:right="-2"/>
        <w:rPr>
          <w:rFonts w:ascii="Gotham Book" w:hAnsi="Gotham Book" w:cs="Arial"/>
        </w:rPr>
      </w:pPr>
      <w:r w:rsidRPr="004A3983">
        <w:rPr>
          <w:rFonts w:ascii="Gotham Book" w:hAnsi="Gotham Book" w:cs="Arial"/>
        </w:rPr>
        <w:t xml:space="preserve">In addition we discuss the need to improve internal NSW Police Force governance and accountability measures between different parts of the NSW Police Force with </w:t>
      </w:r>
      <w:r w:rsidR="009A7135" w:rsidRPr="004A3983">
        <w:rPr>
          <w:rFonts w:ascii="Gotham Book" w:hAnsi="Gotham Book" w:cs="Arial"/>
        </w:rPr>
        <w:t>responsibility</w:t>
      </w:r>
      <w:r w:rsidRPr="004A3983">
        <w:rPr>
          <w:rFonts w:ascii="Gotham Book" w:hAnsi="Gotham Book" w:cs="Arial"/>
        </w:rPr>
        <w:t xml:space="preserve"> for Register activities. Finally, w</w:t>
      </w:r>
      <w:r w:rsidR="009A7135" w:rsidRPr="004A3983">
        <w:rPr>
          <w:rFonts w:ascii="Gotham Book" w:hAnsi="Gotham Book" w:cs="Arial"/>
        </w:rPr>
        <w:t xml:space="preserve">e outline the need for </w:t>
      </w:r>
      <w:r w:rsidRPr="004A3983">
        <w:rPr>
          <w:rFonts w:ascii="Gotham Book" w:hAnsi="Gotham Book" w:cs="Arial"/>
        </w:rPr>
        <w:t>independent auditing of the Register</w:t>
      </w:r>
      <w:r w:rsidR="009A7135" w:rsidRPr="004A3983">
        <w:rPr>
          <w:rFonts w:ascii="Gotham Book" w:hAnsi="Gotham Book" w:cs="Arial"/>
        </w:rPr>
        <w:t>,</w:t>
      </w:r>
      <w:r w:rsidRPr="004A3983">
        <w:rPr>
          <w:rFonts w:ascii="Gotham Book" w:hAnsi="Gotham Book" w:cs="Arial"/>
        </w:rPr>
        <w:t xml:space="preserve"> designed to ensure the accuracy of the information on the Register and </w:t>
      </w:r>
      <w:r w:rsidR="009A7135" w:rsidRPr="004A3983">
        <w:rPr>
          <w:rFonts w:ascii="Gotham Book" w:hAnsi="Gotham Book" w:cs="Arial"/>
        </w:rPr>
        <w:t>compliance by</w:t>
      </w:r>
      <w:r w:rsidRPr="004A3983">
        <w:rPr>
          <w:rFonts w:ascii="Gotham Book" w:hAnsi="Gotham Book" w:cs="Arial"/>
        </w:rPr>
        <w:t xml:space="preserve"> the NSW Police Force with </w:t>
      </w:r>
      <w:r w:rsidR="009A7135" w:rsidRPr="004A3983">
        <w:rPr>
          <w:rFonts w:ascii="Gotham Book" w:hAnsi="Gotham Book" w:cs="Arial"/>
        </w:rPr>
        <w:t>the statutory framework for the Register</w:t>
      </w:r>
      <w:r w:rsidRPr="004A3983">
        <w:rPr>
          <w:rFonts w:ascii="Gotham Book" w:hAnsi="Gotham Book" w:cs="Arial"/>
        </w:rPr>
        <w:t xml:space="preserve">. </w:t>
      </w:r>
    </w:p>
    <w:p w14:paraId="2251492D" w14:textId="7FBB4D50" w:rsidR="00852B65" w:rsidRPr="004A3983" w:rsidRDefault="00852B65" w:rsidP="00062C0B">
      <w:pPr>
        <w:spacing w:after="160"/>
        <w:ind w:right="-2"/>
        <w:rPr>
          <w:rFonts w:ascii="Gotham Book" w:hAnsi="Gotham Book" w:cs="Arial"/>
        </w:rPr>
      </w:pPr>
      <w:r w:rsidRPr="004A3983">
        <w:rPr>
          <w:rFonts w:ascii="Gotham Book" w:hAnsi="Gotham Book" w:cs="Arial"/>
        </w:rPr>
        <w:t xml:space="preserve">The recommendations in this chapter are intended to improve governance and accountability, improve compliance with the CPOR Act and </w:t>
      </w:r>
      <w:r w:rsidRPr="004A3983">
        <w:rPr>
          <w:rFonts w:ascii="Gotham Book" w:hAnsi="Gotham Book" w:cs="Arial"/>
          <w:i/>
        </w:rPr>
        <w:t xml:space="preserve">Child Protection (Offenders Registration) </w:t>
      </w:r>
      <w:r w:rsidR="006002C7" w:rsidRPr="004A3983">
        <w:rPr>
          <w:rFonts w:ascii="Gotham Book" w:hAnsi="Gotham Book" w:cs="Arial"/>
          <w:i/>
        </w:rPr>
        <w:t xml:space="preserve">Regulation </w:t>
      </w:r>
      <w:r w:rsidRPr="004A3983">
        <w:rPr>
          <w:rFonts w:ascii="Gotham Book" w:hAnsi="Gotham Book" w:cs="Arial"/>
          <w:i/>
        </w:rPr>
        <w:t>2015</w:t>
      </w:r>
      <w:r w:rsidRPr="004A3983">
        <w:rPr>
          <w:rFonts w:ascii="Gotham Book" w:hAnsi="Gotham Book" w:cs="Arial"/>
        </w:rPr>
        <w:t xml:space="preserve"> (NSW) (the CPOR Regulation), and increase public confidence in the administration of the Register by the NSW Police </w:t>
      </w:r>
      <w:r w:rsidRPr="004A3983">
        <w:rPr>
          <w:rFonts w:ascii="Gotham Book" w:hAnsi="Gotham Book" w:cs="Arial"/>
        </w:rPr>
        <w:lastRenderedPageBreak/>
        <w:t>Force in the future. However, without legislative reform, the risk of error in the Register cannot be entirely mitigated.</w:t>
      </w:r>
      <w:r w:rsidRPr="004A3983" w:rsidDel="00AA1FD8">
        <w:rPr>
          <w:rStyle w:val="FootnoteReference"/>
          <w:rFonts w:ascii="Gotham Book" w:hAnsi="Gotham Book"/>
        </w:rPr>
        <w:t xml:space="preserve"> </w:t>
      </w:r>
    </w:p>
    <w:p w14:paraId="4705CF67" w14:textId="667E99B2" w:rsidR="00852B65" w:rsidRPr="004A3983" w:rsidRDefault="00022C62" w:rsidP="00062C0B">
      <w:pPr>
        <w:pStyle w:val="Heading2"/>
        <w:spacing w:after="160"/>
        <w:ind w:right="-2"/>
      </w:pPr>
      <w:bookmarkStart w:id="499" w:name="_Toc22627836"/>
      <w:r w:rsidRPr="004A3983">
        <w:t>Interagency governance framework to ensure compliance with the statutory framework</w:t>
      </w:r>
      <w:bookmarkEnd w:id="499"/>
    </w:p>
    <w:p w14:paraId="22DDE426" w14:textId="5343BFB1" w:rsidR="00022C62" w:rsidRPr="004A3983" w:rsidRDefault="00022C62" w:rsidP="00062C0B">
      <w:pPr>
        <w:spacing w:after="160"/>
        <w:ind w:right="-2"/>
        <w:rPr>
          <w:rFonts w:ascii="Gotham Book" w:hAnsi="Gotham Book" w:cs="Arial"/>
        </w:rPr>
      </w:pPr>
      <w:r w:rsidRPr="004A3983">
        <w:rPr>
          <w:rFonts w:ascii="Gotham Book" w:hAnsi="Gotham Book" w:cs="Arial"/>
        </w:rPr>
        <w:t xml:space="preserve">In </w:t>
      </w:r>
      <w:r w:rsidR="00D840C0" w:rsidRPr="004A3983">
        <w:rPr>
          <w:rFonts w:ascii="Gotham Book" w:hAnsi="Gotham Book" w:cs="Arial"/>
        </w:rPr>
        <w:t xml:space="preserve">Chapter </w:t>
      </w:r>
      <w:r w:rsidR="00D840C0" w:rsidRPr="004A3983">
        <w:rPr>
          <w:rFonts w:ascii="Gotham Book" w:hAnsi="Gotham Book" w:cs="Arial"/>
        </w:rPr>
        <w:fldChar w:fldCharType="begin"/>
      </w:r>
      <w:r w:rsidR="00D840C0" w:rsidRPr="004A3983">
        <w:rPr>
          <w:rFonts w:ascii="Gotham Book" w:hAnsi="Gotham Book" w:cs="Arial"/>
        </w:rPr>
        <w:instrText xml:space="preserve"> REF _Ref9350160 \r \h </w:instrText>
      </w:r>
      <w:r w:rsidR="00DC36BC" w:rsidRPr="004A3983">
        <w:rPr>
          <w:rFonts w:ascii="Gotham Book" w:hAnsi="Gotham Book" w:cs="Arial"/>
        </w:rPr>
        <w:instrText xml:space="preserve"> \* MERGEFORMAT </w:instrText>
      </w:r>
      <w:r w:rsidR="00D840C0" w:rsidRPr="004A3983">
        <w:rPr>
          <w:rFonts w:ascii="Gotham Book" w:hAnsi="Gotham Book" w:cs="Arial"/>
        </w:rPr>
      </w:r>
      <w:r w:rsidR="00D840C0" w:rsidRPr="004A3983">
        <w:rPr>
          <w:rFonts w:ascii="Gotham Book" w:hAnsi="Gotham Book" w:cs="Arial"/>
        </w:rPr>
        <w:fldChar w:fldCharType="separate"/>
      </w:r>
      <w:r w:rsidR="00022664">
        <w:rPr>
          <w:rFonts w:ascii="Gotham Book" w:hAnsi="Gotham Book" w:cs="Arial" w:hint="cs"/>
          <w:cs/>
        </w:rPr>
        <w:t>‎</w:t>
      </w:r>
      <w:r w:rsidR="00022664">
        <w:rPr>
          <w:rFonts w:ascii="Gotham Book" w:hAnsi="Gotham Book" w:cs="Arial"/>
        </w:rPr>
        <w:t>7</w:t>
      </w:r>
      <w:r w:rsidR="00D840C0" w:rsidRPr="004A3983">
        <w:rPr>
          <w:rFonts w:ascii="Gotham Book" w:hAnsi="Gotham Book" w:cs="Arial"/>
        </w:rPr>
        <w:fldChar w:fldCharType="end"/>
      </w:r>
      <w:r w:rsidRPr="004A3983">
        <w:rPr>
          <w:rFonts w:ascii="Gotham Book" w:hAnsi="Gotham Book" w:cs="Arial"/>
        </w:rPr>
        <w:t xml:space="preserve"> we discussed the issues with compliance by courts and other authorities with their responsibilities unde</w:t>
      </w:r>
      <w:r w:rsidR="00B21F00" w:rsidRPr="004A3983">
        <w:rPr>
          <w:rFonts w:ascii="Gotham Book" w:hAnsi="Gotham Book" w:cs="Arial"/>
        </w:rPr>
        <w:t>r the legislative</w:t>
      </w:r>
      <w:r w:rsidRPr="004A3983">
        <w:rPr>
          <w:rFonts w:ascii="Gotham Book" w:hAnsi="Gotham Book" w:cs="Arial"/>
        </w:rPr>
        <w:t xml:space="preserve"> framework created by </w:t>
      </w:r>
      <w:r w:rsidR="00A12456" w:rsidRPr="004A3983">
        <w:rPr>
          <w:rFonts w:ascii="Gotham Book" w:hAnsi="Gotham Book" w:cs="Arial"/>
        </w:rPr>
        <w:t xml:space="preserve">the </w:t>
      </w:r>
      <w:r w:rsidRPr="004A3983">
        <w:rPr>
          <w:rFonts w:ascii="Gotham Book" w:hAnsi="Gotham Book" w:cs="Arial"/>
        </w:rPr>
        <w:t xml:space="preserve">CPOR Act and </w:t>
      </w:r>
      <w:r w:rsidR="00A12456" w:rsidRPr="004A3983">
        <w:rPr>
          <w:rFonts w:ascii="Gotham Book" w:hAnsi="Gotham Book" w:cs="Arial"/>
        </w:rPr>
        <w:t xml:space="preserve">the </w:t>
      </w:r>
      <w:r w:rsidRPr="004A3983">
        <w:rPr>
          <w:rFonts w:ascii="Gotham Book" w:hAnsi="Gotham Book" w:cs="Arial"/>
        </w:rPr>
        <w:t>CPOR Regulation. There are many factors contributing to the inconsistent performance by the courts and other authorities</w:t>
      </w:r>
      <w:r w:rsidR="000F2469" w:rsidRPr="004A3983">
        <w:rPr>
          <w:rFonts w:ascii="Gotham Book" w:hAnsi="Gotham Book" w:cs="Arial"/>
        </w:rPr>
        <w:t>,</w:t>
      </w:r>
      <w:r w:rsidRPr="004A3983">
        <w:rPr>
          <w:rFonts w:ascii="Gotham Book" w:hAnsi="Gotham Book" w:cs="Arial"/>
        </w:rPr>
        <w:t xml:space="preserve"> including the complexity and ambiguity in the CPOR Act. However, these factors are exacerbated by the absence of an appropriate interagency governance framework that defines the roles, responsibilities and practices required of each authority. </w:t>
      </w:r>
    </w:p>
    <w:p w14:paraId="79C34BA7" w14:textId="0A8D84BE" w:rsidR="00022C62" w:rsidRPr="004A3983" w:rsidRDefault="00A12456" w:rsidP="00062C0B">
      <w:pPr>
        <w:spacing w:after="160"/>
        <w:ind w:right="-2"/>
        <w:rPr>
          <w:rFonts w:ascii="Gotham Book" w:hAnsi="Gotham Book" w:cs="Arial"/>
        </w:rPr>
      </w:pPr>
      <w:r w:rsidRPr="004A3983">
        <w:rPr>
          <w:rFonts w:ascii="Gotham Book" w:hAnsi="Gotham Book" w:cs="Arial"/>
        </w:rPr>
        <w:t>In 2017</w:t>
      </w:r>
      <w:r w:rsidR="00022C62" w:rsidRPr="004A3983">
        <w:rPr>
          <w:rFonts w:ascii="Gotham Book" w:hAnsi="Gotham Book" w:cs="Arial"/>
        </w:rPr>
        <w:t xml:space="preserve"> th</w:t>
      </w:r>
      <w:r w:rsidRPr="004A3983">
        <w:rPr>
          <w:rFonts w:ascii="Gotham Book" w:hAnsi="Gotham Book" w:cs="Arial"/>
        </w:rPr>
        <w:t>e Workforce Intelligence Unit in</w:t>
      </w:r>
      <w:r w:rsidR="00022C62" w:rsidRPr="004A3983">
        <w:rPr>
          <w:rFonts w:ascii="Gotham Book" w:hAnsi="Gotham Book" w:cs="Arial"/>
        </w:rPr>
        <w:t xml:space="preserve"> th</w:t>
      </w:r>
      <w:r w:rsidRPr="004A3983">
        <w:rPr>
          <w:rFonts w:ascii="Gotham Book" w:hAnsi="Gotham Book" w:cs="Arial"/>
        </w:rPr>
        <w:t xml:space="preserve">e NSW Police Force </w:t>
      </w:r>
      <w:r w:rsidR="00022C62" w:rsidRPr="004A3983">
        <w:rPr>
          <w:rFonts w:ascii="Gotham Book" w:hAnsi="Gotham Book" w:cs="Arial"/>
        </w:rPr>
        <w:t xml:space="preserve">Human Resources Command recommended the creation of memorandums of understanding between the NSW Police Force and external agencies to outline agreed responsibilities and practices under the CPOR Act and </w:t>
      </w:r>
      <w:r w:rsidRPr="004A3983">
        <w:rPr>
          <w:rFonts w:ascii="Gotham Book" w:hAnsi="Gotham Book" w:cs="Arial"/>
        </w:rPr>
        <w:t xml:space="preserve">the CPOR </w:t>
      </w:r>
      <w:r w:rsidR="00022C62" w:rsidRPr="004A3983">
        <w:rPr>
          <w:rFonts w:ascii="Gotham Book" w:hAnsi="Gotham Book" w:cs="Arial"/>
        </w:rPr>
        <w:t>Regulation.</w:t>
      </w:r>
      <w:r w:rsidR="00022C62" w:rsidRPr="004A3983">
        <w:rPr>
          <w:rStyle w:val="FootnoteReference"/>
          <w:rFonts w:ascii="Gotham Book" w:hAnsi="Gotham Book" w:cs="Arial"/>
        </w:rPr>
        <w:footnoteReference w:id="566"/>
      </w:r>
      <w:r w:rsidR="007064A5" w:rsidRPr="004A3983">
        <w:rPr>
          <w:rFonts w:ascii="Gotham Book" w:hAnsi="Gotham Book" w:cs="Arial"/>
        </w:rPr>
        <w:t xml:space="preserve"> I</w:t>
      </w:r>
      <w:r w:rsidR="00022C62" w:rsidRPr="004A3983">
        <w:rPr>
          <w:rFonts w:ascii="Gotham Book" w:hAnsi="Gotham Book" w:cs="Arial"/>
        </w:rPr>
        <w:t>n</w:t>
      </w:r>
      <w:r w:rsidR="007064A5" w:rsidRPr="004A3983">
        <w:rPr>
          <w:rFonts w:ascii="Gotham Book" w:hAnsi="Gotham Book" w:cs="Arial"/>
        </w:rPr>
        <w:t xml:space="preserve"> December 2018</w:t>
      </w:r>
      <w:r w:rsidR="00022C62" w:rsidRPr="004A3983">
        <w:rPr>
          <w:rFonts w:ascii="Gotham Book" w:hAnsi="Gotham Book" w:cs="Arial"/>
        </w:rPr>
        <w:t xml:space="preserve"> the NSW Police Force advised us that no new memoranda have been created.</w:t>
      </w:r>
      <w:r w:rsidR="00022C62" w:rsidRPr="004A3983">
        <w:rPr>
          <w:rStyle w:val="FootnoteReference"/>
          <w:rFonts w:ascii="Gotham Book" w:hAnsi="Gotham Book" w:cs="Arial"/>
        </w:rPr>
        <w:footnoteReference w:id="567"/>
      </w:r>
      <w:r w:rsidR="00022C62" w:rsidRPr="004A3983">
        <w:rPr>
          <w:rFonts w:ascii="Gotham Book" w:hAnsi="Gotham Book" w:cs="Arial"/>
        </w:rPr>
        <w:t xml:space="preserve"> The Commission is concerned that despite the recognition of the need for an interagency governance framework in 2017, none</w:t>
      </w:r>
      <w:r w:rsidR="006A4452" w:rsidRPr="004A3983">
        <w:rPr>
          <w:rFonts w:ascii="Gotham Book" w:hAnsi="Gotham Book" w:cs="Arial"/>
        </w:rPr>
        <w:t xml:space="preserve"> exists at the time of writing.</w:t>
      </w:r>
    </w:p>
    <w:p w14:paraId="58D12231" w14:textId="527BEF4D" w:rsidR="00022C62" w:rsidRPr="004A3983" w:rsidRDefault="00932D11" w:rsidP="00062C0B">
      <w:pPr>
        <w:spacing w:after="160"/>
        <w:ind w:right="-2"/>
        <w:rPr>
          <w:rFonts w:ascii="Gotham Book" w:hAnsi="Gotham Book" w:cs="Arial"/>
        </w:rPr>
      </w:pPr>
      <w:r w:rsidRPr="004A3983">
        <w:rPr>
          <w:rFonts w:ascii="Gotham Book" w:hAnsi="Gotham Book" w:cs="Arial"/>
        </w:rPr>
        <w:t xml:space="preserve">In </w:t>
      </w:r>
      <w:r w:rsidR="00D274E3" w:rsidRPr="004A3983">
        <w:rPr>
          <w:rFonts w:ascii="Gotham Book" w:hAnsi="Gotham Book" w:cs="Arial"/>
        </w:rPr>
        <w:t>his</w:t>
      </w:r>
      <w:r w:rsidR="00022C62" w:rsidRPr="004A3983">
        <w:rPr>
          <w:rFonts w:ascii="Gotham Book" w:hAnsi="Gotham Book" w:cs="Arial"/>
        </w:rPr>
        <w:t xml:space="preserve"> response to </w:t>
      </w:r>
      <w:r w:rsidR="00A12456" w:rsidRPr="004A3983">
        <w:rPr>
          <w:rFonts w:ascii="Gotham Book" w:hAnsi="Gotham Book" w:cs="Arial"/>
        </w:rPr>
        <w:t>the Commission</w:t>
      </w:r>
      <w:r w:rsidR="00F3218D" w:rsidRPr="004A3983">
        <w:rPr>
          <w:rFonts w:ascii="Gotham Book" w:hAnsi="Gotham Book" w:cs="Arial"/>
        </w:rPr>
        <w:t>’s</w:t>
      </w:r>
      <w:r w:rsidR="00A12456" w:rsidRPr="004A3983">
        <w:rPr>
          <w:rFonts w:ascii="Gotham Book" w:hAnsi="Gotham Book" w:cs="Arial"/>
        </w:rPr>
        <w:t xml:space="preserve"> interim report on Operation Tusket</w:t>
      </w:r>
      <w:r w:rsidR="00022C62" w:rsidRPr="004A3983">
        <w:rPr>
          <w:rFonts w:ascii="Gotham Book" w:hAnsi="Gotham Book" w:cs="Arial"/>
        </w:rPr>
        <w:t xml:space="preserve">, the </w:t>
      </w:r>
      <w:r w:rsidR="00EB3D0F" w:rsidRPr="004A3983">
        <w:rPr>
          <w:rFonts w:ascii="Gotham Book" w:hAnsi="Gotham Book" w:cs="Arial"/>
        </w:rPr>
        <w:t xml:space="preserve">NSW </w:t>
      </w:r>
      <w:r w:rsidR="0061100E" w:rsidRPr="004A3983">
        <w:rPr>
          <w:rFonts w:ascii="Gotham Book" w:hAnsi="Gotham Book" w:cs="Arial"/>
        </w:rPr>
        <w:t>Commissioner of Police</w:t>
      </w:r>
      <w:r w:rsidR="00022C62" w:rsidRPr="004A3983">
        <w:rPr>
          <w:rFonts w:ascii="Gotham Book" w:hAnsi="Gotham Book" w:cs="Arial"/>
        </w:rPr>
        <w:t xml:space="preserve"> stated that until ‘an overarching governance structure’ is put in place there exists a level of risk </w:t>
      </w:r>
      <w:r w:rsidR="0061100E" w:rsidRPr="004A3983">
        <w:rPr>
          <w:rFonts w:ascii="Gotham Book" w:hAnsi="Gotham Book" w:cs="Arial"/>
        </w:rPr>
        <w:t xml:space="preserve">of errors in the Register </w:t>
      </w:r>
      <w:r w:rsidR="00022C62" w:rsidRPr="004A3983">
        <w:rPr>
          <w:rFonts w:ascii="Gotham Book" w:hAnsi="Gotham Book" w:cs="Arial"/>
        </w:rPr>
        <w:t>that cannot be properly mitigated.</w:t>
      </w:r>
      <w:r w:rsidR="00022C62" w:rsidRPr="004A3983">
        <w:rPr>
          <w:rStyle w:val="FootnoteReference"/>
          <w:rFonts w:ascii="Gotham Book" w:hAnsi="Gotham Book" w:cs="Arial"/>
        </w:rPr>
        <w:footnoteReference w:id="568"/>
      </w:r>
      <w:r w:rsidR="002C4BF1" w:rsidRPr="004A3983">
        <w:rPr>
          <w:rFonts w:ascii="Gotham Book" w:hAnsi="Gotham Book" w:cs="Arial"/>
        </w:rPr>
        <w:t xml:space="preserve"> </w:t>
      </w:r>
      <w:r w:rsidR="00581482" w:rsidRPr="004A3983">
        <w:rPr>
          <w:rFonts w:ascii="Gotham Book" w:hAnsi="Gotham Book" w:cs="Arial"/>
        </w:rPr>
        <w:t>He commented that:</w:t>
      </w:r>
    </w:p>
    <w:p w14:paraId="71E0BACE" w14:textId="2C9DD414" w:rsidR="00022C62" w:rsidRPr="004A3983" w:rsidRDefault="00022C62" w:rsidP="00E07380">
      <w:pPr>
        <w:pStyle w:val="Quotesmall1cm"/>
      </w:pPr>
      <w:r w:rsidRPr="004A3983">
        <w:t>The NSW Police Force is only one part of a multi-agency approach promoted by the legislation. The success of the register relies heavily on a coordinated system between legislated authorities, with an overarching governance structure in place that establishes responsibility for key compliance control activities.</w:t>
      </w:r>
    </w:p>
    <w:p w14:paraId="16B3F4C2" w14:textId="3DDDD131" w:rsidR="00022C62" w:rsidRPr="004A3983" w:rsidRDefault="00022C62" w:rsidP="00E07380">
      <w:pPr>
        <w:pStyle w:val="Quotesmall1cm"/>
      </w:pPr>
      <w:r w:rsidRPr="004A3983">
        <w:t>The NSW Police Force is committed to working with the Commission to ensure that a proper governance structure is put in place across responsible government agencies.</w:t>
      </w:r>
      <w:r w:rsidRPr="004A3983">
        <w:rPr>
          <w:rStyle w:val="FootnoteReference"/>
          <w:rFonts w:cs="Arial"/>
        </w:rPr>
        <w:footnoteReference w:id="569"/>
      </w:r>
    </w:p>
    <w:p w14:paraId="68BC93C8" w14:textId="01AF1B0C" w:rsidR="00022C62" w:rsidRPr="004A3983" w:rsidRDefault="00022C62" w:rsidP="00062C0B">
      <w:pPr>
        <w:spacing w:after="160"/>
        <w:ind w:right="-2"/>
        <w:rPr>
          <w:rFonts w:ascii="Gotham Book" w:hAnsi="Gotham Book" w:cs="Arial"/>
        </w:rPr>
      </w:pPr>
      <w:r w:rsidRPr="004A3983">
        <w:rPr>
          <w:rFonts w:ascii="Gotham Book" w:hAnsi="Gotham Book" w:cs="Arial"/>
        </w:rPr>
        <w:t>The NSW Police Force suggested a committee be set up comprising of all relevant authorities and chaired by the Department of Justice to discuss the obligations, compliance risks and mitigation strategies of each authority.</w:t>
      </w:r>
      <w:r w:rsidRPr="004A3983">
        <w:rPr>
          <w:rStyle w:val="FootnoteReference"/>
          <w:rFonts w:ascii="Gotham Book" w:hAnsi="Gotham Book" w:cs="Arial"/>
        </w:rPr>
        <w:footnoteReference w:id="570"/>
      </w:r>
      <w:r w:rsidRPr="004A3983">
        <w:rPr>
          <w:rFonts w:ascii="Gotham Book" w:hAnsi="Gotham Book" w:cs="Arial"/>
        </w:rPr>
        <w:t xml:space="preserve"> The Commission supports this suggestion.</w:t>
      </w:r>
    </w:p>
    <w:p w14:paraId="213C039F" w14:textId="143B38A4" w:rsidR="00022C62" w:rsidRPr="004A3983" w:rsidRDefault="00240120" w:rsidP="00860C62">
      <w:pPr>
        <w:pStyle w:val="RecommendationHeadings"/>
        <w:spacing w:after="160"/>
      </w:pPr>
      <w:bookmarkStart w:id="500" w:name="_Toc22277345"/>
      <w:r w:rsidRPr="004A3983">
        <w:rPr>
          <w:b/>
        </w:rPr>
        <w:lastRenderedPageBreak/>
        <w:t>Establish an i</w:t>
      </w:r>
      <w:r w:rsidR="00022C62" w:rsidRPr="004A3983">
        <w:rPr>
          <w:b/>
        </w:rPr>
        <w:t>nteragency Chil</w:t>
      </w:r>
      <w:r w:rsidR="00CA2E57" w:rsidRPr="004A3983">
        <w:rPr>
          <w:b/>
        </w:rPr>
        <w:t>d Protection Register C</w:t>
      </w:r>
      <w:r w:rsidR="00022C62" w:rsidRPr="004A3983">
        <w:rPr>
          <w:b/>
        </w:rPr>
        <w:t>ommittee</w:t>
      </w:r>
      <w:r w:rsidR="00022C62" w:rsidRPr="004A3983">
        <w:t>. The NSW Police Force initiate</w:t>
      </w:r>
      <w:r w:rsidR="00D773F5" w:rsidRPr="004A3983">
        <w:t xml:space="preserve"> </w:t>
      </w:r>
      <w:r w:rsidR="00022C62" w:rsidRPr="004A3983">
        <w:t xml:space="preserve">the establishment of a Child Protection Register Committee with relevant authorities to discuss and decide the obligations, </w:t>
      </w:r>
      <w:r w:rsidR="00510B1C" w:rsidRPr="004A3983">
        <w:t>compliance risks and mitigation</w:t>
      </w:r>
      <w:r w:rsidR="00022C62" w:rsidRPr="004A3983">
        <w:t xml:space="preserve"> strategies of each authority in relation to the statutory framework </w:t>
      </w:r>
      <w:r w:rsidR="00DC36BC" w:rsidRPr="004A3983">
        <w:t>governing</w:t>
      </w:r>
      <w:r w:rsidR="00022C62" w:rsidRPr="004A3983">
        <w:t xml:space="preserve"> the Register.</w:t>
      </w:r>
      <w:bookmarkEnd w:id="500"/>
      <w:r w:rsidR="00022C62" w:rsidRPr="004A3983">
        <w:t xml:space="preserve"> </w:t>
      </w:r>
    </w:p>
    <w:p w14:paraId="6B699D90" w14:textId="4E4B8736" w:rsidR="00022C62" w:rsidRPr="004A3983" w:rsidRDefault="00022C62" w:rsidP="00062C0B">
      <w:pPr>
        <w:spacing w:after="160"/>
        <w:ind w:right="-2"/>
      </w:pPr>
      <w:r w:rsidRPr="004A3983">
        <w:t>It is desirable that a commi</w:t>
      </w:r>
      <w:r w:rsidR="00DC36BC" w:rsidRPr="004A3983">
        <w:t>ttee such as that described in R</w:t>
      </w:r>
      <w:r w:rsidRPr="004A3983">
        <w:t xml:space="preserve">ecommendation </w:t>
      </w:r>
      <w:r w:rsidR="00510B1C" w:rsidRPr="004A3983">
        <w:t>8</w:t>
      </w:r>
      <w:r w:rsidRPr="004A3983">
        <w:t xml:space="preserve"> develop an interagency framework or memorandum of understanding to implement the decisions of the NSW Police Force and other authorities regarding the administration of the Register.</w:t>
      </w:r>
    </w:p>
    <w:p w14:paraId="59EF3D2E" w14:textId="3E598A5C" w:rsidR="00022C62" w:rsidRPr="004A3983" w:rsidRDefault="00022C62" w:rsidP="00062C0B">
      <w:pPr>
        <w:spacing w:after="160"/>
        <w:ind w:right="-2"/>
      </w:pPr>
      <w:r w:rsidRPr="004A3983">
        <w:t xml:space="preserve">The framework will need to define the roles, obligations, and desired outcomes for each authority and articulate measurable key performance indicators to support its functioning. In keeping with the principles of good interagency governance, consideration should also be given to setting up an interagency steering group consisting of senior representatives from each authority, developing a mechanism for joint case review, and implementing appropriate information sharing, administrative and recording procedures. </w:t>
      </w:r>
    </w:p>
    <w:p w14:paraId="4A0AF63C" w14:textId="74B5E026" w:rsidR="00022C62" w:rsidRPr="004A3983" w:rsidRDefault="00240120" w:rsidP="00860C62">
      <w:pPr>
        <w:pStyle w:val="RecommendationHeadings"/>
        <w:spacing w:after="160"/>
      </w:pPr>
      <w:bookmarkStart w:id="501" w:name="_Toc22277346"/>
      <w:r w:rsidRPr="004A3983">
        <w:rPr>
          <w:b/>
        </w:rPr>
        <w:t>Develop an i</w:t>
      </w:r>
      <w:r w:rsidR="00022C62" w:rsidRPr="004A3983">
        <w:rPr>
          <w:b/>
        </w:rPr>
        <w:t>nteragency governance framework</w:t>
      </w:r>
      <w:r w:rsidR="00022C62" w:rsidRPr="004A3983">
        <w:t>. The NSW Police Force initiate</w:t>
      </w:r>
      <w:r w:rsidR="00D773F5" w:rsidRPr="004A3983">
        <w:t xml:space="preserve"> </w:t>
      </w:r>
      <w:r w:rsidR="00022C62" w:rsidRPr="004A3983">
        <w:t xml:space="preserve">the creation and implementation of a robust interagency governance framework to ensure consistent service delivery in accordance with each authority’s responsibilities under the </w:t>
      </w:r>
      <w:r w:rsidR="006B32C3" w:rsidRPr="004A3983">
        <w:t>statutory framework for the Register</w:t>
      </w:r>
      <w:r w:rsidR="00022C62" w:rsidRPr="004A3983">
        <w:t>.</w:t>
      </w:r>
      <w:bookmarkEnd w:id="501"/>
      <w:r w:rsidR="00022C62" w:rsidRPr="004A3983">
        <w:t xml:space="preserve"> </w:t>
      </w:r>
    </w:p>
    <w:p w14:paraId="32449828" w14:textId="5BDF2D2E" w:rsidR="00503A37" w:rsidRPr="004A3983" w:rsidRDefault="00D773F5" w:rsidP="00847837">
      <w:r w:rsidRPr="004A3983">
        <w:rPr>
          <w:b/>
        </w:rPr>
        <w:t>NSW Police Force response to Recommendations 8 and 9</w:t>
      </w:r>
      <w:r w:rsidRPr="004A3983">
        <w:t xml:space="preserve">: </w:t>
      </w:r>
      <w:r w:rsidR="00F77CBE" w:rsidRPr="004A3983">
        <w:t xml:space="preserve">The NSW Police Force stated that </w:t>
      </w:r>
      <w:r w:rsidR="00B55E67" w:rsidRPr="004A3983">
        <w:t>i</w:t>
      </w:r>
      <w:r w:rsidR="0083178B" w:rsidRPr="004A3983">
        <w:t>t supports</w:t>
      </w:r>
      <w:r w:rsidR="00B55E67" w:rsidRPr="004A3983">
        <w:t xml:space="preserve"> these recommendations ‘to the extent that the NSWPF agrees to initiate an interagency governance review of the administration of the CPOR Act in order to promote the objectives of the Act…the NSWPF notes that the success of the review depends on the engagement and cooperation of other agencies.’</w:t>
      </w:r>
      <w:r w:rsidR="00B55E67" w:rsidRPr="004A3983">
        <w:rPr>
          <w:rStyle w:val="FootnoteReference"/>
        </w:rPr>
        <w:footnoteReference w:id="571"/>
      </w:r>
    </w:p>
    <w:p w14:paraId="4F04919F" w14:textId="6A0DE584" w:rsidR="007C125F" w:rsidRPr="004A3983" w:rsidRDefault="00B95859" w:rsidP="00062C0B">
      <w:pPr>
        <w:pStyle w:val="Heading2"/>
        <w:spacing w:after="160"/>
        <w:ind w:right="-2"/>
      </w:pPr>
      <w:bookmarkStart w:id="502" w:name="_Toc22627837"/>
      <w:r w:rsidRPr="004A3983">
        <w:t>Internal NSW Police Force governance framework to ensure compliance with the statutory framework</w:t>
      </w:r>
      <w:bookmarkEnd w:id="502"/>
    </w:p>
    <w:p w14:paraId="2C0DC132" w14:textId="55102633" w:rsidR="00B95859" w:rsidRPr="004A3983" w:rsidRDefault="00B95859" w:rsidP="00E07380">
      <w:pPr>
        <w:pStyle w:val="Quotelarge"/>
        <w:rPr>
          <w:rFonts w:ascii="Gotham Book" w:hAnsi="Gotham Book" w:cs="Arial"/>
          <w:sz w:val="20"/>
        </w:rPr>
      </w:pPr>
      <w:r w:rsidRPr="004A3983">
        <w:t>‘There is scope to develop a more robust framework within the NSWPF to ensure greater accountability in management of the Child Protection Register.’</w:t>
      </w:r>
      <w:r w:rsidR="0080755E" w:rsidRPr="004A3983">
        <w:rPr>
          <w:rFonts w:ascii="Gotham Book" w:hAnsi="Gotham Book" w:cs="Arial"/>
          <w:sz w:val="20"/>
        </w:rPr>
        <w:t xml:space="preserve"> </w:t>
      </w:r>
    </w:p>
    <w:p w14:paraId="216EAD8B" w14:textId="2DED5B5C" w:rsidR="00B95859" w:rsidRPr="004A3983" w:rsidRDefault="00E07380" w:rsidP="00E07380">
      <w:pPr>
        <w:pStyle w:val="QuotelargeAuthor"/>
      </w:pPr>
      <w:r>
        <w:t xml:space="preserve">– </w:t>
      </w:r>
      <w:r w:rsidR="00B95859" w:rsidRPr="004A3983">
        <w:t>Manager, Child Protec</w:t>
      </w:r>
      <w:r w:rsidR="00DE1395" w:rsidRPr="004A3983">
        <w:t>tion Registry, NSW Police Force</w:t>
      </w:r>
      <w:r w:rsidR="00C2699A" w:rsidRPr="004A3983">
        <w:t>, 2018</w:t>
      </w:r>
      <w:r w:rsidR="0080755E" w:rsidRPr="004A3983">
        <w:rPr>
          <w:rStyle w:val="FootnoteReference"/>
          <w:rFonts w:cs="Arial"/>
        </w:rPr>
        <w:footnoteReference w:id="572"/>
      </w:r>
    </w:p>
    <w:p w14:paraId="2E0468EA" w14:textId="65FAAE3C" w:rsidR="00B95859" w:rsidRPr="004A3983" w:rsidRDefault="00493EFE" w:rsidP="00062C0B">
      <w:pPr>
        <w:spacing w:after="160"/>
        <w:ind w:right="-2"/>
        <w:rPr>
          <w:rFonts w:ascii="Gotham Book" w:hAnsi="Gotham Book"/>
          <w:lang w:val="en"/>
        </w:rPr>
      </w:pPr>
      <w:r w:rsidRPr="004A3983">
        <w:rPr>
          <w:rFonts w:ascii="Gotham Book" w:hAnsi="Gotham Book"/>
          <w:lang w:val="en"/>
        </w:rPr>
        <w:t>Within the NSW Police Force, responsibility</w:t>
      </w:r>
      <w:r w:rsidR="00B95859" w:rsidRPr="004A3983">
        <w:rPr>
          <w:rFonts w:ascii="Gotham Book" w:hAnsi="Gotham Book"/>
          <w:lang w:val="en"/>
        </w:rPr>
        <w:t xml:space="preserve"> for the ad</w:t>
      </w:r>
      <w:r w:rsidRPr="004A3983">
        <w:rPr>
          <w:rFonts w:ascii="Gotham Book" w:hAnsi="Gotham Book"/>
          <w:lang w:val="en"/>
        </w:rPr>
        <w:t>ministration of the Register is</w:t>
      </w:r>
      <w:r w:rsidR="00B95859" w:rsidRPr="004A3983">
        <w:rPr>
          <w:rFonts w:ascii="Gotham Book" w:hAnsi="Gotham Book"/>
          <w:lang w:val="en"/>
        </w:rPr>
        <w:t xml:space="preserve"> shared between the Registry </w:t>
      </w:r>
      <w:r w:rsidRPr="004A3983">
        <w:rPr>
          <w:rFonts w:ascii="Gotham Book" w:hAnsi="Gotham Book"/>
          <w:lang w:val="en"/>
        </w:rPr>
        <w:t>(</w:t>
      </w:r>
      <w:r w:rsidR="00B95859" w:rsidRPr="004A3983">
        <w:rPr>
          <w:rFonts w:ascii="Gotham Book" w:hAnsi="Gotham Book"/>
          <w:lang w:val="en"/>
        </w:rPr>
        <w:t>within the State Crime Command</w:t>
      </w:r>
      <w:r w:rsidRPr="004A3983">
        <w:rPr>
          <w:rFonts w:ascii="Gotham Book" w:hAnsi="Gotham Book"/>
          <w:lang w:val="en"/>
        </w:rPr>
        <w:t>)</w:t>
      </w:r>
      <w:r w:rsidR="00B95859" w:rsidRPr="004A3983">
        <w:rPr>
          <w:rFonts w:ascii="Gotham Book" w:hAnsi="Gotham Book"/>
          <w:lang w:val="en"/>
        </w:rPr>
        <w:t xml:space="preserve"> and officers in the Police Area Commands and Police Districts (local commands). The Registry is the unit within the NSW Police Force with expertise in relation to the Register and CPOR Act. As outlined in </w:t>
      </w:r>
      <w:r w:rsidR="009B596F" w:rsidRPr="004A3983">
        <w:rPr>
          <w:rFonts w:ascii="Gotham Book" w:hAnsi="Gotham Book"/>
          <w:lang w:val="en"/>
        </w:rPr>
        <w:t xml:space="preserve">Chapter </w:t>
      </w:r>
      <w:r w:rsidR="009B596F" w:rsidRPr="004A3983">
        <w:rPr>
          <w:rFonts w:ascii="Gotham Book" w:hAnsi="Gotham Book"/>
          <w:lang w:val="en"/>
        </w:rPr>
        <w:fldChar w:fldCharType="begin"/>
      </w:r>
      <w:r w:rsidR="009B596F" w:rsidRPr="004A3983">
        <w:rPr>
          <w:rFonts w:ascii="Gotham Book" w:hAnsi="Gotham Book"/>
          <w:lang w:val="en"/>
        </w:rPr>
        <w:instrText xml:space="preserve"> REF _Ref10469100 \r \h </w:instrText>
      </w:r>
      <w:r w:rsidRPr="004A3983">
        <w:rPr>
          <w:rFonts w:ascii="Gotham Book" w:hAnsi="Gotham Book"/>
          <w:lang w:val="en"/>
        </w:rPr>
        <w:instrText xml:space="preserve"> \* MERGEFORMAT </w:instrText>
      </w:r>
      <w:r w:rsidR="009B596F" w:rsidRPr="004A3983">
        <w:rPr>
          <w:rFonts w:ascii="Gotham Book" w:hAnsi="Gotham Book"/>
          <w:lang w:val="en"/>
        </w:rPr>
      </w:r>
      <w:r w:rsidR="009B596F" w:rsidRPr="004A3983">
        <w:rPr>
          <w:rFonts w:ascii="Gotham Book" w:hAnsi="Gotham Book"/>
          <w:lang w:val="en"/>
        </w:rPr>
        <w:fldChar w:fldCharType="separate"/>
      </w:r>
      <w:r w:rsidR="00022664">
        <w:rPr>
          <w:rFonts w:ascii="Gotham Book" w:hAnsi="Gotham Book" w:hint="cs"/>
          <w:cs/>
          <w:lang w:val="en"/>
        </w:rPr>
        <w:t>‎</w:t>
      </w:r>
      <w:r w:rsidR="00022664">
        <w:rPr>
          <w:rFonts w:ascii="Gotham Book" w:hAnsi="Gotham Book"/>
          <w:lang w:val="en"/>
        </w:rPr>
        <w:t>2</w:t>
      </w:r>
      <w:r w:rsidR="009B596F" w:rsidRPr="004A3983">
        <w:rPr>
          <w:rFonts w:ascii="Gotham Book" w:hAnsi="Gotham Book"/>
          <w:lang w:val="en"/>
        </w:rPr>
        <w:fldChar w:fldCharType="end"/>
      </w:r>
      <w:r w:rsidR="00B95859" w:rsidRPr="004A3983">
        <w:rPr>
          <w:rFonts w:ascii="Gotham Book" w:hAnsi="Gotham Book"/>
          <w:lang w:val="en"/>
        </w:rPr>
        <w:t xml:space="preserve">, the Registry’s key responsibilities are to identify </w:t>
      </w:r>
      <w:r w:rsidR="00B95859" w:rsidRPr="004A3983">
        <w:rPr>
          <w:rFonts w:ascii="Gotham Book" w:hAnsi="Gotham Book"/>
          <w:lang w:val="en"/>
        </w:rPr>
        <w:lastRenderedPageBreak/>
        <w:t xml:space="preserve">registrable persons, </w:t>
      </w:r>
      <w:r w:rsidRPr="004A3983">
        <w:rPr>
          <w:rFonts w:ascii="Gotham Book" w:hAnsi="Gotham Book"/>
          <w:lang w:val="en"/>
        </w:rPr>
        <w:t>place</w:t>
      </w:r>
      <w:r w:rsidR="00B95859" w:rsidRPr="004A3983">
        <w:rPr>
          <w:rFonts w:ascii="Gotham Book" w:hAnsi="Gotham Book"/>
          <w:lang w:val="en"/>
        </w:rPr>
        <w:t xml:space="preserve"> them on the Register, and determine and update their reporting pe</w:t>
      </w:r>
      <w:r w:rsidR="00421C3E" w:rsidRPr="004A3983">
        <w:rPr>
          <w:rFonts w:ascii="Gotham Book" w:hAnsi="Gotham Book"/>
          <w:lang w:val="en"/>
        </w:rPr>
        <w:t xml:space="preserve">riods. However, </w:t>
      </w:r>
      <w:r w:rsidR="00B95859" w:rsidRPr="004A3983">
        <w:rPr>
          <w:rFonts w:ascii="Gotham Book" w:hAnsi="Gotham Book"/>
          <w:lang w:val="en"/>
        </w:rPr>
        <w:t>the monitor</w:t>
      </w:r>
      <w:r w:rsidR="00421C3E" w:rsidRPr="004A3983">
        <w:rPr>
          <w:rFonts w:ascii="Gotham Book" w:hAnsi="Gotham Book"/>
          <w:lang w:val="en"/>
        </w:rPr>
        <w:t>ing of the vast majority of registrable persons</w:t>
      </w:r>
      <w:r w:rsidR="00B95859" w:rsidRPr="004A3983">
        <w:rPr>
          <w:rFonts w:ascii="Gotham Book" w:hAnsi="Gotham Book"/>
          <w:lang w:val="en"/>
        </w:rPr>
        <w:t xml:space="preserve"> in the community, </w:t>
      </w:r>
      <w:r w:rsidR="00421C3E" w:rsidRPr="004A3983">
        <w:rPr>
          <w:rFonts w:ascii="Gotham Book" w:hAnsi="Gotham Book"/>
          <w:lang w:val="en"/>
        </w:rPr>
        <w:t xml:space="preserve">and the enforcement of their reporting obligations, </w:t>
      </w:r>
      <w:r w:rsidR="00B95859" w:rsidRPr="004A3983">
        <w:rPr>
          <w:rFonts w:ascii="Gotham Book" w:hAnsi="Gotham Book"/>
          <w:lang w:val="en"/>
        </w:rPr>
        <w:t xml:space="preserve">is undertaken by the local commands in which </w:t>
      </w:r>
      <w:r w:rsidR="006E5486" w:rsidRPr="004A3983">
        <w:rPr>
          <w:rFonts w:ascii="Gotham Book" w:hAnsi="Gotham Book"/>
          <w:lang w:val="en"/>
        </w:rPr>
        <w:t xml:space="preserve">the </w:t>
      </w:r>
      <w:r w:rsidR="00B95859" w:rsidRPr="004A3983">
        <w:rPr>
          <w:rFonts w:ascii="Gotham Book" w:hAnsi="Gotham Book"/>
          <w:lang w:val="en"/>
        </w:rPr>
        <w:t>registrable persons live and report.</w:t>
      </w:r>
      <w:r w:rsidR="00B95859" w:rsidRPr="004A3983">
        <w:rPr>
          <w:rStyle w:val="FootnoteReference"/>
          <w:rFonts w:ascii="Gotham Book" w:hAnsi="Gotham Book"/>
          <w:lang w:val="en"/>
        </w:rPr>
        <w:footnoteReference w:id="573"/>
      </w:r>
      <w:r w:rsidR="00B95859" w:rsidRPr="004A3983">
        <w:rPr>
          <w:rFonts w:ascii="Gotham Book" w:hAnsi="Gotham Book"/>
          <w:lang w:val="en"/>
        </w:rPr>
        <w:t xml:space="preserve"> </w:t>
      </w:r>
    </w:p>
    <w:p w14:paraId="19FBC211" w14:textId="1D9C21B8" w:rsidR="00F84F25" w:rsidRPr="004A3983" w:rsidRDefault="00F84F25" w:rsidP="00062C0B">
      <w:pPr>
        <w:pStyle w:val="Heading3"/>
        <w:spacing w:after="160"/>
        <w:ind w:right="-2"/>
      </w:pPr>
      <w:bookmarkStart w:id="503" w:name="_Toc8913578"/>
      <w:bookmarkStart w:id="504" w:name="_Toc9428438"/>
      <w:bookmarkStart w:id="505" w:name="_Toc12020390"/>
      <w:bookmarkStart w:id="506" w:name="_Toc14790556"/>
      <w:bookmarkStart w:id="507" w:name="_Toc15478439"/>
      <w:bookmarkStart w:id="508" w:name="_Toc22627838"/>
      <w:r w:rsidRPr="004A3983">
        <w:t>Lack of consistency across N</w:t>
      </w:r>
      <w:bookmarkEnd w:id="503"/>
      <w:bookmarkEnd w:id="504"/>
      <w:bookmarkEnd w:id="505"/>
      <w:bookmarkEnd w:id="506"/>
      <w:bookmarkEnd w:id="507"/>
      <w:r w:rsidR="007F1DD6" w:rsidRPr="004A3983">
        <w:t>ew South Wales</w:t>
      </w:r>
      <w:bookmarkEnd w:id="508"/>
    </w:p>
    <w:p w14:paraId="77315D03" w14:textId="2C3C66D9" w:rsidR="00AD0719" w:rsidRPr="004A3983" w:rsidRDefault="00D95621" w:rsidP="00062C0B">
      <w:pPr>
        <w:spacing w:after="160"/>
        <w:ind w:right="-2"/>
        <w:rPr>
          <w:rFonts w:ascii="Gotham Book" w:hAnsi="Gotham Book" w:cs="Arial"/>
        </w:rPr>
      </w:pPr>
      <w:r w:rsidRPr="004A3983">
        <w:rPr>
          <w:rFonts w:ascii="Gotham Book" w:hAnsi="Gotham Book" w:cs="Arial"/>
        </w:rPr>
        <w:t xml:space="preserve">Local commands </w:t>
      </w:r>
      <w:r w:rsidR="00AD0719" w:rsidRPr="004A3983">
        <w:rPr>
          <w:rFonts w:ascii="Gotham Book" w:hAnsi="Gotham Book" w:cs="Arial"/>
        </w:rPr>
        <w:t>across New South Wales</w:t>
      </w:r>
      <w:r w:rsidR="006323CB" w:rsidRPr="004A3983">
        <w:rPr>
          <w:rFonts w:ascii="Gotham Book" w:hAnsi="Gotham Book" w:cs="Arial"/>
        </w:rPr>
        <w:t xml:space="preserve"> </w:t>
      </w:r>
      <w:r w:rsidRPr="004A3983">
        <w:rPr>
          <w:rFonts w:ascii="Gotham Book" w:hAnsi="Gotham Book" w:cs="Arial"/>
        </w:rPr>
        <w:t>perform Register-related activities differently from each other</w:t>
      </w:r>
      <w:r w:rsidR="00B52F5B" w:rsidRPr="004A3983">
        <w:rPr>
          <w:rFonts w:ascii="Gotham Book" w:hAnsi="Gotham Book" w:cs="Arial"/>
        </w:rPr>
        <w:t xml:space="preserve">. </w:t>
      </w:r>
      <w:r w:rsidRPr="004A3983">
        <w:rPr>
          <w:rFonts w:ascii="Gotham Book" w:hAnsi="Gotham Book" w:cs="Arial"/>
        </w:rPr>
        <w:t>The amount and nature of Register-related work required of each local command varies as the numbers of registrable persons</w:t>
      </w:r>
      <w:r w:rsidR="006323CB" w:rsidRPr="004A3983">
        <w:rPr>
          <w:rFonts w:ascii="Gotham Book" w:hAnsi="Gotham Book" w:cs="Arial"/>
        </w:rPr>
        <w:t>,</w:t>
      </w:r>
      <w:r w:rsidRPr="004A3983">
        <w:rPr>
          <w:rFonts w:ascii="Gotham Book" w:hAnsi="Gotham Book" w:cs="Arial"/>
        </w:rPr>
        <w:t xml:space="preserve"> and those with high or extreme risk ratings</w:t>
      </w:r>
      <w:r w:rsidR="006323CB" w:rsidRPr="004A3983">
        <w:rPr>
          <w:rFonts w:ascii="Gotham Book" w:hAnsi="Gotham Book" w:cs="Arial"/>
        </w:rPr>
        <w:t>,</w:t>
      </w:r>
      <w:r w:rsidRPr="004A3983">
        <w:rPr>
          <w:rFonts w:ascii="Gotham Book" w:hAnsi="Gotham Book" w:cs="Arial"/>
        </w:rPr>
        <w:t xml:space="preserve"> are not evenly distributed across the state. </w:t>
      </w:r>
      <w:r w:rsidRPr="004A3983">
        <w:rPr>
          <w:rFonts w:ascii="Gotham Book" w:hAnsi="Gotham Book"/>
          <w:lang w:val="en"/>
        </w:rPr>
        <w:t>There are unofficial databases and record-keeping processes designed at local levels ‘for convenience only’ such as spreadsheets containing key data of registrable persons in the command.</w:t>
      </w:r>
      <w:r w:rsidRPr="004A3983">
        <w:rPr>
          <w:rStyle w:val="FootnoteReference"/>
          <w:rFonts w:ascii="Gotham Book" w:hAnsi="Gotham Book"/>
          <w:lang w:val="en"/>
        </w:rPr>
        <w:footnoteReference w:id="574"/>
      </w:r>
      <w:r w:rsidRPr="004A3983">
        <w:rPr>
          <w:rFonts w:ascii="Gotham Book" w:hAnsi="Gotham Book"/>
          <w:lang w:val="en"/>
        </w:rPr>
        <w:t xml:space="preserve"> </w:t>
      </w:r>
      <w:r w:rsidR="00AD0719" w:rsidRPr="004A3983">
        <w:rPr>
          <w:rFonts w:ascii="Gotham Book" w:hAnsi="Gotham Book" w:cs="Arial"/>
        </w:rPr>
        <w:t xml:space="preserve">While </w:t>
      </w:r>
      <w:r w:rsidR="0067011E" w:rsidRPr="004A3983">
        <w:rPr>
          <w:rFonts w:ascii="Gotham Book" w:hAnsi="Gotham Book" w:cs="Arial"/>
        </w:rPr>
        <w:t>c</w:t>
      </w:r>
      <w:r w:rsidR="00AD0719" w:rsidRPr="004A3983">
        <w:rPr>
          <w:rFonts w:ascii="Gotham Book" w:hAnsi="Gotham Book" w:cs="Arial"/>
        </w:rPr>
        <w:t xml:space="preserve">rime </w:t>
      </w:r>
      <w:r w:rsidR="0067011E" w:rsidRPr="004A3983">
        <w:rPr>
          <w:rFonts w:ascii="Gotham Book" w:hAnsi="Gotham Book" w:cs="Arial"/>
        </w:rPr>
        <w:t>m</w:t>
      </w:r>
      <w:r w:rsidR="00AD0719" w:rsidRPr="004A3983">
        <w:rPr>
          <w:rFonts w:ascii="Gotham Book" w:hAnsi="Gotham Book" w:cs="Arial"/>
        </w:rPr>
        <w:t>anagers have the primary responsibility for management of registrable persons, they will generally delegate these responsibilities to other police officers.</w:t>
      </w:r>
    </w:p>
    <w:p w14:paraId="2201CBD4" w14:textId="6DAE162C" w:rsidR="00AD0719" w:rsidRPr="004A3983" w:rsidRDefault="000E43AD" w:rsidP="00AD0719">
      <w:pPr>
        <w:spacing w:after="160"/>
        <w:ind w:right="-2"/>
        <w:rPr>
          <w:rFonts w:ascii="Gotham Book" w:hAnsi="Gotham Book" w:cs="Arial"/>
        </w:rPr>
      </w:pPr>
      <w:r w:rsidRPr="004A3983">
        <w:rPr>
          <w:rFonts w:ascii="Gotham Book" w:hAnsi="Gotham Book" w:cs="Arial"/>
        </w:rPr>
        <w:t xml:space="preserve">However there have recently been significant improvements in this regard. </w:t>
      </w:r>
      <w:r w:rsidR="00AD0719" w:rsidRPr="004A3983">
        <w:rPr>
          <w:rFonts w:ascii="Gotham Book" w:hAnsi="Gotham Book" w:cs="Arial"/>
        </w:rPr>
        <w:t>As discussed in Chapter 5, in 2019 the NSW Police Force deployed</w:t>
      </w:r>
      <w:r w:rsidR="00FB17B7" w:rsidRPr="004A3983">
        <w:rPr>
          <w:rFonts w:ascii="Gotham Book" w:hAnsi="Gotham Book" w:cs="Arial"/>
        </w:rPr>
        <w:t xml:space="preserve"> 15 officers to local commands </w:t>
      </w:r>
      <w:r w:rsidR="00AD0719" w:rsidRPr="004A3983">
        <w:rPr>
          <w:rFonts w:ascii="Gotham Book" w:hAnsi="Gotham Book" w:cs="Arial"/>
        </w:rPr>
        <w:t>for the specific purpose of monitoring registrable persons.</w:t>
      </w:r>
      <w:r w:rsidR="00A7304F" w:rsidRPr="004A3983">
        <w:rPr>
          <w:rFonts w:ascii="Gotham Book" w:hAnsi="Gotham Book" w:cs="Arial"/>
        </w:rPr>
        <w:t xml:space="preserve"> The NSW Commissioner of Police has advised that </w:t>
      </w:r>
      <w:r w:rsidR="00AD0719" w:rsidRPr="004A3983">
        <w:rPr>
          <w:rFonts w:ascii="Gotham Book" w:hAnsi="Gotham Book" w:cs="Arial"/>
        </w:rPr>
        <w:t xml:space="preserve">another 33 </w:t>
      </w:r>
      <w:r w:rsidR="00A7304F" w:rsidRPr="004A3983">
        <w:rPr>
          <w:rFonts w:ascii="Gotham Book" w:hAnsi="Gotham Book" w:cs="Arial"/>
        </w:rPr>
        <w:t>dedicated Register positions will</w:t>
      </w:r>
      <w:r w:rsidR="00AD0719" w:rsidRPr="004A3983">
        <w:rPr>
          <w:rFonts w:ascii="Gotham Book" w:hAnsi="Gotham Book" w:cs="Arial"/>
        </w:rPr>
        <w:t xml:space="preserve"> be allocated </w:t>
      </w:r>
      <w:r w:rsidR="00A7304F" w:rsidRPr="004A3983">
        <w:rPr>
          <w:rFonts w:ascii="Gotham Book" w:hAnsi="Gotham Book" w:cs="Arial"/>
        </w:rPr>
        <w:t xml:space="preserve">to local commands </w:t>
      </w:r>
      <w:r w:rsidR="00AD0719" w:rsidRPr="004A3983">
        <w:rPr>
          <w:rFonts w:ascii="Gotham Book" w:hAnsi="Gotham Book" w:cs="Arial"/>
        </w:rPr>
        <w:t>in the coming years.</w:t>
      </w:r>
      <w:r w:rsidR="00AD0719" w:rsidRPr="004A3983">
        <w:rPr>
          <w:rStyle w:val="FootnoteReference"/>
          <w:rFonts w:ascii="Gotham Book" w:hAnsi="Gotham Book" w:cs="Arial"/>
        </w:rPr>
        <w:footnoteReference w:id="575"/>
      </w:r>
    </w:p>
    <w:p w14:paraId="411CDAA9" w14:textId="3914A5A3" w:rsidR="00D95621" w:rsidRPr="004A3983" w:rsidRDefault="00D95621" w:rsidP="00062C0B">
      <w:pPr>
        <w:spacing w:after="160"/>
        <w:ind w:right="-2"/>
        <w:rPr>
          <w:rFonts w:ascii="Gotham Book" w:hAnsi="Gotham Book" w:cs="Arial"/>
        </w:rPr>
      </w:pPr>
      <w:r w:rsidRPr="004A3983">
        <w:rPr>
          <w:rFonts w:ascii="Gotham Book" w:hAnsi="Gotham Book"/>
          <w:lang w:val="en"/>
        </w:rPr>
        <w:t xml:space="preserve">The introduction of dedicated positions in local commands </w:t>
      </w:r>
      <w:r w:rsidR="00A7304F" w:rsidRPr="004A3983">
        <w:rPr>
          <w:rFonts w:ascii="Gotham Book" w:hAnsi="Gotham Book"/>
          <w:lang w:val="en"/>
        </w:rPr>
        <w:t>will likely</w:t>
      </w:r>
      <w:r w:rsidRPr="004A3983">
        <w:rPr>
          <w:rFonts w:ascii="Gotham Book" w:hAnsi="Gotham Book"/>
          <w:lang w:val="en"/>
        </w:rPr>
        <w:t xml:space="preserve"> </w:t>
      </w:r>
      <w:r w:rsidR="00FD6364" w:rsidRPr="004A3983">
        <w:rPr>
          <w:rFonts w:ascii="Gotham Book" w:hAnsi="Gotham Book"/>
          <w:lang w:val="en"/>
        </w:rPr>
        <w:t xml:space="preserve">over time </w:t>
      </w:r>
      <w:r w:rsidRPr="004A3983">
        <w:rPr>
          <w:rFonts w:ascii="Gotham Book" w:hAnsi="Gotham Book"/>
          <w:lang w:val="en"/>
        </w:rPr>
        <w:t xml:space="preserve">bring consistency and expertise to the performance of Register-related activities at </w:t>
      </w:r>
      <w:r w:rsidR="00CF7083" w:rsidRPr="004A3983">
        <w:rPr>
          <w:rFonts w:ascii="Gotham Book" w:hAnsi="Gotham Book"/>
          <w:lang w:val="en"/>
        </w:rPr>
        <w:t xml:space="preserve">the </w:t>
      </w:r>
      <w:r w:rsidRPr="004A3983">
        <w:rPr>
          <w:rFonts w:ascii="Gotham Book" w:hAnsi="Gotham Book"/>
          <w:lang w:val="en"/>
        </w:rPr>
        <w:t>local command level</w:t>
      </w:r>
      <w:r w:rsidR="00FD6364" w:rsidRPr="004A3983">
        <w:rPr>
          <w:rFonts w:ascii="Gotham Book" w:hAnsi="Gotham Book"/>
          <w:lang w:val="en"/>
        </w:rPr>
        <w:t>. However</w:t>
      </w:r>
      <w:r w:rsidR="0056079B" w:rsidRPr="004A3983">
        <w:rPr>
          <w:rFonts w:ascii="Gotham Book" w:hAnsi="Gotham Book"/>
          <w:lang w:val="en"/>
        </w:rPr>
        <w:t xml:space="preserve">, this will </w:t>
      </w:r>
      <w:r w:rsidR="00143F97" w:rsidRPr="004A3983">
        <w:rPr>
          <w:rFonts w:ascii="Gotham Book" w:hAnsi="Gotham Book"/>
          <w:lang w:val="en"/>
        </w:rPr>
        <w:t xml:space="preserve">be dependent on </w:t>
      </w:r>
      <w:r w:rsidRPr="004A3983">
        <w:rPr>
          <w:rFonts w:ascii="Gotham Book" w:hAnsi="Gotham Book"/>
          <w:lang w:val="en"/>
        </w:rPr>
        <w:t>signif</w:t>
      </w:r>
      <w:r w:rsidR="0056079B" w:rsidRPr="004A3983">
        <w:rPr>
          <w:rFonts w:ascii="Gotham Book" w:hAnsi="Gotham Book"/>
          <w:lang w:val="en"/>
        </w:rPr>
        <w:t>icant training,</w:t>
      </w:r>
      <w:r w:rsidRPr="004A3983">
        <w:rPr>
          <w:rFonts w:ascii="Gotham Book" w:hAnsi="Gotham Book"/>
          <w:lang w:val="en"/>
        </w:rPr>
        <w:t xml:space="preserve"> and </w:t>
      </w:r>
      <w:r w:rsidR="00143F97" w:rsidRPr="004A3983">
        <w:rPr>
          <w:rFonts w:ascii="Gotham Book" w:hAnsi="Gotham Book"/>
          <w:lang w:val="en"/>
        </w:rPr>
        <w:t>the</w:t>
      </w:r>
      <w:r w:rsidRPr="004A3983">
        <w:rPr>
          <w:rFonts w:ascii="Gotham Book" w:hAnsi="Gotham Book"/>
          <w:lang w:val="en"/>
        </w:rPr>
        <w:t xml:space="preserve"> dedicated positions </w:t>
      </w:r>
      <w:r w:rsidR="00143F97" w:rsidRPr="004A3983">
        <w:rPr>
          <w:rFonts w:ascii="Gotham Book" w:hAnsi="Gotham Book"/>
          <w:lang w:val="en"/>
        </w:rPr>
        <w:t>being</w:t>
      </w:r>
      <w:r w:rsidRPr="004A3983">
        <w:rPr>
          <w:rFonts w:ascii="Gotham Book" w:hAnsi="Gotham Book"/>
          <w:lang w:val="en"/>
        </w:rPr>
        <w:t xml:space="preserve"> allocated to local commands according to need.</w:t>
      </w:r>
      <w:r w:rsidR="00A7304F" w:rsidRPr="004A3983">
        <w:rPr>
          <w:rStyle w:val="FootnoteReference"/>
          <w:rFonts w:ascii="Gotham Book" w:hAnsi="Gotham Book"/>
          <w:lang w:val="en"/>
        </w:rPr>
        <w:footnoteReference w:id="576"/>
      </w:r>
    </w:p>
    <w:p w14:paraId="4FA72514" w14:textId="27E21334" w:rsidR="00465E60" w:rsidRPr="004A3983" w:rsidRDefault="00D95621" w:rsidP="00062C0B">
      <w:pPr>
        <w:pStyle w:val="Heading3"/>
        <w:spacing w:after="160"/>
        <w:ind w:right="-2"/>
        <w:rPr>
          <w:rFonts w:eastAsia="Source Sans Pro Light"/>
          <w:lang w:val="en"/>
        </w:rPr>
      </w:pPr>
      <w:bookmarkStart w:id="509" w:name="_Toc8913579"/>
      <w:bookmarkStart w:id="510" w:name="_Toc9428439"/>
      <w:bookmarkStart w:id="511" w:name="_Toc12020391"/>
      <w:bookmarkStart w:id="512" w:name="_Toc14790557"/>
      <w:bookmarkStart w:id="513" w:name="_Toc15478440"/>
      <w:bookmarkStart w:id="514" w:name="_Toc22627839"/>
      <w:r w:rsidRPr="004A3983">
        <w:rPr>
          <w:rFonts w:cs="Arial"/>
        </w:rPr>
        <w:t xml:space="preserve">The need to improve </w:t>
      </w:r>
      <w:r w:rsidRPr="004A3983">
        <w:rPr>
          <w:rFonts w:eastAsia="Source Sans Pro Light"/>
          <w:lang w:val="en"/>
        </w:rPr>
        <w:t>the accountability and support of local commands</w:t>
      </w:r>
      <w:bookmarkEnd w:id="509"/>
      <w:bookmarkEnd w:id="510"/>
      <w:bookmarkEnd w:id="511"/>
      <w:bookmarkEnd w:id="512"/>
      <w:bookmarkEnd w:id="513"/>
      <w:bookmarkEnd w:id="514"/>
    </w:p>
    <w:p w14:paraId="7DFD8140" w14:textId="77777777" w:rsidR="00E925B1" w:rsidRPr="004A3983" w:rsidRDefault="00E925B1" w:rsidP="00062C0B">
      <w:pPr>
        <w:spacing w:after="160"/>
        <w:ind w:right="-2"/>
        <w:rPr>
          <w:rFonts w:ascii="Gotham Book" w:eastAsia="Source Sans Pro Light" w:hAnsi="Gotham Book" w:cs="Helvetica"/>
          <w:lang w:val="en"/>
        </w:rPr>
      </w:pPr>
      <w:r w:rsidRPr="004A3983">
        <w:rPr>
          <w:rFonts w:ascii="Gotham Book" w:eastAsia="Source Sans Pro Light" w:hAnsi="Gotham Book" w:cs="Helvetica"/>
          <w:lang w:val="en"/>
        </w:rPr>
        <w:t>The NSW Police Force uses an intranet-based Command Performance Accountability System called COMPASS. This system</w:t>
      </w:r>
      <w:r w:rsidR="00701070" w:rsidRPr="004A3983">
        <w:t xml:space="preserve"> ‘contributes to the assessment and improvement of corporate performance’, and</w:t>
      </w:r>
      <w:r w:rsidR="00701070" w:rsidRPr="004A3983">
        <w:rPr>
          <w:rFonts w:ascii="Gotham Book" w:hAnsi="Gotham Book"/>
          <w:lang w:val="en"/>
        </w:rPr>
        <w:t xml:space="preserve"> includes monthly reporting.</w:t>
      </w:r>
      <w:r w:rsidR="00701070" w:rsidRPr="004A3983">
        <w:rPr>
          <w:rStyle w:val="FootnoteReference"/>
          <w:rFonts w:ascii="Gotham Book" w:hAnsi="Gotham Book"/>
          <w:lang w:val="en"/>
        </w:rPr>
        <w:footnoteReference w:id="577"/>
      </w:r>
      <w:r w:rsidR="00701070" w:rsidRPr="004A3983">
        <w:rPr>
          <w:rFonts w:ascii="Gotham Book" w:hAnsi="Gotham Book"/>
          <w:lang w:val="en"/>
        </w:rPr>
        <w:t xml:space="preserve"> </w:t>
      </w:r>
      <w:r w:rsidRPr="004A3983">
        <w:rPr>
          <w:rFonts w:ascii="Gotham Book" w:hAnsi="Gotham Book"/>
          <w:lang w:val="en"/>
        </w:rPr>
        <w:t xml:space="preserve">The NSW Police </w:t>
      </w:r>
      <w:r w:rsidRPr="004A3983">
        <w:rPr>
          <w:rFonts w:ascii="Gotham Book" w:eastAsia="Source Sans Pro Light" w:hAnsi="Gotham Book" w:cs="Helvetica"/>
          <w:lang w:val="en"/>
        </w:rPr>
        <w:t xml:space="preserve">Force also holds COMPASS forums which ‘identify emerging risks and trends with organisation-wide consequences’, and ‘contribute to evidence based </w:t>
      </w:r>
      <w:r w:rsidRPr="004A3983">
        <w:rPr>
          <w:rFonts w:ascii="Gotham Book" w:eastAsia="Source Sans Pro Light" w:hAnsi="Gotham Book" w:cs="Helvetica"/>
          <w:lang w:val="en"/>
        </w:rPr>
        <w:lastRenderedPageBreak/>
        <w:t>decision-making and explore how to best achieve corporate objectives from alternative strategies’.</w:t>
      </w:r>
      <w:r w:rsidRPr="004A3983">
        <w:rPr>
          <w:rStyle w:val="FootnoteReference"/>
          <w:rFonts w:ascii="Gotham Book" w:eastAsia="Source Sans Pro Light" w:hAnsi="Gotham Book" w:cs="Helvetica"/>
          <w:lang w:val="en"/>
        </w:rPr>
        <w:footnoteReference w:id="578"/>
      </w:r>
    </w:p>
    <w:p w14:paraId="22585103" w14:textId="2B1A05E4" w:rsidR="00D95621" w:rsidRPr="004A3983" w:rsidRDefault="005D48A3" w:rsidP="00062C0B">
      <w:pPr>
        <w:spacing w:after="160"/>
        <w:ind w:right="-2"/>
        <w:rPr>
          <w:rFonts w:ascii="Gotham Book" w:eastAsia="Source Sans Pro Light" w:hAnsi="Gotham Book" w:cs="Helvetica"/>
          <w:lang w:val="en"/>
        </w:rPr>
      </w:pPr>
      <w:r w:rsidRPr="004A3983">
        <w:rPr>
          <w:rFonts w:ascii="Gotham Book" w:eastAsia="Source Sans Pro Light" w:hAnsi="Gotham Book" w:cs="Helvetica"/>
          <w:lang w:val="en"/>
        </w:rPr>
        <w:t>T</w:t>
      </w:r>
      <w:r w:rsidR="00D95621" w:rsidRPr="004A3983">
        <w:rPr>
          <w:rFonts w:ascii="Gotham Book" w:eastAsia="Source Sans Pro Light" w:hAnsi="Gotham Book" w:cs="Helvetica"/>
          <w:lang w:val="en"/>
        </w:rPr>
        <w:t>he NSW Police Force identified issues with reporting mechani</w:t>
      </w:r>
      <w:r w:rsidR="00E037CE" w:rsidRPr="004A3983">
        <w:rPr>
          <w:rFonts w:ascii="Gotham Book" w:eastAsia="Source Sans Pro Light" w:hAnsi="Gotham Book" w:cs="Helvetica"/>
          <w:lang w:val="en"/>
        </w:rPr>
        <w:t>sms and statutory compliance in relation to</w:t>
      </w:r>
      <w:r w:rsidR="00D95621" w:rsidRPr="004A3983">
        <w:rPr>
          <w:rFonts w:ascii="Gotham Book" w:eastAsia="Source Sans Pro Light" w:hAnsi="Gotham Book" w:cs="Helvetica"/>
          <w:lang w:val="en"/>
        </w:rPr>
        <w:t xml:space="preserve"> the Register at </w:t>
      </w:r>
      <w:r w:rsidR="00E925B1" w:rsidRPr="004A3983">
        <w:rPr>
          <w:rFonts w:ascii="Gotham Book" w:eastAsia="Source Sans Pro Light" w:hAnsi="Gotham Book" w:cs="Helvetica"/>
          <w:lang w:val="en"/>
        </w:rPr>
        <w:t>a COMPASS</w:t>
      </w:r>
      <w:r w:rsidR="00D95621" w:rsidRPr="004A3983">
        <w:rPr>
          <w:rFonts w:ascii="Gotham Book" w:eastAsia="Source Sans Pro Light" w:hAnsi="Gotham Book" w:cs="Helvetica"/>
          <w:lang w:val="en"/>
        </w:rPr>
        <w:t xml:space="preserve"> forum</w:t>
      </w:r>
      <w:r w:rsidRPr="004A3983">
        <w:rPr>
          <w:rFonts w:ascii="Gotham Book" w:eastAsia="Source Sans Pro Light" w:hAnsi="Gotham Book" w:cs="Helvetica"/>
          <w:lang w:val="en"/>
        </w:rPr>
        <w:t xml:space="preserve"> in 2015</w:t>
      </w:r>
      <w:r w:rsidR="00D95621" w:rsidRPr="004A3983">
        <w:rPr>
          <w:rFonts w:ascii="Gotham Book" w:eastAsia="Source Sans Pro Light" w:hAnsi="Gotham Book" w:cs="Helvetica"/>
          <w:lang w:val="en"/>
        </w:rPr>
        <w:t>.</w:t>
      </w:r>
      <w:r w:rsidR="00D95621" w:rsidRPr="004A3983">
        <w:rPr>
          <w:rStyle w:val="FootnoteReference"/>
          <w:rFonts w:ascii="Gotham Book" w:eastAsia="Source Sans Pro Light" w:hAnsi="Gotham Book" w:cs="Helvetica"/>
          <w:lang w:val="en"/>
        </w:rPr>
        <w:footnoteReference w:id="579"/>
      </w:r>
      <w:r w:rsidR="00D95621" w:rsidRPr="004A3983">
        <w:rPr>
          <w:rFonts w:ascii="Gotham Book" w:eastAsia="Source Sans Pro Light" w:hAnsi="Gotham Book" w:cs="Helvetica"/>
          <w:lang w:val="en"/>
        </w:rPr>
        <w:t xml:space="preserve"> Recommendations from this forum led to changes in how the NSW Police Force recor</w:t>
      </w:r>
      <w:r w:rsidR="005F5FCE" w:rsidRPr="004A3983">
        <w:rPr>
          <w:rFonts w:ascii="Gotham Book" w:eastAsia="Source Sans Pro Light" w:hAnsi="Gotham Book" w:cs="Helvetica"/>
          <w:lang w:val="en"/>
        </w:rPr>
        <w:t>ded Register-related activities; from July</w:t>
      </w:r>
      <w:r w:rsidR="00D95621" w:rsidRPr="004A3983">
        <w:rPr>
          <w:rFonts w:ascii="Gotham Book" w:hAnsi="Gotham Book"/>
          <w:lang w:val="en"/>
        </w:rPr>
        <w:t xml:space="preserve"> 2015 </w:t>
      </w:r>
      <w:r w:rsidR="005F5FCE" w:rsidRPr="004A3983">
        <w:rPr>
          <w:rFonts w:ascii="Gotham Book" w:hAnsi="Gotham Book"/>
          <w:lang w:val="en"/>
        </w:rPr>
        <w:t>these activities were recorded in COMPASS, rather tha</w:t>
      </w:r>
      <w:r w:rsidR="002E0DBB" w:rsidRPr="004A3983">
        <w:rPr>
          <w:rFonts w:ascii="Gotham Book" w:hAnsi="Gotham Book"/>
          <w:lang w:val="en"/>
        </w:rPr>
        <w:t>n</w:t>
      </w:r>
      <w:r w:rsidR="005F5FCE" w:rsidRPr="004A3983">
        <w:rPr>
          <w:rFonts w:ascii="Gotham Book" w:hAnsi="Gotham Book"/>
          <w:lang w:val="en"/>
        </w:rPr>
        <w:t xml:space="preserve"> the</w:t>
      </w:r>
      <w:r w:rsidR="00D95621" w:rsidRPr="004A3983">
        <w:rPr>
          <w:rFonts w:ascii="Gotham Book" w:hAnsi="Gotham Book"/>
          <w:lang w:val="en"/>
        </w:rPr>
        <w:t xml:space="preserve"> Command Management Framework.</w:t>
      </w:r>
      <w:r w:rsidR="00147F93" w:rsidRPr="004A3983">
        <w:rPr>
          <w:rStyle w:val="FootnoteReference"/>
          <w:rFonts w:ascii="Gotham Book" w:hAnsi="Gotham Book"/>
          <w:lang w:val="en"/>
        </w:rPr>
        <w:footnoteReference w:id="580"/>
      </w:r>
      <w:r w:rsidR="00D95621" w:rsidRPr="004A3983">
        <w:rPr>
          <w:rFonts w:ascii="Gotham Book" w:hAnsi="Gotham Book"/>
          <w:lang w:val="en"/>
        </w:rPr>
        <w:t xml:space="preserve"> </w:t>
      </w:r>
    </w:p>
    <w:p w14:paraId="7F8932A0" w14:textId="7D2A3DEF" w:rsidR="00D95621" w:rsidRPr="004A3983" w:rsidRDefault="00D95621" w:rsidP="00062C0B">
      <w:pPr>
        <w:spacing w:after="160"/>
        <w:ind w:right="-2"/>
        <w:rPr>
          <w:rFonts w:ascii="Gotham Book" w:eastAsia="Source Sans Pro Light" w:hAnsi="Gotham Book" w:cs="Helvetica"/>
          <w:lang w:val="en"/>
        </w:rPr>
      </w:pPr>
      <w:r w:rsidRPr="004A3983">
        <w:rPr>
          <w:rFonts w:ascii="Gotham Book" w:eastAsia="Source Sans Pro Light" w:hAnsi="Gotham Book" w:cs="Helvetica"/>
          <w:lang w:val="en"/>
        </w:rPr>
        <w:t>Following these changes the Registry started producing a monthly report in COMPASS collating key performance indicators and providing it to the Senior Executive team,</w:t>
      </w:r>
      <w:r w:rsidRPr="004A3983" w:rsidDel="009E57F7">
        <w:rPr>
          <w:rFonts w:ascii="Gotham Book" w:eastAsia="Source Sans Pro Light" w:hAnsi="Gotham Book" w:cs="Helvetica"/>
          <w:lang w:val="en"/>
        </w:rPr>
        <w:t xml:space="preserve"> </w:t>
      </w:r>
      <w:r w:rsidRPr="004A3983">
        <w:rPr>
          <w:rFonts w:ascii="Gotham Book" w:eastAsia="Source Sans Pro Light" w:hAnsi="Gotham Book" w:cs="Helvetica"/>
          <w:lang w:val="en"/>
        </w:rPr>
        <w:t>region c</w:t>
      </w:r>
      <w:r w:rsidR="00033DF7" w:rsidRPr="004A3983">
        <w:rPr>
          <w:rFonts w:ascii="Gotham Book" w:eastAsia="Source Sans Pro Light" w:hAnsi="Gotham Book" w:cs="Helvetica"/>
          <w:lang w:val="en"/>
        </w:rPr>
        <w:t>ommanders</w:t>
      </w:r>
      <w:r w:rsidRPr="004A3983">
        <w:rPr>
          <w:rFonts w:ascii="Gotham Book" w:eastAsia="Source Sans Pro Light" w:hAnsi="Gotham Book" w:cs="Helvetica"/>
          <w:lang w:val="en"/>
        </w:rPr>
        <w:t xml:space="preserve"> and local commanders.</w:t>
      </w:r>
      <w:r w:rsidR="00977056" w:rsidRPr="004A3983">
        <w:rPr>
          <w:rStyle w:val="FootnoteReference"/>
          <w:rFonts w:ascii="Gotham Book" w:eastAsia="Source Sans Pro Light" w:hAnsi="Gotham Book" w:cs="Helvetica"/>
          <w:lang w:val="en"/>
        </w:rPr>
        <w:footnoteReference w:id="581"/>
      </w:r>
      <w:r w:rsidRPr="004A3983">
        <w:rPr>
          <w:rFonts w:ascii="Gotham Book" w:eastAsia="Source Sans Pro Light" w:hAnsi="Gotham Book" w:cs="Helvetica"/>
          <w:lang w:val="en"/>
        </w:rPr>
        <w:t xml:space="preserve"> The dataset in COMPASS is sourced from COPS and includes registrable persons who have failed to make an initial or subsequent report to police, and registrable persons whose DNA has not been collected. </w:t>
      </w:r>
    </w:p>
    <w:p w14:paraId="2E2FA8E2" w14:textId="7F0808DB" w:rsidR="00D95621" w:rsidRPr="004A3983" w:rsidRDefault="00D95621" w:rsidP="00062C0B">
      <w:pPr>
        <w:spacing w:after="160"/>
        <w:ind w:right="-2"/>
        <w:rPr>
          <w:rFonts w:ascii="Gotham Book" w:eastAsia="Source Sans Pro Light" w:hAnsi="Gotham Book" w:cs="Helvetica"/>
          <w:lang w:val="en"/>
        </w:rPr>
      </w:pPr>
      <w:r w:rsidRPr="004A3983">
        <w:rPr>
          <w:rFonts w:ascii="Gotham Book" w:eastAsia="Source Sans Pro Light" w:hAnsi="Gotham Book" w:cs="Helvetica"/>
          <w:lang w:val="en"/>
        </w:rPr>
        <w:t>While the Registry is the unit in the NSW Police Force with expertise in Register-related functions and activities, it has no role in monitoring local commands’ compliance with the CPOR Act beyond collating the performance data for the monthly reports.</w:t>
      </w:r>
      <w:r w:rsidR="00147F93" w:rsidRPr="004A3983">
        <w:rPr>
          <w:rStyle w:val="FootnoteReference"/>
          <w:rFonts w:ascii="Gotham Book" w:eastAsia="Source Sans Pro Light" w:hAnsi="Gotham Book" w:cs="Helvetica"/>
          <w:lang w:val="en"/>
        </w:rPr>
        <w:footnoteReference w:id="582"/>
      </w:r>
      <w:r w:rsidR="00426928" w:rsidRPr="004A3983">
        <w:rPr>
          <w:rFonts w:ascii="Gotham Book" w:eastAsia="Source Sans Pro Light" w:hAnsi="Gotham Book" w:cs="Helvetica"/>
          <w:lang w:val="en"/>
        </w:rPr>
        <w:t xml:space="preserve"> Analysis of this data could</w:t>
      </w:r>
      <w:r w:rsidRPr="004A3983">
        <w:rPr>
          <w:rFonts w:ascii="Gotham Book" w:eastAsia="Source Sans Pro Light" w:hAnsi="Gotham Book" w:cs="Helvetica"/>
          <w:lang w:val="en"/>
        </w:rPr>
        <w:t xml:space="preserve"> </w:t>
      </w:r>
      <w:r w:rsidR="00D83A76" w:rsidRPr="004A3983">
        <w:rPr>
          <w:rFonts w:ascii="Gotham Book" w:eastAsia="Source Sans Pro Light" w:hAnsi="Gotham Book" w:cs="Helvetica"/>
          <w:lang w:val="en"/>
        </w:rPr>
        <w:t>help</w:t>
      </w:r>
      <w:r w:rsidRPr="004A3983">
        <w:rPr>
          <w:rFonts w:ascii="Gotham Book" w:eastAsia="Source Sans Pro Light" w:hAnsi="Gotham Book" w:cs="Helvetica"/>
          <w:lang w:val="en"/>
        </w:rPr>
        <w:t xml:space="preserve"> identify whether local commands are compliant with their responsibilities under the CPOR Act, however, the Registry has not had the resources to undertake this </w:t>
      </w:r>
      <w:r w:rsidR="00B9510F" w:rsidRPr="004A3983">
        <w:rPr>
          <w:rFonts w:ascii="Gotham Book" w:eastAsia="Source Sans Pro Light" w:hAnsi="Gotham Book" w:cs="Helvetica"/>
          <w:lang w:val="en"/>
        </w:rPr>
        <w:t xml:space="preserve">kind of </w:t>
      </w:r>
      <w:r w:rsidRPr="004A3983">
        <w:rPr>
          <w:rFonts w:ascii="Gotham Book" w:eastAsia="Source Sans Pro Light" w:hAnsi="Gotham Book" w:cs="Helvetica"/>
          <w:lang w:val="en"/>
        </w:rPr>
        <w:t>analysis</w:t>
      </w:r>
      <w:r w:rsidR="00D75836" w:rsidRPr="004A3983">
        <w:rPr>
          <w:rFonts w:ascii="Gotham Book" w:eastAsia="Source Sans Pro Light" w:hAnsi="Gotham Book" w:cs="Helvetica"/>
          <w:lang w:val="en"/>
        </w:rPr>
        <w:t>,</w:t>
      </w:r>
      <w:r w:rsidR="00D75836" w:rsidRPr="004A3983">
        <w:rPr>
          <w:rStyle w:val="FootnoteReference"/>
          <w:rFonts w:ascii="Gotham Book" w:eastAsia="Source Sans Pro Light" w:hAnsi="Gotham Book" w:cs="Helvetica"/>
          <w:lang w:val="en"/>
        </w:rPr>
        <w:footnoteReference w:id="583"/>
      </w:r>
      <w:r w:rsidRPr="004A3983">
        <w:rPr>
          <w:rFonts w:ascii="Gotham Book" w:eastAsia="Source Sans Pro Light" w:hAnsi="Gotham Book" w:cs="Helvetica"/>
          <w:lang w:val="en"/>
        </w:rPr>
        <w:t xml:space="preserve"> and </w:t>
      </w:r>
      <w:r w:rsidR="004B7B2B" w:rsidRPr="004A3983">
        <w:rPr>
          <w:rFonts w:ascii="Gotham Book" w:eastAsia="Source Sans Pro Light" w:hAnsi="Gotham Book" w:cs="Helvetica"/>
          <w:lang w:val="en"/>
        </w:rPr>
        <w:t>in any event</w:t>
      </w:r>
      <w:r w:rsidRPr="004A3983">
        <w:rPr>
          <w:rFonts w:ascii="Gotham Book" w:eastAsia="Source Sans Pro Light" w:hAnsi="Gotham Book" w:cs="Helvetica"/>
          <w:lang w:val="en"/>
        </w:rPr>
        <w:t>, it has no ‘line-command’ supervisory responsibility to ensure local commands act on its recommendations.</w:t>
      </w:r>
      <w:r w:rsidR="00147F93" w:rsidRPr="004A3983">
        <w:rPr>
          <w:rStyle w:val="FootnoteReference"/>
          <w:rFonts w:ascii="Gotham Book" w:eastAsia="Source Sans Pro Light" w:hAnsi="Gotham Book" w:cs="Helvetica"/>
          <w:lang w:val="en"/>
        </w:rPr>
        <w:footnoteReference w:id="584"/>
      </w:r>
    </w:p>
    <w:p w14:paraId="3376015B" w14:textId="07BC7BC5" w:rsidR="00D95621" w:rsidRPr="004A3983" w:rsidRDefault="00D95621" w:rsidP="00062C0B">
      <w:pPr>
        <w:spacing w:after="160"/>
        <w:ind w:right="-2"/>
        <w:rPr>
          <w:rFonts w:ascii="Gotham Book" w:eastAsia="Source Sans Pro Light" w:hAnsi="Gotham Book" w:cs="Helvetica"/>
          <w:b/>
          <w:lang w:val="en"/>
        </w:rPr>
      </w:pPr>
      <w:r w:rsidRPr="004A3983">
        <w:rPr>
          <w:rFonts w:ascii="Gotham Book" w:eastAsia="Source Sans Pro Light" w:hAnsi="Gotham Book" w:cs="Helvetica"/>
          <w:lang w:val="en"/>
        </w:rPr>
        <w:t>In addition, COMPASS targets</w:t>
      </w:r>
      <w:r w:rsidR="00F2598B" w:rsidRPr="004A3983">
        <w:rPr>
          <w:rFonts w:ascii="Gotham Book" w:eastAsia="Source Sans Pro Light" w:hAnsi="Gotham Book" w:cs="Helvetica"/>
          <w:lang w:val="en"/>
        </w:rPr>
        <w:t xml:space="preserve"> are set </w:t>
      </w:r>
      <w:r w:rsidR="002B4CAB" w:rsidRPr="004A3983">
        <w:rPr>
          <w:rFonts w:ascii="Gotham Book" w:eastAsia="Source Sans Pro Light" w:hAnsi="Gotham Book" w:cs="Helvetica"/>
          <w:lang w:val="en"/>
        </w:rPr>
        <w:t>by the Planning T</w:t>
      </w:r>
      <w:r w:rsidR="00F2598B" w:rsidRPr="004A3983">
        <w:rPr>
          <w:rFonts w:ascii="Gotham Book" w:eastAsia="Source Sans Pro Light" w:hAnsi="Gotham Book" w:cs="Helvetica"/>
          <w:lang w:val="en"/>
        </w:rPr>
        <w:t>eam</w:t>
      </w:r>
      <w:r w:rsidRPr="004A3983">
        <w:rPr>
          <w:rFonts w:ascii="Gotham Book" w:eastAsia="Source Sans Pro Light" w:hAnsi="Gotham Book" w:cs="Helvetica"/>
          <w:lang w:val="en"/>
        </w:rPr>
        <w:t xml:space="preserve"> of the </w:t>
      </w:r>
      <w:r w:rsidR="00F2598B" w:rsidRPr="004A3983">
        <w:rPr>
          <w:rFonts w:ascii="Gotham Book" w:eastAsia="Source Sans Pro Light" w:hAnsi="Gotham Book" w:cs="Helvetica"/>
          <w:lang w:val="en"/>
        </w:rPr>
        <w:t xml:space="preserve">NSW Police Force </w:t>
      </w:r>
      <w:r w:rsidRPr="004A3983">
        <w:rPr>
          <w:rFonts w:ascii="Gotham Book" w:eastAsia="Source Sans Pro Light" w:hAnsi="Gotham Book" w:cs="Helvetica"/>
          <w:lang w:val="en"/>
        </w:rPr>
        <w:t>Performan</w:t>
      </w:r>
      <w:r w:rsidR="00F2598B" w:rsidRPr="004A3983">
        <w:rPr>
          <w:rFonts w:ascii="Gotham Book" w:eastAsia="Source Sans Pro Light" w:hAnsi="Gotham Book" w:cs="Helvetica"/>
          <w:lang w:val="en"/>
        </w:rPr>
        <w:t xml:space="preserve">ce and Program Support Command </w:t>
      </w:r>
      <w:r w:rsidRPr="004A3983">
        <w:rPr>
          <w:rFonts w:ascii="Gotham Book" w:eastAsia="Source Sans Pro Light" w:hAnsi="Gotham Book" w:cs="Helvetica"/>
          <w:lang w:val="en"/>
        </w:rPr>
        <w:t>based on risk assessment and corporate plan priorities</w:t>
      </w:r>
      <w:r w:rsidR="000853C9" w:rsidRPr="004A3983">
        <w:rPr>
          <w:rFonts w:ascii="Gotham Book" w:eastAsia="Source Sans Pro Light" w:hAnsi="Gotham Book" w:cs="Helvetica"/>
          <w:lang w:val="en"/>
        </w:rPr>
        <w:t xml:space="preserve">. It does not appear that </w:t>
      </w:r>
      <w:r w:rsidR="002B4CAB" w:rsidRPr="004A3983">
        <w:rPr>
          <w:rFonts w:ascii="Gotham Book" w:eastAsia="Source Sans Pro Light" w:hAnsi="Gotham Book" w:cs="Helvetica"/>
          <w:lang w:val="en"/>
        </w:rPr>
        <w:t>the Planning T</w:t>
      </w:r>
      <w:r w:rsidR="002C375A" w:rsidRPr="004A3983">
        <w:rPr>
          <w:rFonts w:ascii="Gotham Book" w:eastAsia="Source Sans Pro Light" w:hAnsi="Gotham Book" w:cs="Helvetica"/>
          <w:lang w:val="en"/>
        </w:rPr>
        <w:t xml:space="preserve">eam seeks the </w:t>
      </w:r>
      <w:r w:rsidR="000853C9" w:rsidRPr="004A3983">
        <w:rPr>
          <w:rFonts w:ascii="Gotham Book" w:eastAsia="Source Sans Pro Light" w:hAnsi="Gotham Book" w:cs="Helvetica"/>
          <w:lang w:val="en"/>
        </w:rPr>
        <w:lastRenderedPageBreak/>
        <w:t>Registry</w:t>
      </w:r>
      <w:r w:rsidR="002C375A" w:rsidRPr="004A3983">
        <w:rPr>
          <w:rFonts w:ascii="Gotham Book" w:eastAsia="Source Sans Pro Light" w:hAnsi="Gotham Book" w:cs="Helvetica"/>
          <w:lang w:val="en"/>
        </w:rPr>
        <w:t>’s</w:t>
      </w:r>
      <w:r w:rsidR="000853C9" w:rsidRPr="004A3983">
        <w:rPr>
          <w:rFonts w:ascii="Gotham Book" w:eastAsia="Source Sans Pro Light" w:hAnsi="Gotham Book" w:cs="Helvetica"/>
          <w:lang w:val="en"/>
        </w:rPr>
        <w:t xml:space="preserve"> input prior to determining the</w:t>
      </w:r>
      <w:r w:rsidRPr="004A3983">
        <w:rPr>
          <w:rFonts w:ascii="Gotham Book" w:eastAsia="Source Sans Pro Light" w:hAnsi="Gotham Book" w:cs="Helvetica"/>
          <w:lang w:val="en"/>
        </w:rPr>
        <w:t xml:space="preserve"> targets for local command</w:t>
      </w:r>
      <w:r w:rsidR="00216EF2" w:rsidRPr="004A3983">
        <w:rPr>
          <w:rFonts w:ascii="Gotham Book" w:eastAsia="Source Sans Pro Light" w:hAnsi="Gotham Book" w:cs="Helvetica"/>
          <w:lang w:val="en"/>
        </w:rPr>
        <w:t>s</w:t>
      </w:r>
      <w:r w:rsidRPr="004A3983">
        <w:rPr>
          <w:rFonts w:ascii="Gotham Book" w:eastAsia="Source Sans Pro Light" w:hAnsi="Gotham Book" w:cs="Helvetica"/>
          <w:lang w:val="en"/>
        </w:rPr>
        <w:t xml:space="preserve"> in relation to their res</w:t>
      </w:r>
      <w:r w:rsidR="000853C9" w:rsidRPr="004A3983">
        <w:rPr>
          <w:rFonts w:ascii="Gotham Book" w:eastAsia="Source Sans Pro Light" w:hAnsi="Gotham Book" w:cs="Helvetica"/>
          <w:lang w:val="en"/>
        </w:rPr>
        <w:t>ponsibilities for the Register.</w:t>
      </w:r>
      <w:r w:rsidRPr="004A3983">
        <w:rPr>
          <w:rStyle w:val="FootnoteReference"/>
          <w:rFonts w:ascii="Gotham Book" w:eastAsia="Source Sans Pro Light" w:hAnsi="Gotham Book" w:cs="Helvetica"/>
          <w:lang w:val="en"/>
        </w:rPr>
        <w:footnoteReference w:id="585"/>
      </w:r>
    </w:p>
    <w:p w14:paraId="25107B75" w14:textId="6A8095C8" w:rsidR="00D95621" w:rsidRPr="004A3983" w:rsidRDefault="00D95621" w:rsidP="00062C0B">
      <w:pPr>
        <w:spacing w:after="160"/>
        <w:ind w:right="-2"/>
        <w:rPr>
          <w:rFonts w:ascii="Gotham Book" w:eastAsia="Source Sans Pro Light" w:hAnsi="Gotham Book" w:cs="Helvetica"/>
          <w:lang w:val="en"/>
        </w:rPr>
      </w:pPr>
      <w:r w:rsidRPr="004A3983">
        <w:rPr>
          <w:rFonts w:ascii="Gotham Book" w:eastAsia="Source Sans Pro Light" w:hAnsi="Gotham Book" w:cs="Helvetica"/>
          <w:lang w:val="en"/>
        </w:rPr>
        <w:t xml:space="preserve">In light of the complexity and ambiguity present in the statutory framework, and the risks associated with the administration of the Register, it appears prudent for the NSW Police Force to leverage the </w:t>
      </w:r>
      <w:r w:rsidR="001047A5" w:rsidRPr="004A3983">
        <w:rPr>
          <w:rFonts w:ascii="Gotham Book" w:eastAsia="Source Sans Pro Light" w:hAnsi="Gotham Book" w:cs="Helvetica"/>
          <w:lang w:val="en"/>
        </w:rPr>
        <w:t xml:space="preserve">Registry’s </w:t>
      </w:r>
      <w:r w:rsidRPr="004A3983">
        <w:rPr>
          <w:rFonts w:ascii="Gotham Book" w:eastAsia="Source Sans Pro Light" w:hAnsi="Gotham Book" w:cs="Helvetica"/>
          <w:lang w:val="en"/>
        </w:rPr>
        <w:t xml:space="preserve">expertise to identify compliance risks and improve practice in local commands.  This may also </w:t>
      </w:r>
      <w:r w:rsidR="00465AA0" w:rsidRPr="004A3983">
        <w:rPr>
          <w:rFonts w:ascii="Gotham Book" w:eastAsia="Source Sans Pro Light" w:hAnsi="Gotham Book" w:cs="Helvetica"/>
          <w:lang w:val="en"/>
        </w:rPr>
        <w:t>help</w:t>
      </w:r>
      <w:r w:rsidRPr="004A3983">
        <w:rPr>
          <w:rFonts w:ascii="Gotham Book" w:eastAsia="Source Sans Pro Light" w:hAnsi="Gotham Book" w:cs="Helvetica"/>
          <w:lang w:val="en"/>
        </w:rPr>
        <w:t xml:space="preserve"> to ensure consistency, identify local innovation</w:t>
      </w:r>
      <w:r w:rsidR="00033684" w:rsidRPr="004A3983">
        <w:rPr>
          <w:rFonts w:ascii="Gotham Book" w:eastAsia="Source Sans Pro Light" w:hAnsi="Gotham Book" w:cs="Helvetica"/>
          <w:lang w:val="en"/>
        </w:rPr>
        <w:t>,</w:t>
      </w:r>
      <w:r w:rsidRPr="004A3983">
        <w:rPr>
          <w:rFonts w:ascii="Gotham Book" w:eastAsia="Source Sans Pro Light" w:hAnsi="Gotham Book" w:cs="Helvetica"/>
          <w:lang w:val="en"/>
        </w:rPr>
        <w:t xml:space="preserve"> and implement </w:t>
      </w:r>
      <w:r w:rsidR="000C467B" w:rsidRPr="004A3983">
        <w:rPr>
          <w:rFonts w:ascii="Gotham Book" w:eastAsia="Source Sans Pro Light" w:hAnsi="Gotham Book" w:cs="Helvetica"/>
          <w:lang w:val="en"/>
        </w:rPr>
        <w:t>best practice across the state.</w:t>
      </w:r>
    </w:p>
    <w:p w14:paraId="7D365F44" w14:textId="692E19CA" w:rsidR="00D95621" w:rsidRPr="004A3983" w:rsidRDefault="00D95621" w:rsidP="00062C0B">
      <w:pPr>
        <w:spacing w:after="160"/>
        <w:ind w:right="-2"/>
        <w:rPr>
          <w:rFonts w:ascii="Gotham Book" w:eastAsia="Source Sans Pro Light" w:hAnsi="Gotham Book" w:cs="Helvetica"/>
          <w:lang w:val="en"/>
        </w:rPr>
      </w:pPr>
      <w:r w:rsidRPr="004A3983">
        <w:rPr>
          <w:rFonts w:ascii="Gotham Book" w:eastAsia="Source Sans Pro Light" w:hAnsi="Gotham Book" w:cs="Helvetica"/>
          <w:lang w:val="en"/>
        </w:rPr>
        <w:t xml:space="preserve">The </w:t>
      </w:r>
      <w:r w:rsidR="009A241B" w:rsidRPr="004A3983">
        <w:rPr>
          <w:rFonts w:ascii="Gotham Book" w:eastAsia="Source Sans Pro Light" w:hAnsi="Gotham Book" w:cs="Helvetica"/>
          <w:lang w:val="en"/>
        </w:rPr>
        <w:t xml:space="preserve">Registry Manager has </w:t>
      </w:r>
      <w:r w:rsidR="004A6DC3" w:rsidRPr="004A3983">
        <w:rPr>
          <w:rFonts w:ascii="Gotham Book" w:eastAsia="Source Sans Pro Light" w:hAnsi="Gotham Book" w:cs="Helvetica"/>
          <w:lang w:val="en"/>
        </w:rPr>
        <w:t>explored the governance frameworks in place in other police jurisdictions</w:t>
      </w:r>
      <w:r w:rsidR="00C24A92" w:rsidRPr="004A3983">
        <w:rPr>
          <w:rFonts w:ascii="Gotham Book" w:eastAsia="Source Sans Pro Light" w:hAnsi="Gotham Book" w:cs="Helvetica"/>
          <w:lang w:val="en"/>
        </w:rPr>
        <w:t xml:space="preserve"> that have offender registers</w:t>
      </w:r>
      <w:r w:rsidR="003E58AC" w:rsidRPr="004A3983">
        <w:rPr>
          <w:rFonts w:ascii="Gotham Book" w:eastAsia="Source Sans Pro Light" w:hAnsi="Gotham Book" w:cs="Helvetica"/>
          <w:lang w:val="en"/>
        </w:rPr>
        <w:t>.</w:t>
      </w:r>
      <w:r w:rsidR="003E58AC" w:rsidRPr="004A3983">
        <w:rPr>
          <w:rStyle w:val="FootnoteReference"/>
          <w:rFonts w:ascii="Gotham Book" w:eastAsia="Source Sans Pro Light" w:hAnsi="Gotham Book" w:cs="Helvetica"/>
          <w:lang w:val="en"/>
        </w:rPr>
        <w:footnoteReference w:id="586"/>
      </w:r>
      <w:r w:rsidR="004A6DC3" w:rsidRPr="004A3983">
        <w:rPr>
          <w:rFonts w:ascii="Gotham Book" w:eastAsia="Source Sans Pro Light" w:hAnsi="Gotham Book" w:cs="Helvetica"/>
          <w:lang w:val="en"/>
        </w:rPr>
        <w:t xml:space="preserve"> </w:t>
      </w:r>
      <w:r w:rsidR="003E58AC" w:rsidRPr="004A3983">
        <w:rPr>
          <w:rFonts w:ascii="Gotham Book" w:eastAsia="Source Sans Pro Light" w:hAnsi="Gotham Book" w:cs="Helvetica"/>
          <w:lang w:val="en"/>
        </w:rPr>
        <w:t>He</w:t>
      </w:r>
      <w:r w:rsidR="004A6DC3" w:rsidRPr="004A3983">
        <w:rPr>
          <w:rFonts w:ascii="Gotham Book" w:eastAsia="Source Sans Pro Light" w:hAnsi="Gotham Book" w:cs="Helvetica"/>
          <w:lang w:val="en"/>
        </w:rPr>
        <w:t xml:space="preserve"> has </w:t>
      </w:r>
      <w:r w:rsidR="009A241B" w:rsidRPr="004A3983">
        <w:rPr>
          <w:rFonts w:ascii="Gotham Book" w:eastAsia="Source Sans Pro Light" w:hAnsi="Gotham Book" w:cs="Helvetica"/>
          <w:lang w:val="en"/>
        </w:rPr>
        <w:t>proposed</w:t>
      </w:r>
      <w:r w:rsidRPr="004A3983">
        <w:rPr>
          <w:rFonts w:ascii="Gotham Book" w:eastAsia="Source Sans Pro Light" w:hAnsi="Gotham Book" w:cs="Helvetica"/>
          <w:lang w:val="en"/>
        </w:rPr>
        <w:t xml:space="preserve"> two relevant models </w:t>
      </w:r>
      <w:r w:rsidR="004A6DC3" w:rsidRPr="004A3983">
        <w:rPr>
          <w:rFonts w:ascii="Gotham Book" w:eastAsia="Source Sans Pro Light" w:hAnsi="Gotham Book" w:cs="Helvetica"/>
          <w:lang w:val="en"/>
        </w:rPr>
        <w:t xml:space="preserve">for the NSW Police Force </w:t>
      </w:r>
      <w:r w:rsidR="00BF1083" w:rsidRPr="004A3983">
        <w:rPr>
          <w:rFonts w:ascii="Gotham Book" w:eastAsia="Source Sans Pro Light" w:hAnsi="Gotham Book" w:cs="Helvetica"/>
          <w:lang w:val="en"/>
        </w:rPr>
        <w:t>which could</w:t>
      </w:r>
      <w:r w:rsidRPr="004A3983">
        <w:rPr>
          <w:rFonts w:ascii="Gotham Book" w:eastAsia="Source Sans Pro Light" w:hAnsi="Gotham Book" w:cs="Helvetica"/>
          <w:lang w:val="en"/>
        </w:rPr>
        <w:t xml:space="preserve"> support the performance of Register-related activities in local commands. The first model </w:t>
      </w:r>
      <w:r w:rsidR="00021A59" w:rsidRPr="004A3983">
        <w:rPr>
          <w:rFonts w:ascii="Gotham Book" w:eastAsia="Source Sans Pro Light" w:hAnsi="Gotham Book" w:cs="Helvetica"/>
          <w:lang w:val="en"/>
        </w:rPr>
        <w:t>would involve</w:t>
      </w:r>
      <w:r w:rsidRPr="004A3983">
        <w:rPr>
          <w:rFonts w:ascii="Gotham Book" w:eastAsia="Source Sans Pro Light" w:hAnsi="Gotham Book" w:cs="Helvetica"/>
          <w:lang w:val="en"/>
        </w:rPr>
        <w:t xml:space="preserve"> the creation of a Child Protection Register Committee </w:t>
      </w:r>
      <w:r w:rsidR="0049597D" w:rsidRPr="004A3983">
        <w:rPr>
          <w:rFonts w:ascii="Gotham Book" w:eastAsia="Source Sans Pro Light" w:hAnsi="Gotham Book" w:cs="Helvetica"/>
          <w:lang w:val="en"/>
        </w:rPr>
        <w:t xml:space="preserve">or </w:t>
      </w:r>
      <w:r w:rsidR="00021A59" w:rsidRPr="004A3983">
        <w:rPr>
          <w:rFonts w:ascii="Gotham Book" w:eastAsia="Source Sans Pro Light" w:hAnsi="Gotham Book" w:cs="Helvetica"/>
          <w:lang w:val="en"/>
        </w:rPr>
        <w:t>‘</w:t>
      </w:r>
      <w:r w:rsidR="0049597D" w:rsidRPr="004A3983">
        <w:rPr>
          <w:rFonts w:ascii="Gotham Book" w:eastAsia="Source Sans Pro Light" w:hAnsi="Gotham Book" w:cs="Helvetica"/>
          <w:lang w:val="en"/>
        </w:rPr>
        <w:t>Governance Board</w:t>
      </w:r>
      <w:r w:rsidR="00021A59" w:rsidRPr="004A3983">
        <w:rPr>
          <w:rFonts w:ascii="Gotham Book" w:eastAsia="Source Sans Pro Light" w:hAnsi="Gotham Book" w:cs="Helvetica"/>
          <w:lang w:val="en"/>
        </w:rPr>
        <w:t>’</w:t>
      </w:r>
      <w:r w:rsidR="0049597D" w:rsidRPr="004A3983">
        <w:rPr>
          <w:rFonts w:ascii="Gotham Book" w:eastAsia="Source Sans Pro Light" w:hAnsi="Gotham Book" w:cs="Helvetica"/>
          <w:lang w:val="en"/>
        </w:rPr>
        <w:t xml:space="preserve"> </w:t>
      </w:r>
      <w:r w:rsidRPr="004A3983">
        <w:rPr>
          <w:rFonts w:ascii="Gotham Book" w:eastAsia="Source Sans Pro Light" w:hAnsi="Gotham Book" w:cs="Helvetica"/>
          <w:lang w:val="en"/>
        </w:rPr>
        <w:t>chaired by the Commander of the State Crime Command and including commanders from local comman</w:t>
      </w:r>
      <w:r w:rsidR="001427BA" w:rsidRPr="004A3983">
        <w:rPr>
          <w:rFonts w:ascii="Gotham Book" w:eastAsia="Source Sans Pro Light" w:hAnsi="Gotham Book" w:cs="Helvetica"/>
          <w:lang w:val="en"/>
        </w:rPr>
        <w:t>ds and the Registry Manager</w:t>
      </w:r>
      <w:r w:rsidRPr="004A3983">
        <w:rPr>
          <w:rFonts w:ascii="Gotham Book" w:eastAsia="Source Sans Pro Light" w:hAnsi="Gotham Book" w:cs="Helvetica"/>
          <w:lang w:val="en"/>
        </w:rPr>
        <w:t>.</w:t>
      </w:r>
      <w:r w:rsidR="001427BA" w:rsidRPr="004A3983">
        <w:rPr>
          <w:rStyle w:val="FootnoteReference"/>
          <w:rFonts w:ascii="Gotham Book" w:eastAsia="Source Sans Pro Light" w:hAnsi="Gotham Book" w:cs="Helvetica"/>
          <w:lang w:val="en"/>
        </w:rPr>
        <w:footnoteReference w:id="587"/>
      </w:r>
      <w:r w:rsidRPr="004A3983">
        <w:rPr>
          <w:rFonts w:ascii="Gotham Book" w:eastAsia="Source Sans Pro Light" w:hAnsi="Gotham Book" w:cs="Helvetica"/>
          <w:lang w:val="en"/>
        </w:rPr>
        <w:t xml:space="preserve"> This </w:t>
      </w:r>
      <w:r w:rsidR="00C23FE4" w:rsidRPr="004A3983">
        <w:rPr>
          <w:rFonts w:ascii="Gotham Book" w:eastAsia="Source Sans Pro Light" w:hAnsi="Gotham Book" w:cs="Helvetica"/>
          <w:lang w:val="en"/>
        </w:rPr>
        <w:t>Committee or</w:t>
      </w:r>
      <w:r w:rsidR="00EE104E" w:rsidRPr="004A3983">
        <w:rPr>
          <w:rFonts w:ascii="Gotham Book" w:eastAsia="Source Sans Pro Light" w:hAnsi="Gotham Book" w:cs="Helvetica"/>
          <w:lang w:val="en"/>
        </w:rPr>
        <w:t xml:space="preserve"> Governance Board could meet quarterly or every six months, and </w:t>
      </w:r>
      <w:r w:rsidR="00021A59" w:rsidRPr="004A3983">
        <w:rPr>
          <w:rFonts w:ascii="Gotham Book" w:eastAsia="Source Sans Pro Light" w:hAnsi="Gotham Book" w:cs="Helvetica"/>
          <w:lang w:val="en"/>
        </w:rPr>
        <w:t>could provide</w:t>
      </w:r>
      <w:r w:rsidRPr="004A3983">
        <w:rPr>
          <w:rFonts w:ascii="Gotham Book" w:eastAsia="Source Sans Pro Light" w:hAnsi="Gotham Book" w:cs="Helvetica"/>
          <w:lang w:val="en"/>
        </w:rPr>
        <w:t xml:space="preserve"> a forum for senior police officers</w:t>
      </w:r>
      <w:r w:rsidR="00021A59" w:rsidRPr="004A3983">
        <w:rPr>
          <w:rFonts w:ascii="Gotham Book" w:eastAsia="Source Sans Pro Light" w:hAnsi="Gotham Book" w:cs="Helvetica"/>
          <w:lang w:val="en"/>
        </w:rPr>
        <w:t>,</w:t>
      </w:r>
      <w:r w:rsidRPr="004A3983">
        <w:rPr>
          <w:rFonts w:ascii="Gotham Book" w:eastAsia="Source Sans Pro Light" w:hAnsi="Gotham Book" w:cs="Helvetica"/>
          <w:lang w:val="en"/>
        </w:rPr>
        <w:t xml:space="preserve"> informed by subject matter experts</w:t>
      </w:r>
      <w:r w:rsidR="00021A59" w:rsidRPr="004A3983">
        <w:rPr>
          <w:rFonts w:ascii="Gotham Book" w:eastAsia="Source Sans Pro Light" w:hAnsi="Gotham Book" w:cs="Helvetica"/>
          <w:lang w:val="en"/>
        </w:rPr>
        <w:t>,</w:t>
      </w:r>
      <w:r w:rsidRPr="004A3983">
        <w:rPr>
          <w:rFonts w:ascii="Gotham Book" w:eastAsia="Source Sans Pro Light" w:hAnsi="Gotham Book" w:cs="Helvetica"/>
          <w:lang w:val="en"/>
        </w:rPr>
        <w:t xml:space="preserve"> to monitor and address emerging compliance issues within local commands</w:t>
      </w:r>
      <w:r w:rsidR="00C958AF" w:rsidRPr="004A3983">
        <w:rPr>
          <w:rFonts w:ascii="Gotham Book" w:eastAsia="Source Sans Pro Light" w:hAnsi="Gotham Book" w:cs="Helvetica"/>
          <w:lang w:val="en"/>
        </w:rPr>
        <w:t>,</w:t>
      </w:r>
      <w:r w:rsidRPr="004A3983">
        <w:rPr>
          <w:rFonts w:ascii="Gotham Book" w:eastAsia="Source Sans Pro Light" w:hAnsi="Gotham Book" w:cs="Helvetica"/>
          <w:lang w:val="en"/>
        </w:rPr>
        <w:t xml:space="preserve"> and for the Registry to support commands to address these issues and implement best practice. </w:t>
      </w:r>
    </w:p>
    <w:p w14:paraId="7D106CAB" w14:textId="13C39FC0" w:rsidR="00D95621" w:rsidRPr="004A3983" w:rsidRDefault="00D95621" w:rsidP="00062C0B">
      <w:pPr>
        <w:spacing w:after="160"/>
        <w:ind w:right="-2"/>
        <w:rPr>
          <w:rFonts w:ascii="Gotham Book" w:eastAsia="Source Sans Pro Light" w:hAnsi="Gotham Book" w:cs="Helvetica"/>
          <w:lang w:val="en"/>
        </w:rPr>
      </w:pPr>
      <w:r w:rsidRPr="004A3983">
        <w:rPr>
          <w:rFonts w:ascii="Gotham Book" w:eastAsia="Source Sans Pro Light" w:hAnsi="Gotham Book" w:cs="Helvetica"/>
          <w:lang w:val="en"/>
        </w:rPr>
        <w:t xml:space="preserve">Alternatively, the second model </w:t>
      </w:r>
      <w:r w:rsidR="00876CF7" w:rsidRPr="004A3983">
        <w:rPr>
          <w:rFonts w:ascii="Gotham Book" w:eastAsia="Source Sans Pro Light" w:hAnsi="Gotham Book" w:cs="Helvetica"/>
          <w:lang w:val="en"/>
        </w:rPr>
        <w:t>would involve</w:t>
      </w:r>
      <w:r w:rsidRPr="004A3983">
        <w:rPr>
          <w:rFonts w:ascii="Gotham Book" w:eastAsia="Source Sans Pro Light" w:hAnsi="Gotham Book" w:cs="Helvetica"/>
          <w:lang w:val="en"/>
        </w:rPr>
        <w:t xml:space="preserve"> the creation of a Child Protection Register Compliance Unit </w:t>
      </w:r>
      <w:r w:rsidR="00876CF7" w:rsidRPr="004A3983">
        <w:rPr>
          <w:rFonts w:ascii="Gotham Book" w:eastAsia="Source Sans Pro Light" w:hAnsi="Gotham Book" w:cs="Helvetica"/>
          <w:lang w:val="en"/>
        </w:rPr>
        <w:t xml:space="preserve">in </w:t>
      </w:r>
      <w:r w:rsidRPr="004A3983">
        <w:rPr>
          <w:rFonts w:ascii="Gotham Book" w:eastAsia="Source Sans Pro Light" w:hAnsi="Gotham Book" w:cs="Helvetica"/>
          <w:lang w:val="en"/>
        </w:rPr>
        <w:t>each police region</w:t>
      </w:r>
      <w:r w:rsidR="00876CF7" w:rsidRPr="004A3983">
        <w:rPr>
          <w:rFonts w:ascii="Gotham Book" w:eastAsia="Source Sans Pro Light" w:hAnsi="Gotham Book" w:cs="Helvetica"/>
          <w:lang w:val="en"/>
        </w:rPr>
        <w:t>,</w:t>
      </w:r>
      <w:r w:rsidRPr="004A3983">
        <w:rPr>
          <w:rFonts w:ascii="Gotham Book" w:eastAsia="Source Sans Pro Light" w:hAnsi="Gotham Book" w:cs="Helvetica"/>
          <w:lang w:val="en"/>
        </w:rPr>
        <w:t xml:space="preserve"> supported by dedicated Registry staff.</w:t>
      </w:r>
      <w:r w:rsidR="00511483" w:rsidRPr="004A3983">
        <w:rPr>
          <w:rStyle w:val="FootnoteReference"/>
          <w:rFonts w:ascii="Gotham Book" w:eastAsia="Source Sans Pro Light" w:hAnsi="Gotham Book" w:cs="Helvetica"/>
          <w:lang w:val="en"/>
        </w:rPr>
        <w:footnoteReference w:id="588"/>
      </w:r>
      <w:r w:rsidRPr="004A3983">
        <w:rPr>
          <w:rFonts w:ascii="Gotham Book" w:eastAsia="Source Sans Pro Light" w:hAnsi="Gotham Book" w:cs="Helvetica"/>
          <w:lang w:val="en"/>
        </w:rPr>
        <w:t xml:space="preserve"> The Compliance Unit could monitor compliance by the local commands within each region to ensure effective and consistent management of registrable persons across that region. Compliance Units could assist local commands to comply with all the obligations under the CPOR Act in relation to the collection of personal information of registrable persons, implement proactive strategies, and lead case reviews of matters where, for example, registrable persons are charged with a further registrable offence while on the Register.</w:t>
      </w:r>
      <w:r w:rsidR="00BE6A5B" w:rsidRPr="004A3983">
        <w:rPr>
          <w:rStyle w:val="FootnoteReference"/>
          <w:rFonts w:ascii="Gotham Book" w:eastAsia="Source Sans Pro Light" w:hAnsi="Gotham Book" w:cs="Helvetica"/>
          <w:lang w:val="en"/>
        </w:rPr>
        <w:footnoteReference w:id="589"/>
      </w:r>
      <w:r w:rsidRPr="004A3983">
        <w:rPr>
          <w:rFonts w:ascii="Gotham Book" w:eastAsia="Source Sans Pro Light" w:hAnsi="Gotham Book" w:cs="Helvetica"/>
          <w:lang w:val="en"/>
        </w:rPr>
        <w:t xml:space="preserve"> </w:t>
      </w:r>
    </w:p>
    <w:p w14:paraId="581F5F3B" w14:textId="4B688788" w:rsidR="00773480" w:rsidRPr="004A3983" w:rsidRDefault="00240120" w:rsidP="000D2319">
      <w:pPr>
        <w:pStyle w:val="RecommendationHeadings"/>
        <w:spacing w:after="160"/>
        <w:ind w:right="-2"/>
        <w:rPr>
          <w:lang w:val="en"/>
        </w:rPr>
      </w:pPr>
      <w:bookmarkStart w:id="515" w:name="_Toc22277347"/>
      <w:r w:rsidRPr="004A3983">
        <w:rPr>
          <w:b/>
          <w:lang w:val="en"/>
        </w:rPr>
        <w:t xml:space="preserve">Implement a </w:t>
      </w:r>
      <w:r w:rsidR="00786735" w:rsidRPr="004A3983">
        <w:rPr>
          <w:b/>
          <w:lang w:val="en"/>
        </w:rPr>
        <w:t xml:space="preserve">Child Protection </w:t>
      </w:r>
      <w:r w:rsidR="00DC53BF" w:rsidRPr="004A3983">
        <w:rPr>
          <w:b/>
          <w:lang w:val="en"/>
        </w:rPr>
        <w:t>Register governance f</w:t>
      </w:r>
      <w:r w:rsidR="00B855BE" w:rsidRPr="004A3983">
        <w:rPr>
          <w:b/>
          <w:lang w:val="en"/>
        </w:rPr>
        <w:t>ramework</w:t>
      </w:r>
      <w:r w:rsidR="00B855BE" w:rsidRPr="004A3983">
        <w:rPr>
          <w:lang w:val="en"/>
        </w:rPr>
        <w:t xml:space="preserve">. </w:t>
      </w:r>
      <w:r w:rsidR="00D95621" w:rsidRPr="004A3983">
        <w:rPr>
          <w:lang w:val="en"/>
        </w:rPr>
        <w:t xml:space="preserve">The NSW Police Force develop and implement a governance framework to ensure compliance by all </w:t>
      </w:r>
      <w:r w:rsidR="00EB385B" w:rsidRPr="004A3983">
        <w:rPr>
          <w:lang w:val="en"/>
        </w:rPr>
        <w:t xml:space="preserve">local </w:t>
      </w:r>
      <w:r w:rsidR="00D95621" w:rsidRPr="004A3983">
        <w:rPr>
          <w:lang w:val="en"/>
        </w:rPr>
        <w:t xml:space="preserve">commands </w:t>
      </w:r>
      <w:r w:rsidR="000223B0" w:rsidRPr="004A3983">
        <w:rPr>
          <w:lang w:val="en"/>
        </w:rPr>
        <w:t>across New South Wales</w:t>
      </w:r>
      <w:r w:rsidR="00D95621" w:rsidRPr="004A3983">
        <w:rPr>
          <w:lang w:val="en"/>
        </w:rPr>
        <w:t xml:space="preserve"> with the statutory framework for the Register. This framework should:</w:t>
      </w:r>
      <w:bookmarkEnd w:id="515"/>
    </w:p>
    <w:p w14:paraId="2C77344A" w14:textId="0C319F42" w:rsidR="00D95621" w:rsidRPr="004A3983" w:rsidRDefault="00D95621" w:rsidP="00E07380">
      <w:pPr>
        <w:pStyle w:val="ListBullet"/>
        <w:rPr>
          <w:lang w:val="en"/>
        </w:rPr>
      </w:pPr>
      <w:bookmarkStart w:id="516" w:name="_Toc22277348"/>
      <w:r w:rsidRPr="004A3983">
        <w:rPr>
          <w:lang w:val="en"/>
        </w:rPr>
        <w:t xml:space="preserve">leverage the </w:t>
      </w:r>
      <w:r w:rsidR="00883BE7" w:rsidRPr="004A3983">
        <w:rPr>
          <w:lang w:val="en"/>
        </w:rPr>
        <w:t>expertise of the Child Protection Registry</w:t>
      </w:r>
      <w:r w:rsidRPr="004A3983">
        <w:rPr>
          <w:lang w:val="en"/>
        </w:rPr>
        <w:t xml:space="preserve"> to support local commands and provide quality assurance</w:t>
      </w:r>
      <w:r w:rsidR="009F0FC0" w:rsidRPr="004A3983">
        <w:rPr>
          <w:lang w:val="en"/>
        </w:rPr>
        <w:t>;</w:t>
      </w:r>
      <w:bookmarkEnd w:id="516"/>
    </w:p>
    <w:p w14:paraId="741DC9DB" w14:textId="77777777" w:rsidR="00D95621" w:rsidRPr="004A3983" w:rsidRDefault="00D95621" w:rsidP="00E07380">
      <w:pPr>
        <w:pStyle w:val="ListBullet"/>
        <w:rPr>
          <w:lang w:val="en"/>
        </w:rPr>
      </w:pPr>
      <w:bookmarkStart w:id="517" w:name="_Toc22277349"/>
      <w:r w:rsidRPr="004A3983">
        <w:rPr>
          <w:lang w:val="en"/>
        </w:rPr>
        <w:lastRenderedPageBreak/>
        <w:t>ensure that emerging compliance risks are identified and addressed, and</w:t>
      </w:r>
      <w:bookmarkEnd w:id="517"/>
    </w:p>
    <w:p w14:paraId="4980845B" w14:textId="5D09041D" w:rsidR="00245069" w:rsidRPr="004A3983" w:rsidRDefault="00D95621" w:rsidP="00E07380">
      <w:pPr>
        <w:pStyle w:val="ListBullet"/>
        <w:rPr>
          <w:lang w:val="en"/>
        </w:rPr>
      </w:pPr>
      <w:bookmarkStart w:id="518" w:name="_Toc22277350"/>
      <w:r w:rsidRPr="004A3983">
        <w:rPr>
          <w:lang w:val="en"/>
        </w:rPr>
        <w:t>contain appropriate reporting mechanisms to ensure future accountability.</w:t>
      </w:r>
      <w:bookmarkEnd w:id="518"/>
    </w:p>
    <w:p w14:paraId="58FA6CDF" w14:textId="471212AA" w:rsidR="0083178B" w:rsidRPr="004A3983" w:rsidRDefault="0083178B" w:rsidP="000D2319">
      <w:pPr>
        <w:spacing w:after="160"/>
        <w:rPr>
          <w:lang w:val="en"/>
        </w:rPr>
      </w:pPr>
      <w:r w:rsidRPr="004A3983">
        <w:rPr>
          <w:b/>
          <w:lang w:val="en"/>
        </w:rPr>
        <w:t>NSW Police Force response to Recommendation 10:</w:t>
      </w:r>
      <w:r w:rsidRPr="004A3983">
        <w:rPr>
          <w:lang w:val="en"/>
        </w:rPr>
        <w:t xml:space="preserve"> The NSW Police Force stated that it supports this recommendation.</w:t>
      </w:r>
      <w:r w:rsidRPr="004A3983">
        <w:rPr>
          <w:rStyle w:val="FootnoteReference"/>
          <w:lang w:val="en"/>
        </w:rPr>
        <w:footnoteReference w:id="590"/>
      </w:r>
    </w:p>
    <w:p w14:paraId="1DAD9962" w14:textId="0C45A1D5" w:rsidR="00D95621" w:rsidRPr="004A3983" w:rsidRDefault="00FF528C" w:rsidP="00062C0B">
      <w:pPr>
        <w:pStyle w:val="Heading2"/>
        <w:spacing w:after="160"/>
        <w:ind w:right="-2"/>
      </w:pPr>
      <w:bookmarkStart w:id="519" w:name="_Ref9928992"/>
      <w:bookmarkStart w:id="520" w:name="_Toc22627840"/>
      <w:r>
        <w:t>I</w:t>
      </w:r>
      <w:r w:rsidR="00245069" w:rsidRPr="004A3983">
        <w:t>ndependent monitoring of compliance</w:t>
      </w:r>
      <w:bookmarkEnd w:id="519"/>
      <w:bookmarkEnd w:id="520"/>
    </w:p>
    <w:p w14:paraId="694470E2" w14:textId="47DCF705" w:rsidR="00D15F2E" w:rsidRPr="004A3983" w:rsidRDefault="00D15F2E" w:rsidP="00062C0B">
      <w:pPr>
        <w:spacing w:after="160"/>
        <w:ind w:right="-2"/>
        <w:rPr>
          <w:rFonts w:ascii="Gotham Book" w:hAnsi="Gotham Book"/>
        </w:rPr>
      </w:pPr>
      <w:r w:rsidRPr="004A3983">
        <w:rPr>
          <w:rFonts w:ascii="Gotham Book" w:hAnsi="Gotham Book"/>
        </w:rPr>
        <w:t>There is no</w:t>
      </w:r>
      <w:r w:rsidR="004F7534">
        <w:rPr>
          <w:rFonts w:ascii="Gotham Book" w:hAnsi="Gotham Book"/>
        </w:rPr>
        <w:t xml:space="preserve"> provision in the CPOR Act for</w:t>
      </w:r>
      <w:r w:rsidRPr="004A3983">
        <w:rPr>
          <w:rFonts w:ascii="Gotham Book" w:hAnsi="Gotham Book"/>
        </w:rPr>
        <w:t xml:space="preserve"> </w:t>
      </w:r>
      <w:r w:rsidR="008953D1" w:rsidRPr="004A3983">
        <w:rPr>
          <w:rFonts w:ascii="Gotham Book" w:hAnsi="Gotham Book"/>
        </w:rPr>
        <w:t>independent monitoring of NSW Police Force</w:t>
      </w:r>
      <w:r w:rsidRPr="004A3983">
        <w:rPr>
          <w:rFonts w:ascii="Gotham Book" w:hAnsi="Gotham Book"/>
        </w:rPr>
        <w:t xml:space="preserve"> compliance with </w:t>
      </w:r>
      <w:r w:rsidR="004F7534">
        <w:rPr>
          <w:rFonts w:ascii="Gotham Book" w:hAnsi="Gotham Book"/>
        </w:rPr>
        <w:t>the statutory framework for the Register</w:t>
      </w:r>
      <w:r w:rsidRPr="004A3983">
        <w:rPr>
          <w:rFonts w:ascii="Gotham Book" w:hAnsi="Gotham Book"/>
        </w:rPr>
        <w:t xml:space="preserve">. Operation Tusket has confirmed that </w:t>
      </w:r>
      <w:r w:rsidR="00AB33F1" w:rsidRPr="004A3983">
        <w:rPr>
          <w:rFonts w:ascii="Gotham Book" w:hAnsi="Gotham Book"/>
        </w:rPr>
        <w:t xml:space="preserve">there have been </w:t>
      </w:r>
      <w:r w:rsidRPr="004A3983">
        <w:rPr>
          <w:rFonts w:ascii="Gotham Book" w:hAnsi="Gotham Book"/>
        </w:rPr>
        <w:t xml:space="preserve">serious compliance issues </w:t>
      </w:r>
      <w:r w:rsidR="00AB33F1" w:rsidRPr="004A3983">
        <w:rPr>
          <w:rFonts w:ascii="Gotham Book" w:hAnsi="Gotham Book"/>
        </w:rPr>
        <w:t>with</w:t>
      </w:r>
      <w:r w:rsidRPr="004A3983">
        <w:rPr>
          <w:rFonts w:ascii="Gotham Book" w:hAnsi="Gotham Book"/>
        </w:rPr>
        <w:t xml:space="preserve"> the Register for many years</w:t>
      </w:r>
      <w:r w:rsidR="00AB33F1" w:rsidRPr="004A3983">
        <w:rPr>
          <w:rFonts w:ascii="Gotham Book" w:hAnsi="Gotham Book"/>
        </w:rPr>
        <w:t>,</w:t>
      </w:r>
      <w:r w:rsidRPr="004A3983">
        <w:rPr>
          <w:rFonts w:ascii="Gotham Book" w:hAnsi="Gotham Book"/>
        </w:rPr>
        <w:t xml:space="preserve"> resulting in a variety of consequences including child sex offenders being unmonitored in the community, persons being wrongly convicted and imprisoned for breaching reporting obligations </w:t>
      </w:r>
      <w:r w:rsidR="00082F0E" w:rsidRPr="004A3983">
        <w:rPr>
          <w:rFonts w:ascii="Gotham Book" w:hAnsi="Gotham Book"/>
        </w:rPr>
        <w:t xml:space="preserve">under the CPOR Act </w:t>
      </w:r>
      <w:r w:rsidRPr="004A3983">
        <w:rPr>
          <w:rFonts w:ascii="Gotham Book" w:hAnsi="Gotham Book"/>
        </w:rPr>
        <w:t>which did not as a matter of law apply to</w:t>
      </w:r>
      <w:r w:rsidR="00E07380">
        <w:rPr>
          <w:rFonts w:ascii="Gotham Book" w:hAnsi="Gotham Book"/>
        </w:rPr>
        <w:t> </w:t>
      </w:r>
      <w:r w:rsidRPr="004A3983">
        <w:rPr>
          <w:rFonts w:ascii="Gotham Book" w:hAnsi="Gotham Book"/>
        </w:rPr>
        <w:t>them, and the consequent risk of successful civil</w:t>
      </w:r>
      <w:r w:rsidR="00FB28C2" w:rsidRPr="004A3983">
        <w:rPr>
          <w:rFonts w:ascii="Gotham Book" w:hAnsi="Gotham Book"/>
        </w:rPr>
        <w:t xml:space="preserve"> claims against the State of New</w:t>
      </w:r>
      <w:r w:rsidR="00E07380">
        <w:rPr>
          <w:rFonts w:ascii="Gotham Book" w:hAnsi="Gotham Book"/>
        </w:rPr>
        <w:t> </w:t>
      </w:r>
      <w:r w:rsidR="00FB28C2" w:rsidRPr="004A3983">
        <w:rPr>
          <w:rFonts w:ascii="Gotham Book" w:hAnsi="Gotham Book"/>
        </w:rPr>
        <w:t>South Wales</w:t>
      </w:r>
      <w:r w:rsidRPr="004A3983">
        <w:rPr>
          <w:rFonts w:ascii="Gotham Book" w:hAnsi="Gotham Book"/>
        </w:rPr>
        <w:t>.</w:t>
      </w:r>
    </w:p>
    <w:p w14:paraId="23B9E605" w14:textId="0242840C" w:rsidR="001C20D3" w:rsidRPr="004A3983" w:rsidRDefault="001C20D3" w:rsidP="00062C0B">
      <w:pPr>
        <w:pStyle w:val="Heading3"/>
        <w:spacing w:after="160"/>
        <w:ind w:right="-2"/>
      </w:pPr>
      <w:bookmarkStart w:id="521" w:name="_Toc8913581"/>
      <w:bookmarkStart w:id="522" w:name="_Toc9428441"/>
      <w:bookmarkStart w:id="523" w:name="_Toc12020393"/>
      <w:bookmarkStart w:id="524" w:name="_Toc14790559"/>
      <w:bookmarkStart w:id="525" w:name="_Toc15478442"/>
      <w:bookmarkStart w:id="526" w:name="_Toc22627841"/>
      <w:r w:rsidRPr="004A3983">
        <w:t>The experience in Victoria</w:t>
      </w:r>
      <w:bookmarkEnd w:id="521"/>
      <w:bookmarkEnd w:id="522"/>
      <w:bookmarkEnd w:id="523"/>
      <w:bookmarkEnd w:id="524"/>
      <w:bookmarkEnd w:id="525"/>
      <w:bookmarkEnd w:id="526"/>
    </w:p>
    <w:p w14:paraId="4CC0000E" w14:textId="09D9C5CA" w:rsidR="001C20D3" w:rsidRPr="004A3983" w:rsidRDefault="001C20D3" w:rsidP="00062C0B">
      <w:pPr>
        <w:spacing w:after="160"/>
        <w:ind w:right="-2"/>
        <w:rPr>
          <w:rFonts w:ascii="Gotham Book" w:hAnsi="Gotham Book"/>
        </w:rPr>
      </w:pPr>
      <w:r w:rsidRPr="004A3983">
        <w:rPr>
          <w:rFonts w:ascii="Gotham Book" w:hAnsi="Gotham Book"/>
        </w:rPr>
        <w:t xml:space="preserve">New South Wales is not the only jurisdiction to experience </w:t>
      </w:r>
      <w:r w:rsidR="00EA584D" w:rsidRPr="004A3983">
        <w:rPr>
          <w:rFonts w:ascii="Gotham Book" w:hAnsi="Gotham Book"/>
        </w:rPr>
        <w:t>significant problems</w:t>
      </w:r>
      <w:r w:rsidRPr="004A3983">
        <w:rPr>
          <w:rFonts w:ascii="Gotham Book" w:hAnsi="Gotham Book"/>
        </w:rPr>
        <w:t xml:space="preserve"> in the</w:t>
      </w:r>
      <w:r w:rsidR="00E07380">
        <w:rPr>
          <w:rFonts w:ascii="Gotham Book" w:hAnsi="Gotham Book"/>
        </w:rPr>
        <w:t> </w:t>
      </w:r>
      <w:r w:rsidRPr="004A3983">
        <w:rPr>
          <w:rFonts w:ascii="Gotham Book" w:hAnsi="Gotham Book"/>
        </w:rPr>
        <w:t>administra</w:t>
      </w:r>
      <w:r w:rsidR="00FB28C2" w:rsidRPr="004A3983">
        <w:rPr>
          <w:rFonts w:ascii="Gotham Book" w:hAnsi="Gotham Book"/>
        </w:rPr>
        <w:t>tion of its sex offender regist</w:t>
      </w:r>
      <w:r w:rsidRPr="004A3983">
        <w:rPr>
          <w:rFonts w:ascii="Gotham Book" w:hAnsi="Gotham Book"/>
        </w:rPr>
        <w:t>r</w:t>
      </w:r>
      <w:r w:rsidR="00FB28C2" w:rsidRPr="004A3983">
        <w:rPr>
          <w:rFonts w:ascii="Gotham Book" w:hAnsi="Gotham Book"/>
        </w:rPr>
        <w:t>ation scheme</w:t>
      </w:r>
      <w:r w:rsidRPr="004A3983">
        <w:rPr>
          <w:rFonts w:ascii="Gotham Book" w:hAnsi="Gotham Book"/>
        </w:rPr>
        <w:t>. In 2011, following a large investigation, the Victor</w:t>
      </w:r>
      <w:r w:rsidR="00FB28C2" w:rsidRPr="004A3983">
        <w:rPr>
          <w:rFonts w:ascii="Gotham Book" w:hAnsi="Gotham Book"/>
        </w:rPr>
        <w:t>ian Ombudsman reported there had been</w:t>
      </w:r>
      <w:r w:rsidRPr="004A3983">
        <w:rPr>
          <w:rFonts w:ascii="Gotham Book" w:hAnsi="Gotham Book"/>
        </w:rPr>
        <w:t xml:space="preserve"> ‘a systemic breakdown in the management of registered sex offenders’ in Victoria with children exposed to an unacceptable risk of harm from registered sex offenders.</w:t>
      </w:r>
      <w:r w:rsidRPr="004A3983">
        <w:rPr>
          <w:rStyle w:val="FootnoteReference"/>
          <w:rFonts w:ascii="Gotham Book" w:hAnsi="Gotham Book"/>
        </w:rPr>
        <w:footnoteReference w:id="591"/>
      </w:r>
      <w:r w:rsidRPr="004A3983">
        <w:rPr>
          <w:rFonts w:ascii="Gotham Book" w:hAnsi="Gotham Book"/>
        </w:rPr>
        <w:t xml:space="preserve"> The Victorian Ombudsman reported this systemic breakdown resulted from a number of factors including ‘inadequate commitment to the Sex Offenders Register by Victoria Police, partly due to a lack of resources’.</w:t>
      </w:r>
      <w:r w:rsidRPr="004A3983">
        <w:rPr>
          <w:rStyle w:val="FootnoteReference"/>
          <w:rFonts w:ascii="Gotham Book" w:hAnsi="Gotham Book"/>
        </w:rPr>
        <w:footnoteReference w:id="592"/>
      </w:r>
      <w:r w:rsidRPr="004A3983">
        <w:rPr>
          <w:rFonts w:ascii="Gotham Book" w:hAnsi="Gotham Book"/>
        </w:rPr>
        <w:t xml:space="preserve"> </w:t>
      </w:r>
    </w:p>
    <w:p w14:paraId="2BDCADAA" w14:textId="3045E74B" w:rsidR="001C20D3" w:rsidRPr="004A3983" w:rsidRDefault="001C20D3" w:rsidP="00062C0B">
      <w:pPr>
        <w:spacing w:after="160"/>
        <w:ind w:right="-2"/>
        <w:rPr>
          <w:rFonts w:ascii="Gotham Book" w:hAnsi="Gotham Book"/>
        </w:rPr>
      </w:pPr>
      <w:r w:rsidRPr="008D000E">
        <w:rPr>
          <w:rFonts w:ascii="Gotham Book" w:hAnsi="Gotham Book"/>
        </w:rPr>
        <w:t xml:space="preserve">In 2016 the </w:t>
      </w:r>
      <w:r w:rsidR="00FB28C2" w:rsidRPr="008D000E">
        <w:rPr>
          <w:rFonts w:ascii="Gotham Book" w:hAnsi="Gotham Book"/>
          <w:i/>
        </w:rPr>
        <w:t>Sex Offenders Registration Act 2004</w:t>
      </w:r>
      <w:r w:rsidR="00FB28C2" w:rsidRPr="008D000E">
        <w:rPr>
          <w:rFonts w:ascii="Gotham Book" w:hAnsi="Gotham Book"/>
        </w:rPr>
        <w:t xml:space="preserve"> (Vic) (the Victorian Act)</w:t>
      </w:r>
      <w:r w:rsidRPr="008D000E">
        <w:rPr>
          <w:rFonts w:ascii="Gotham Book" w:hAnsi="Gotham Book"/>
        </w:rPr>
        <w:t xml:space="preserve"> was amended to introduce a statutory requirement for the Independent Broad-based Anti-corruption Commission (IBAC) to </w:t>
      </w:r>
      <w:r w:rsidR="006150E9" w:rsidRPr="008D000E">
        <w:rPr>
          <w:rFonts w:ascii="Gotham Book" w:hAnsi="Gotham Book"/>
        </w:rPr>
        <w:t>monitor the</w:t>
      </w:r>
      <w:r w:rsidR="008D000E" w:rsidRPr="008D000E">
        <w:rPr>
          <w:rFonts w:ascii="Gotham Book" w:hAnsi="Gotham Book"/>
        </w:rPr>
        <w:t xml:space="preserve"> maintenance of the</w:t>
      </w:r>
      <w:r w:rsidR="006150E9" w:rsidRPr="008D000E">
        <w:rPr>
          <w:rFonts w:ascii="Gotham Book" w:hAnsi="Gotham Book"/>
        </w:rPr>
        <w:t xml:space="preserve"> </w:t>
      </w:r>
      <w:r w:rsidRPr="008D000E">
        <w:rPr>
          <w:rFonts w:ascii="Gotham Book" w:hAnsi="Gotham Book"/>
        </w:rPr>
        <w:t>Sex Offender Register by Victoria Police.</w:t>
      </w:r>
      <w:r w:rsidRPr="008D000E">
        <w:rPr>
          <w:rStyle w:val="FootnoteReference"/>
          <w:rFonts w:ascii="Gotham Book" w:hAnsi="Gotham Book"/>
        </w:rPr>
        <w:footnoteReference w:id="593"/>
      </w:r>
      <w:r w:rsidRPr="008D000E">
        <w:rPr>
          <w:rFonts w:ascii="Gotham Book" w:hAnsi="Gotham Book"/>
        </w:rPr>
        <w:t xml:space="preserve"> The</w:t>
      </w:r>
      <w:r w:rsidRPr="004A3983">
        <w:rPr>
          <w:rFonts w:ascii="Gotham Book" w:hAnsi="Gotham Book"/>
        </w:rPr>
        <w:t xml:space="preserve"> IBAC now monitors police compliance with certain parts of the Victorian Act, including the provisions </w:t>
      </w:r>
      <w:r w:rsidR="00011F55">
        <w:t>relating to registrable offenders</w:t>
      </w:r>
      <w:r w:rsidR="00011F55">
        <w:rPr>
          <w:rFonts w:ascii="Gotham Book" w:hAnsi="Gotham Book"/>
        </w:rPr>
        <w:t>’</w:t>
      </w:r>
      <w:r w:rsidRPr="004A3983">
        <w:rPr>
          <w:rFonts w:ascii="Gotham Book" w:hAnsi="Gotham Book"/>
        </w:rPr>
        <w:t xml:space="preserve"> reporting</w:t>
      </w:r>
      <w:r w:rsidR="00011F55">
        <w:rPr>
          <w:rFonts w:ascii="Gotham Book" w:hAnsi="Gotham Book"/>
        </w:rPr>
        <w:t xml:space="preserve"> periods and reporting</w:t>
      </w:r>
      <w:r w:rsidRPr="004A3983">
        <w:rPr>
          <w:rFonts w:ascii="Gotham Book" w:hAnsi="Gotham Book"/>
        </w:rPr>
        <w:t xml:space="preserve"> obligations. The IBAC has developed a</w:t>
      </w:r>
      <w:r w:rsidR="00F86EC9">
        <w:rPr>
          <w:rFonts w:ascii="Gotham Book" w:hAnsi="Gotham Book"/>
        </w:rPr>
        <w:t xml:space="preserve"> methodology that enables </w:t>
      </w:r>
      <w:r w:rsidRPr="004A3983">
        <w:rPr>
          <w:rFonts w:ascii="Gotham Book" w:hAnsi="Gotham Book"/>
        </w:rPr>
        <w:t xml:space="preserve">audits </w:t>
      </w:r>
      <w:r w:rsidR="00F86EC9">
        <w:rPr>
          <w:rFonts w:ascii="Gotham Book" w:hAnsi="Gotham Book"/>
        </w:rPr>
        <w:t xml:space="preserve">of </w:t>
      </w:r>
      <w:r w:rsidR="009C030C">
        <w:rPr>
          <w:rFonts w:ascii="Gotham Book" w:hAnsi="Gotham Book"/>
        </w:rPr>
        <w:t xml:space="preserve">relevant </w:t>
      </w:r>
      <w:r w:rsidR="00F86EC9">
        <w:rPr>
          <w:rFonts w:ascii="Gotham Book" w:hAnsi="Gotham Book"/>
        </w:rPr>
        <w:t xml:space="preserve">records held by Victoria Police </w:t>
      </w:r>
      <w:r w:rsidRPr="004A3983">
        <w:rPr>
          <w:rFonts w:ascii="Gotham Book" w:hAnsi="Gotham Book"/>
        </w:rPr>
        <w:t>to be con</w:t>
      </w:r>
      <w:r w:rsidR="003C3F54">
        <w:rPr>
          <w:rFonts w:ascii="Gotham Book" w:hAnsi="Gotham Book"/>
        </w:rPr>
        <w:t>ducted within a reasonable time</w:t>
      </w:r>
      <w:r w:rsidRPr="004A3983">
        <w:rPr>
          <w:rFonts w:ascii="Gotham Book" w:hAnsi="Gotham Book"/>
        </w:rPr>
        <w:t>frame and budget. Officers from the IBAC are given the power to ente</w:t>
      </w:r>
      <w:r w:rsidR="00CA1587" w:rsidRPr="004A3983">
        <w:rPr>
          <w:rFonts w:ascii="Gotham Book" w:hAnsi="Gotham Book"/>
        </w:rPr>
        <w:t xml:space="preserve">r Victoria Police premises, to </w:t>
      </w:r>
      <w:r w:rsidRPr="004A3983">
        <w:rPr>
          <w:rFonts w:ascii="Gotham Book" w:hAnsi="Gotham Book"/>
        </w:rPr>
        <w:t xml:space="preserve">inspect and copy documents, and </w:t>
      </w:r>
      <w:r w:rsidR="00CA1587" w:rsidRPr="004A3983">
        <w:rPr>
          <w:rFonts w:ascii="Gotham Book" w:hAnsi="Gotham Book"/>
        </w:rPr>
        <w:t xml:space="preserve">to </w:t>
      </w:r>
      <w:r w:rsidRPr="004A3983">
        <w:rPr>
          <w:rFonts w:ascii="Gotham Book" w:hAnsi="Gotham Book"/>
        </w:rPr>
        <w:t xml:space="preserve">report to the Minister for Police about compliance by Victoria Police with the </w:t>
      </w:r>
      <w:r w:rsidR="00F54582">
        <w:rPr>
          <w:rFonts w:ascii="Gotham Book" w:hAnsi="Gotham Book"/>
        </w:rPr>
        <w:t xml:space="preserve">Victorian </w:t>
      </w:r>
      <w:r w:rsidRPr="004A3983">
        <w:rPr>
          <w:rFonts w:ascii="Gotham Book" w:hAnsi="Gotham Book"/>
        </w:rPr>
        <w:t>Act.</w:t>
      </w:r>
      <w:r w:rsidRPr="004A3983">
        <w:rPr>
          <w:rStyle w:val="FootnoteReference"/>
          <w:rFonts w:ascii="Gotham Book" w:hAnsi="Gotham Book"/>
        </w:rPr>
        <w:footnoteReference w:id="594"/>
      </w:r>
      <w:r w:rsidRPr="004A3983">
        <w:rPr>
          <w:rFonts w:ascii="Gotham Book" w:hAnsi="Gotham Book"/>
        </w:rPr>
        <w:t xml:space="preserve"> </w:t>
      </w:r>
      <w:r w:rsidR="00833B63" w:rsidRPr="004A3983">
        <w:rPr>
          <w:rFonts w:ascii="Gotham Book" w:hAnsi="Gotham Book"/>
        </w:rPr>
        <w:t>The</w:t>
      </w:r>
      <w:r w:rsidRPr="004A3983">
        <w:rPr>
          <w:rFonts w:ascii="Gotham Book" w:hAnsi="Gotham Book"/>
        </w:rPr>
        <w:t xml:space="preserve"> </w:t>
      </w:r>
      <w:r w:rsidRPr="004A3983">
        <w:rPr>
          <w:rFonts w:ascii="Gotham Book" w:hAnsi="Gotham Book"/>
        </w:rPr>
        <w:lastRenderedPageBreak/>
        <w:t>inspection reports</w:t>
      </w:r>
      <w:r w:rsidR="00833B63" w:rsidRPr="004A3983">
        <w:rPr>
          <w:rFonts w:ascii="Gotham Book" w:hAnsi="Gotham Book"/>
        </w:rPr>
        <w:t xml:space="preserve"> produced by the IBAC</w:t>
      </w:r>
      <w:r w:rsidRPr="004A3983">
        <w:rPr>
          <w:rFonts w:ascii="Gotham Book" w:hAnsi="Gotham Book"/>
        </w:rPr>
        <w:t xml:space="preserve"> are also laid before each House of Parliament and subsequently made public.</w:t>
      </w:r>
      <w:r w:rsidRPr="004A3983">
        <w:rPr>
          <w:rStyle w:val="FootnoteReference"/>
          <w:rFonts w:ascii="Gotham Book" w:hAnsi="Gotham Book"/>
        </w:rPr>
        <w:footnoteReference w:id="595"/>
      </w:r>
      <w:r w:rsidRPr="004A3983">
        <w:rPr>
          <w:rFonts w:ascii="Gotham Book" w:hAnsi="Gotham Book"/>
        </w:rPr>
        <w:t xml:space="preserve">  </w:t>
      </w:r>
    </w:p>
    <w:p w14:paraId="1719BE5C" w14:textId="498A25BF" w:rsidR="001C20D3" w:rsidRPr="004A3983" w:rsidRDefault="001C20D3" w:rsidP="00062C0B">
      <w:pPr>
        <w:spacing w:after="160"/>
        <w:ind w:right="-2"/>
        <w:rPr>
          <w:rFonts w:ascii="Gotham Book" w:hAnsi="Gotham Book"/>
        </w:rPr>
      </w:pPr>
      <w:r w:rsidRPr="004A3983">
        <w:rPr>
          <w:rFonts w:ascii="Gotham Book" w:hAnsi="Gotham Book"/>
        </w:rPr>
        <w:t>In addition, under the Victorian Act, the Victorian Chief Commissioner of Police is required ea</w:t>
      </w:r>
      <w:r w:rsidR="0015586E">
        <w:rPr>
          <w:rFonts w:ascii="Gotham Book" w:hAnsi="Gotham Book"/>
        </w:rPr>
        <w:t xml:space="preserve">ch year to report to the </w:t>
      </w:r>
      <w:r w:rsidRPr="004A3983">
        <w:rPr>
          <w:rFonts w:ascii="Gotham Book" w:hAnsi="Gotham Book"/>
        </w:rPr>
        <w:t>Minister</w:t>
      </w:r>
      <w:r w:rsidR="0015586E">
        <w:rPr>
          <w:rFonts w:ascii="Gotham Book" w:hAnsi="Gotham Book"/>
        </w:rPr>
        <w:t xml:space="preserve"> for Police</w:t>
      </w:r>
      <w:r w:rsidRPr="004A3983">
        <w:rPr>
          <w:rFonts w:ascii="Gotham Book" w:hAnsi="Gotham Book"/>
        </w:rPr>
        <w:t xml:space="preserve"> on the total number of registrable offenders, the number of new offenders added to the register, and the number of prohibition orders and registration orders put in place.</w:t>
      </w:r>
      <w:r w:rsidRPr="004A3983">
        <w:rPr>
          <w:rStyle w:val="FootnoteReference"/>
          <w:rFonts w:ascii="Gotham Book" w:hAnsi="Gotham Book"/>
        </w:rPr>
        <w:footnoteReference w:id="596"/>
      </w:r>
      <w:r w:rsidRPr="004A3983">
        <w:rPr>
          <w:rFonts w:ascii="Gotham Book" w:hAnsi="Gotham Book"/>
        </w:rPr>
        <w:t xml:space="preserve"> This provides a measure of</w:t>
      </w:r>
      <w:r w:rsidR="00E07380">
        <w:rPr>
          <w:rFonts w:ascii="Gotham Book" w:hAnsi="Gotham Book"/>
        </w:rPr>
        <w:t> </w:t>
      </w:r>
      <w:r w:rsidRPr="004A3983">
        <w:rPr>
          <w:rFonts w:ascii="Gotham Book" w:hAnsi="Gotham Book"/>
        </w:rPr>
        <w:t xml:space="preserve">public accountability for any increase in resources required and for the use of proactive tools available to police for the management of sex offenders in the community. </w:t>
      </w:r>
    </w:p>
    <w:p w14:paraId="4BF41DB9" w14:textId="2C096A5E" w:rsidR="001C20D3" w:rsidRPr="004A3983" w:rsidRDefault="001F6016" w:rsidP="00062C0B">
      <w:pPr>
        <w:spacing w:after="160"/>
        <w:ind w:right="-2"/>
        <w:rPr>
          <w:rFonts w:ascii="Gotham Book" w:hAnsi="Gotham Book"/>
        </w:rPr>
      </w:pPr>
      <w:r w:rsidRPr="004A3983">
        <w:rPr>
          <w:rFonts w:ascii="Gotham Book" w:hAnsi="Gotham Book"/>
        </w:rPr>
        <w:t>In June 2018 in its</w:t>
      </w:r>
      <w:r w:rsidR="001C20D3" w:rsidRPr="004A3983">
        <w:rPr>
          <w:rFonts w:ascii="Gotham Book" w:hAnsi="Gotham Book"/>
        </w:rPr>
        <w:t xml:space="preserve"> </w:t>
      </w:r>
      <w:r w:rsidRPr="004A3983">
        <w:rPr>
          <w:rFonts w:ascii="Gotham Book" w:hAnsi="Gotham Book"/>
        </w:rPr>
        <w:t>report on the</w:t>
      </w:r>
      <w:r w:rsidR="001C20D3" w:rsidRPr="004A3983">
        <w:rPr>
          <w:rFonts w:ascii="Gotham Book" w:hAnsi="Gotham Book"/>
        </w:rPr>
        <w:t xml:space="preserve"> audit of the Victorian Sex Offenders Register</w:t>
      </w:r>
      <w:r w:rsidRPr="004A3983">
        <w:rPr>
          <w:rFonts w:ascii="Gotham Book" w:hAnsi="Gotham Book"/>
        </w:rPr>
        <w:t>, the IBAC</w:t>
      </w:r>
      <w:r w:rsidR="001C20D3" w:rsidRPr="004A3983">
        <w:rPr>
          <w:rFonts w:ascii="Gotham Book" w:hAnsi="Gotham Book"/>
        </w:rPr>
        <w:t xml:space="preserve"> concluded there was ‘an effective framework for managing governance and operational issues within Victoria Police’</w:t>
      </w:r>
      <w:r w:rsidR="001C20D3" w:rsidRPr="004A3983">
        <w:rPr>
          <w:rStyle w:val="FootnoteReference"/>
          <w:rFonts w:ascii="Gotham Book" w:hAnsi="Gotham Book"/>
        </w:rPr>
        <w:footnoteReference w:id="597"/>
      </w:r>
      <w:r w:rsidR="001C20D3" w:rsidRPr="004A3983">
        <w:rPr>
          <w:rFonts w:ascii="Gotham Book" w:hAnsi="Gotham Book"/>
        </w:rPr>
        <w:t xml:space="preserve"> and that ‘Victoria Police continue to prioritise the work of the Registry in acquitting legislative responsibilities under the Act by continually assessing the workload demands created by the scheme.’</w:t>
      </w:r>
      <w:r w:rsidR="001C20D3" w:rsidRPr="004A3983">
        <w:rPr>
          <w:rStyle w:val="FootnoteReference"/>
          <w:rFonts w:ascii="Gotham Book" w:hAnsi="Gotham Book"/>
        </w:rPr>
        <w:footnoteReference w:id="598"/>
      </w:r>
      <w:r w:rsidR="001C20D3" w:rsidRPr="004A3983">
        <w:rPr>
          <w:rFonts w:ascii="Gotham Book" w:hAnsi="Gotham Book"/>
        </w:rPr>
        <w:t xml:space="preserve"> The IBAC stated Victoria Police were fully or substantially compliant with all audited categories,</w:t>
      </w:r>
      <w:r w:rsidR="001C20D3" w:rsidRPr="004A3983">
        <w:rPr>
          <w:rStyle w:val="FootnoteReference"/>
          <w:rFonts w:ascii="Gotham Book" w:hAnsi="Gotham Book"/>
        </w:rPr>
        <w:footnoteReference w:id="599"/>
      </w:r>
      <w:r w:rsidR="001C20D3" w:rsidRPr="004A3983">
        <w:rPr>
          <w:rFonts w:ascii="Gotham Book" w:hAnsi="Gotham Book"/>
        </w:rPr>
        <w:t xml:space="preserve"> and that</w:t>
      </w:r>
      <w:r w:rsidR="00297E4D">
        <w:rPr>
          <w:rFonts w:ascii="Gotham Book" w:hAnsi="Gotham Book"/>
        </w:rPr>
        <w:t>:</w:t>
      </w:r>
      <w:r w:rsidR="001C20D3" w:rsidRPr="004A3983">
        <w:rPr>
          <w:rFonts w:ascii="Gotham Book" w:hAnsi="Gotham Book"/>
        </w:rPr>
        <w:t xml:space="preserve">  </w:t>
      </w:r>
    </w:p>
    <w:p w14:paraId="6F2515C0" w14:textId="5445904A" w:rsidR="001C20D3" w:rsidRPr="004A3983" w:rsidRDefault="00297E4D" w:rsidP="00E07380">
      <w:pPr>
        <w:pStyle w:val="Quotesmall1cm"/>
      </w:pPr>
      <w:r>
        <w:t>[t]</w:t>
      </w:r>
      <w:r w:rsidR="001C20D3" w:rsidRPr="004A3983">
        <w:t>he open discussions between IBAC and staff at the Sex Offenders’ Registry, as well as</w:t>
      </w:r>
      <w:r w:rsidR="00E07380">
        <w:t> </w:t>
      </w:r>
      <w:r w:rsidR="001C20D3" w:rsidRPr="004A3983">
        <w:t>the Registry’s willingness to engage constructively with IBAC’s oversight function, demonstrate Victoria Police’s continued commitment to meeting its statutory obligations and ensuring best practice…</w:t>
      </w:r>
      <w:r w:rsidR="001C20D3" w:rsidRPr="004A3983">
        <w:rPr>
          <w:rStyle w:val="FootnoteReference"/>
        </w:rPr>
        <w:footnoteReference w:id="600"/>
      </w:r>
    </w:p>
    <w:p w14:paraId="273A3320" w14:textId="2F7B118F" w:rsidR="00D15F2E" w:rsidRPr="004A3983" w:rsidRDefault="001C20D3" w:rsidP="00062C0B">
      <w:pPr>
        <w:pStyle w:val="Heading3"/>
        <w:spacing w:after="160"/>
        <w:ind w:right="-2"/>
      </w:pPr>
      <w:bookmarkStart w:id="527" w:name="_Toc8913582"/>
      <w:bookmarkStart w:id="528" w:name="_Toc9428442"/>
      <w:bookmarkStart w:id="529" w:name="_Toc12020394"/>
      <w:bookmarkStart w:id="530" w:name="_Toc14790560"/>
      <w:bookmarkStart w:id="531" w:name="_Toc15478443"/>
      <w:bookmarkStart w:id="532" w:name="_Toc22627842"/>
      <w:r w:rsidRPr="004A3983">
        <w:t>Previous reviews in New South Wales</w:t>
      </w:r>
      <w:bookmarkEnd w:id="527"/>
      <w:bookmarkEnd w:id="528"/>
      <w:bookmarkEnd w:id="529"/>
      <w:bookmarkEnd w:id="530"/>
      <w:bookmarkEnd w:id="531"/>
      <w:bookmarkEnd w:id="532"/>
    </w:p>
    <w:p w14:paraId="62016FED" w14:textId="101CC601" w:rsidR="001C20D3" w:rsidRPr="004A3983" w:rsidRDefault="001C20D3" w:rsidP="00062C0B">
      <w:pPr>
        <w:spacing w:after="160"/>
        <w:ind w:right="-2"/>
        <w:rPr>
          <w:rFonts w:ascii="Gotham Book" w:hAnsi="Gotham Book"/>
        </w:rPr>
      </w:pPr>
      <w:r w:rsidRPr="004A3983">
        <w:rPr>
          <w:rFonts w:ascii="Gotham Book" w:hAnsi="Gotham Book"/>
        </w:rPr>
        <w:t xml:space="preserve">The CPOR Act has been </w:t>
      </w:r>
      <w:r w:rsidR="00D05335" w:rsidRPr="004A3983">
        <w:rPr>
          <w:rFonts w:ascii="Gotham Book" w:hAnsi="Gotham Book"/>
        </w:rPr>
        <w:t>the subject of</w:t>
      </w:r>
      <w:r w:rsidRPr="004A3983">
        <w:rPr>
          <w:rFonts w:ascii="Gotham Book" w:hAnsi="Gotham Book"/>
        </w:rPr>
        <w:t xml:space="preserve"> a number of independent reviews including a</w:t>
      </w:r>
      <w:r w:rsidR="00E07380">
        <w:rPr>
          <w:rFonts w:ascii="Gotham Book" w:hAnsi="Gotham Book"/>
        </w:rPr>
        <w:t> </w:t>
      </w:r>
      <w:r w:rsidRPr="004A3983">
        <w:rPr>
          <w:rFonts w:ascii="Gotham Book" w:hAnsi="Gotham Book"/>
        </w:rPr>
        <w:t>review of the operation of the first two years of the Act by the NSW Ombudsman completed in 2005,</w:t>
      </w:r>
      <w:r w:rsidRPr="004A3983">
        <w:rPr>
          <w:rStyle w:val="FootnoteReference"/>
          <w:rFonts w:ascii="Gotham Book" w:hAnsi="Gotham Book"/>
        </w:rPr>
        <w:footnoteReference w:id="601"/>
      </w:r>
      <w:r w:rsidRPr="004A3983">
        <w:rPr>
          <w:rFonts w:ascii="Gotham Book" w:hAnsi="Gotham Book"/>
        </w:rPr>
        <w:t xml:space="preserve"> a statutory review completed in 2007,</w:t>
      </w:r>
      <w:r w:rsidRPr="004A3983">
        <w:rPr>
          <w:rStyle w:val="FootnoteReference"/>
          <w:rFonts w:ascii="Gotham Book" w:hAnsi="Gotham Book"/>
        </w:rPr>
        <w:footnoteReference w:id="602"/>
      </w:r>
      <w:r w:rsidRPr="004A3983">
        <w:rPr>
          <w:rFonts w:ascii="Gotham Book" w:hAnsi="Gotham Book"/>
        </w:rPr>
        <w:t xml:space="preserve"> and a statutory review completed in 2013.</w:t>
      </w:r>
      <w:r w:rsidRPr="004A3983">
        <w:rPr>
          <w:rStyle w:val="FootnoteReference"/>
          <w:rFonts w:ascii="Gotham Book" w:hAnsi="Gotham Book"/>
        </w:rPr>
        <w:footnoteReference w:id="603"/>
      </w:r>
      <w:r w:rsidRPr="004A3983">
        <w:rPr>
          <w:rFonts w:ascii="Gotham Book" w:hAnsi="Gotham Book"/>
        </w:rPr>
        <w:t xml:space="preserve"> </w:t>
      </w:r>
    </w:p>
    <w:p w14:paraId="7D16B3AF" w14:textId="77A05839" w:rsidR="001C20D3" w:rsidRPr="004A3983" w:rsidRDefault="001C20D3" w:rsidP="00062C0B">
      <w:pPr>
        <w:spacing w:after="160"/>
        <w:ind w:right="-2"/>
        <w:rPr>
          <w:rFonts w:ascii="Gotham Book" w:hAnsi="Gotham Book"/>
        </w:rPr>
      </w:pPr>
      <w:r w:rsidRPr="004A3983">
        <w:rPr>
          <w:rFonts w:ascii="Gotham Book" w:hAnsi="Gotham Book"/>
        </w:rPr>
        <w:t>Aspects of the CPOR Act and the Register have also</w:t>
      </w:r>
      <w:r w:rsidR="00817D7D" w:rsidRPr="004A3983">
        <w:rPr>
          <w:rFonts w:ascii="Gotham Book" w:hAnsi="Gotham Book"/>
        </w:rPr>
        <w:t xml:space="preserve"> been examined as part of other</w:t>
      </w:r>
      <w:r w:rsidRPr="004A3983">
        <w:rPr>
          <w:rFonts w:ascii="Gotham Book" w:hAnsi="Gotham Book"/>
        </w:rPr>
        <w:t xml:space="preserve"> broader reviews and inquiries including:</w:t>
      </w:r>
    </w:p>
    <w:p w14:paraId="6AF83516" w14:textId="0839C896" w:rsidR="001C20D3" w:rsidRPr="004A3983" w:rsidRDefault="001C20D3" w:rsidP="00E07380">
      <w:pPr>
        <w:pStyle w:val="ListBullet"/>
      </w:pPr>
      <w:r w:rsidRPr="004A3983">
        <w:t xml:space="preserve">NSW Sentencing Council, </w:t>
      </w:r>
      <w:r w:rsidRPr="00E07380">
        <w:rPr>
          <w:rStyle w:val="Italic"/>
        </w:rPr>
        <w:t>Penalties Relating to Sexual Assault Offences in New South Wales</w:t>
      </w:r>
      <w:r w:rsidRPr="004A3983">
        <w:t xml:space="preserve">, </w:t>
      </w:r>
      <w:r w:rsidR="000B59CC" w:rsidRPr="004A3983">
        <w:t xml:space="preserve">volume 3 </w:t>
      </w:r>
      <w:r w:rsidR="001635BB" w:rsidRPr="004A3983">
        <w:t>(2009)</w:t>
      </w:r>
      <w:r w:rsidR="005949F7" w:rsidRPr="004A3983">
        <w:t>;</w:t>
      </w:r>
    </w:p>
    <w:p w14:paraId="4F197837" w14:textId="760B5F38" w:rsidR="001C20D3" w:rsidRPr="004A3983" w:rsidRDefault="0082650A" w:rsidP="00E07380">
      <w:pPr>
        <w:pStyle w:val="ListBullet"/>
      </w:pPr>
      <w:r w:rsidRPr="004A3983">
        <w:lastRenderedPageBreak/>
        <w:t>NSW</w:t>
      </w:r>
      <w:r w:rsidR="00FE3A9F" w:rsidRPr="004A3983">
        <w:t xml:space="preserve"> Ombudsman, </w:t>
      </w:r>
      <w:r w:rsidR="00FE3A9F" w:rsidRPr="00E07380">
        <w:rPr>
          <w:rStyle w:val="Italic"/>
        </w:rPr>
        <w:t>Responding to Child Sexual Assault in Aboriginal Communities: A report under Part 6A of the Community Services (Complaints, Reviews and Monitoring) Act 1993</w:t>
      </w:r>
      <w:r w:rsidR="00FE3A9F" w:rsidRPr="004A3983">
        <w:rPr>
          <w:rFonts w:cs="Swiss721BT-MediumItalic"/>
          <w:iCs/>
        </w:rPr>
        <w:t xml:space="preserve"> (2012)</w:t>
      </w:r>
      <w:r w:rsidR="005949F7" w:rsidRPr="004A3983">
        <w:t>,</w:t>
      </w:r>
      <w:r w:rsidR="001C20D3" w:rsidRPr="004A3983">
        <w:t xml:space="preserve"> and</w:t>
      </w:r>
    </w:p>
    <w:p w14:paraId="48C77AC0" w14:textId="2ACB3D65" w:rsidR="001C20D3" w:rsidRPr="004A3983" w:rsidRDefault="00C119B0" w:rsidP="00E07380">
      <w:pPr>
        <w:pStyle w:val="ListBullet"/>
      </w:pPr>
      <w:r w:rsidRPr="004A3983">
        <w:t xml:space="preserve">Parliament of </w:t>
      </w:r>
      <w:r w:rsidR="00710278" w:rsidRPr="004A3983">
        <w:t>N</w:t>
      </w:r>
      <w:r w:rsidR="00696C63" w:rsidRPr="004A3983">
        <w:t xml:space="preserve">ew </w:t>
      </w:r>
      <w:r w:rsidR="00710278" w:rsidRPr="004A3983">
        <w:t>S</w:t>
      </w:r>
      <w:r w:rsidR="00696C63" w:rsidRPr="004A3983">
        <w:t xml:space="preserve">outh </w:t>
      </w:r>
      <w:r w:rsidR="00710278" w:rsidRPr="004A3983">
        <w:t>W</w:t>
      </w:r>
      <w:r w:rsidR="00696C63" w:rsidRPr="004A3983">
        <w:t>ales</w:t>
      </w:r>
      <w:r w:rsidR="00710278" w:rsidRPr="004A3983">
        <w:t xml:space="preserve"> </w:t>
      </w:r>
      <w:r w:rsidR="001C20D3" w:rsidRPr="004A3983">
        <w:t>Joint Select Committee on Sentencing of</w:t>
      </w:r>
      <w:r w:rsidR="00710278" w:rsidRPr="004A3983">
        <w:t xml:space="preserve"> Child Sexual Assault Offenders,</w:t>
      </w:r>
      <w:r w:rsidR="001C20D3" w:rsidRPr="004A3983">
        <w:t xml:space="preserve"> </w:t>
      </w:r>
      <w:r w:rsidR="001C20D3" w:rsidRPr="00E07380">
        <w:rPr>
          <w:rStyle w:val="Italic"/>
        </w:rPr>
        <w:t>Every Sentence Tells a Story – Report on Sentencing of Child Sexual Assault Offenders</w:t>
      </w:r>
      <w:r w:rsidR="00710278" w:rsidRPr="004A3983">
        <w:t xml:space="preserve"> (</w:t>
      </w:r>
      <w:r w:rsidR="001C20D3" w:rsidRPr="004A3983">
        <w:t>2014</w:t>
      </w:r>
      <w:r w:rsidR="00710278" w:rsidRPr="004A3983">
        <w:t>)</w:t>
      </w:r>
      <w:r w:rsidR="001C20D3" w:rsidRPr="004A3983">
        <w:t>.</w:t>
      </w:r>
      <w:r w:rsidR="001C20D3" w:rsidRPr="004A3983">
        <w:rPr>
          <w:rStyle w:val="FootnoteReference"/>
        </w:rPr>
        <w:footnoteReference w:id="604"/>
      </w:r>
      <w:r w:rsidR="001C20D3" w:rsidRPr="004A3983">
        <w:t xml:space="preserve"> </w:t>
      </w:r>
    </w:p>
    <w:p w14:paraId="6300BEB1" w14:textId="2AAA16FC" w:rsidR="001C20D3" w:rsidRPr="004A3983" w:rsidRDefault="00FF5CED" w:rsidP="00062C0B">
      <w:pPr>
        <w:spacing w:after="160"/>
        <w:ind w:right="-2"/>
        <w:rPr>
          <w:rFonts w:ascii="Gotham Book" w:hAnsi="Gotham Book"/>
        </w:rPr>
      </w:pPr>
      <w:r w:rsidRPr="004A3983">
        <w:rPr>
          <w:rFonts w:ascii="Gotham Book" w:hAnsi="Gotham Book"/>
        </w:rPr>
        <w:t xml:space="preserve">While these reviews </w:t>
      </w:r>
      <w:r w:rsidR="001C20D3" w:rsidRPr="004A3983">
        <w:rPr>
          <w:rFonts w:ascii="Gotham Book" w:hAnsi="Gotham Book"/>
        </w:rPr>
        <w:t xml:space="preserve">identified issues with the implementation of the CPOR Act, they did not establish the longstanding errors in the Register. The extent of these errors </w:t>
      </w:r>
      <w:r w:rsidR="00863398" w:rsidRPr="004A3983">
        <w:rPr>
          <w:rFonts w:ascii="Gotham Book" w:hAnsi="Gotham Book"/>
        </w:rPr>
        <w:t>has only emerged through</w:t>
      </w:r>
      <w:r w:rsidR="001C20D3" w:rsidRPr="004A3983">
        <w:rPr>
          <w:rFonts w:ascii="Gotham Book" w:hAnsi="Gotham Book"/>
        </w:rPr>
        <w:t xml:space="preserve"> interrogation of Register case files by the NSW Police Force and the Commission. </w:t>
      </w:r>
    </w:p>
    <w:p w14:paraId="6123A4ED" w14:textId="64AED2F7" w:rsidR="001C20D3" w:rsidRPr="004A3983" w:rsidRDefault="00C342BC" w:rsidP="00062C0B">
      <w:pPr>
        <w:pStyle w:val="Heading3"/>
        <w:spacing w:after="160"/>
        <w:ind w:right="-2"/>
      </w:pPr>
      <w:bookmarkStart w:id="533" w:name="_Toc8913583"/>
      <w:bookmarkStart w:id="534" w:name="_Toc9428443"/>
      <w:bookmarkStart w:id="535" w:name="_Toc12020395"/>
      <w:bookmarkStart w:id="536" w:name="_Toc14790561"/>
      <w:bookmarkStart w:id="537" w:name="_Toc15478444"/>
      <w:bookmarkStart w:id="538" w:name="_Toc22627843"/>
      <w:r>
        <w:t xml:space="preserve">Recommendation for </w:t>
      </w:r>
      <w:r w:rsidR="00FE0A41" w:rsidRPr="004A3983">
        <w:t>independent audit</w:t>
      </w:r>
      <w:bookmarkEnd w:id="533"/>
      <w:bookmarkEnd w:id="534"/>
      <w:bookmarkEnd w:id="535"/>
      <w:bookmarkEnd w:id="536"/>
      <w:bookmarkEnd w:id="537"/>
      <w:bookmarkEnd w:id="538"/>
      <w:r>
        <w:t>s</w:t>
      </w:r>
    </w:p>
    <w:p w14:paraId="2C815D08" w14:textId="25E06887" w:rsidR="00FE0A41" w:rsidRPr="004A3983" w:rsidRDefault="00FE0A41" w:rsidP="00062C0B">
      <w:pPr>
        <w:spacing w:after="160"/>
        <w:ind w:right="-2"/>
        <w:rPr>
          <w:rFonts w:ascii="Gotham Book" w:hAnsi="Gotham Book"/>
        </w:rPr>
      </w:pPr>
      <w:r w:rsidRPr="004A3983">
        <w:rPr>
          <w:rFonts w:ascii="Gotham Book" w:hAnsi="Gotham Book"/>
        </w:rPr>
        <w:t>The Commission recommends that a similar audit and reporting process as successfully implement</w:t>
      </w:r>
      <w:r w:rsidR="00402DC7" w:rsidRPr="004A3983">
        <w:rPr>
          <w:rFonts w:ascii="Gotham Book" w:hAnsi="Gotham Book"/>
        </w:rPr>
        <w:t>ed in Victoria be adopted in New South Wales</w:t>
      </w:r>
      <w:r w:rsidRPr="004A3983">
        <w:rPr>
          <w:rFonts w:ascii="Gotham Book" w:hAnsi="Gotham Book"/>
        </w:rPr>
        <w:t xml:space="preserve">. The introduction of an audit role for the IBAC has </w:t>
      </w:r>
      <w:r w:rsidR="00F62F64" w:rsidRPr="004A3983">
        <w:rPr>
          <w:rFonts w:ascii="Gotham Book" w:hAnsi="Gotham Book"/>
        </w:rPr>
        <w:t>helped</w:t>
      </w:r>
      <w:r w:rsidRPr="004A3983">
        <w:rPr>
          <w:rFonts w:ascii="Gotham Book" w:hAnsi="Gotham Book"/>
        </w:rPr>
        <w:t xml:space="preserve"> improve and maintain </w:t>
      </w:r>
      <w:r w:rsidR="00402DC7" w:rsidRPr="004A3983">
        <w:rPr>
          <w:rFonts w:ascii="Gotham Book" w:hAnsi="Gotham Book"/>
        </w:rPr>
        <w:t xml:space="preserve">compliance by Victoria Police </w:t>
      </w:r>
      <w:r w:rsidRPr="004A3983">
        <w:rPr>
          <w:rFonts w:ascii="Gotham Book" w:hAnsi="Gotham Book"/>
        </w:rPr>
        <w:t>with its obligations regarding the registration of sex offenders in that state. The compliance reports prepared by IBAC also assist to restore and maintain public confidence in the Vict</w:t>
      </w:r>
      <w:r w:rsidR="00402DC7" w:rsidRPr="004A3983">
        <w:rPr>
          <w:rFonts w:ascii="Gotham Book" w:hAnsi="Gotham Book"/>
        </w:rPr>
        <w:t xml:space="preserve">orian Sex Offenders Register </w:t>
      </w:r>
      <w:r w:rsidRPr="004A3983">
        <w:rPr>
          <w:rFonts w:ascii="Gotham Book" w:hAnsi="Gotham Book"/>
        </w:rPr>
        <w:t>and</w:t>
      </w:r>
      <w:r w:rsidR="00402DC7" w:rsidRPr="004A3983">
        <w:rPr>
          <w:rFonts w:ascii="Gotham Book" w:hAnsi="Gotham Book"/>
        </w:rPr>
        <w:t xml:space="preserve"> its administration by Victoria Police. Despite multiple</w:t>
      </w:r>
      <w:r w:rsidRPr="004A3983">
        <w:rPr>
          <w:rFonts w:ascii="Gotham Book" w:hAnsi="Gotham Book"/>
        </w:rPr>
        <w:t xml:space="preserve"> reviews o</w:t>
      </w:r>
      <w:r w:rsidR="00402DC7" w:rsidRPr="004A3983">
        <w:rPr>
          <w:rFonts w:ascii="Gotham Book" w:hAnsi="Gotham Book"/>
        </w:rPr>
        <w:t>f the statutory framework in New South Wales</w:t>
      </w:r>
      <w:r w:rsidRPr="004A3983">
        <w:rPr>
          <w:rFonts w:ascii="Gotham Book" w:hAnsi="Gotham Book"/>
        </w:rPr>
        <w:t xml:space="preserve">, the extent and nature of the </w:t>
      </w:r>
      <w:r w:rsidR="00FD0558" w:rsidRPr="004A3983">
        <w:rPr>
          <w:rFonts w:ascii="Gotham Book" w:hAnsi="Gotham Book"/>
        </w:rPr>
        <w:t>errors that have been made</w:t>
      </w:r>
      <w:r w:rsidRPr="004A3983">
        <w:rPr>
          <w:rFonts w:ascii="Gotham Book" w:hAnsi="Gotham Book"/>
        </w:rPr>
        <w:t xml:space="preserve"> in the</w:t>
      </w:r>
      <w:r w:rsidR="00FD0558" w:rsidRPr="004A3983">
        <w:rPr>
          <w:rFonts w:ascii="Gotham Book" w:hAnsi="Gotham Book"/>
        </w:rPr>
        <w:t xml:space="preserve"> implementation of the</w:t>
      </w:r>
      <w:r w:rsidRPr="004A3983">
        <w:rPr>
          <w:rFonts w:ascii="Gotham Book" w:hAnsi="Gotham Book"/>
        </w:rPr>
        <w:t xml:space="preserve"> NSW Register has not emerged publicly. This has had significa</w:t>
      </w:r>
      <w:r w:rsidR="002A4718" w:rsidRPr="004A3983">
        <w:rPr>
          <w:rFonts w:ascii="Gotham Book" w:hAnsi="Gotham Book"/>
        </w:rPr>
        <w:t>nt consequences for individuals</w:t>
      </w:r>
      <w:r w:rsidRPr="004A3983">
        <w:rPr>
          <w:rFonts w:ascii="Gotham Book" w:hAnsi="Gotham Book"/>
        </w:rPr>
        <w:t xml:space="preserve"> and </w:t>
      </w:r>
      <w:r w:rsidR="002A4718" w:rsidRPr="004A3983">
        <w:rPr>
          <w:rFonts w:ascii="Gotham Book" w:hAnsi="Gotham Book"/>
        </w:rPr>
        <w:t xml:space="preserve">for </w:t>
      </w:r>
      <w:r w:rsidRPr="004A3983">
        <w:rPr>
          <w:rFonts w:ascii="Gotham Book" w:hAnsi="Gotham Book"/>
        </w:rPr>
        <w:t xml:space="preserve">community safety. </w:t>
      </w:r>
    </w:p>
    <w:p w14:paraId="5A835ADA" w14:textId="340FBEAA" w:rsidR="00FE0A41" w:rsidRPr="004A3983" w:rsidRDefault="00FE0A41" w:rsidP="00062C0B">
      <w:pPr>
        <w:spacing w:after="160"/>
        <w:ind w:right="-2"/>
        <w:rPr>
          <w:rFonts w:ascii="Gotham Book" w:hAnsi="Gotham Book"/>
        </w:rPr>
      </w:pPr>
      <w:r w:rsidRPr="004A3983">
        <w:rPr>
          <w:rFonts w:ascii="Gotham Book" w:hAnsi="Gotham Book"/>
        </w:rPr>
        <w:t xml:space="preserve">The Commission </w:t>
      </w:r>
      <w:r w:rsidR="00583783" w:rsidRPr="00583783">
        <w:rPr>
          <w:rFonts w:ascii="Gotham Book" w:hAnsi="Gotham Book"/>
        </w:rPr>
        <w:t>suggests that</w:t>
      </w:r>
      <w:r w:rsidRPr="004A3983">
        <w:rPr>
          <w:rFonts w:ascii="Gotham Book" w:hAnsi="Gotham Book"/>
        </w:rPr>
        <w:t xml:space="preserve"> an independent audit of a sample of Register case files be undertaken </w:t>
      </w:r>
      <w:r w:rsidR="00583783">
        <w:rPr>
          <w:rFonts w:ascii="Gotham Book" w:hAnsi="Gotham Book"/>
        </w:rPr>
        <w:t xml:space="preserve">every two years, or as necessary, </w:t>
      </w:r>
      <w:r w:rsidRPr="004A3983">
        <w:rPr>
          <w:rFonts w:ascii="Gotham Book" w:hAnsi="Gotham Book"/>
        </w:rPr>
        <w:t xml:space="preserve">to ensure </w:t>
      </w:r>
      <w:r w:rsidR="00A97ADA" w:rsidRPr="004A3983">
        <w:rPr>
          <w:rFonts w:ascii="Gotham Book" w:hAnsi="Gotham Book"/>
        </w:rPr>
        <w:t>compliance with the statutory framework</w:t>
      </w:r>
      <w:r w:rsidRPr="004A3983">
        <w:rPr>
          <w:rFonts w:ascii="Gotham Book" w:hAnsi="Gotham Book"/>
        </w:rPr>
        <w:t>. A report of the (de-identified) results of this compliance audit should be made public.</w:t>
      </w:r>
    </w:p>
    <w:p w14:paraId="6E9E1248" w14:textId="1859EC95" w:rsidR="00FE0A41" w:rsidRPr="004A3983" w:rsidRDefault="00FE0A41" w:rsidP="00062C0B">
      <w:pPr>
        <w:spacing w:after="160"/>
        <w:ind w:right="-2"/>
        <w:rPr>
          <w:rFonts w:ascii="Gotham Book" w:hAnsi="Gotham Book"/>
        </w:rPr>
      </w:pPr>
      <w:r w:rsidRPr="004A3983">
        <w:rPr>
          <w:rFonts w:ascii="Gotham Book" w:hAnsi="Gotham Book"/>
        </w:rPr>
        <w:t>Independent auditing and de-identified public reporting would assist to restore and maintain public confidence in the registration</w:t>
      </w:r>
      <w:r w:rsidR="00A97ADA" w:rsidRPr="004A3983">
        <w:rPr>
          <w:rFonts w:ascii="Gotham Book" w:hAnsi="Gotham Book"/>
        </w:rPr>
        <w:t xml:space="preserve"> and management</w:t>
      </w:r>
      <w:r w:rsidRPr="004A3983">
        <w:rPr>
          <w:rFonts w:ascii="Gotham Book" w:hAnsi="Gotham Book"/>
        </w:rPr>
        <w:t xml:space="preserve"> of child sex offenders by the NSW Police Force into the future. </w:t>
      </w:r>
    </w:p>
    <w:p w14:paraId="7432B569" w14:textId="7D4A90D9" w:rsidR="00FE0A41" w:rsidRPr="004A3983" w:rsidRDefault="00FE0A41" w:rsidP="00DD0AC5">
      <w:pPr>
        <w:spacing w:after="160"/>
        <w:ind w:right="-2"/>
        <w:rPr>
          <w:rFonts w:ascii="Gotham Book" w:hAnsi="Gotham Book"/>
        </w:rPr>
      </w:pPr>
      <w:r w:rsidRPr="004A3983">
        <w:rPr>
          <w:rFonts w:ascii="Gotham Book" w:hAnsi="Gotham Book"/>
        </w:rPr>
        <w:t>Such a mechanism requires legislative amendment.</w:t>
      </w:r>
    </w:p>
    <w:p w14:paraId="663730C6" w14:textId="400F7FA1" w:rsidR="006740E6" w:rsidRPr="004A3983" w:rsidRDefault="00240120" w:rsidP="00DD0AC5">
      <w:pPr>
        <w:pStyle w:val="RecommendationHeadings"/>
        <w:spacing w:after="160"/>
        <w:ind w:right="-2"/>
      </w:pPr>
      <w:bookmarkStart w:id="539" w:name="_Ref9928960"/>
      <w:bookmarkStart w:id="540" w:name="_Toc22277351"/>
      <w:r w:rsidRPr="004A3983">
        <w:rPr>
          <w:b/>
        </w:rPr>
        <w:t xml:space="preserve">Introduce </w:t>
      </w:r>
      <w:r w:rsidR="00FE0A41" w:rsidRPr="004A3983">
        <w:rPr>
          <w:b/>
        </w:rPr>
        <w:t>independent compliance audit</w:t>
      </w:r>
      <w:r w:rsidR="00B26604">
        <w:rPr>
          <w:b/>
        </w:rPr>
        <w:t>ing</w:t>
      </w:r>
      <w:r w:rsidR="00337285" w:rsidRPr="004A3983">
        <w:rPr>
          <w:b/>
        </w:rPr>
        <w:t xml:space="preserve"> of the Child Protection Register</w:t>
      </w:r>
      <w:r w:rsidR="00FE0A41" w:rsidRPr="004A3983">
        <w:t xml:space="preserve">. Provisions should be included in the </w:t>
      </w:r>
      <w:r w:rsidR="00FE0A41" w:rsidRPr="004A3983">
        <w:rPr>
          <w:i/>
        </w:rPr>
        <w:t>Child Protection (Offenders Registration) Act 2000</w:t>
      </w:r>
      <w:r w:rsidR="00C939BE" w:rsidRPr="004A3983">
        <w:t xml:space="preserve"> </w:t>
      </w:r>
      <w:r w:rsidR="00F81CDC" w:rsidRPr="004A3983">
        <w:t xml:space="preserve">(NSW) </w:t>
      </w:r>
      <w:r w:rsidR="00C939BE" w:rsidRPr="004A3983">
        <w:t>(or any Act which</w:t>
      </w:r>
      <w:r w:rsidR="00FE0A41" w:rsidRPr="004A3983">
        <w:t xml:space="preserve"> replaces it) for independent compliance audit</w:t>
      </w:r>
      <w:r w:rsidR="00B26604">
        <w:t>s</w:t>
      </w:r>
      <w:r w:rsidR="00FE0A41" w:rsidRPr="004A3983">
        <w:t xml:space="preserve"> of the Register</w:t>
      </w:r>
      <w:r w:rsidR="00C939BE" w:rsidRPr="004A3983">
        <w:t xml:space="preserve">, </w:t>
      </w:r>
      <w:r w:rsidR="00FE0A41" w:rsidRPr="004A3983">
        <w:t xml:space="preserve">with publicly reported (and de-identified) results, similar to </w:t>
      </w:r>
      <w:r w:rsidR="00011F55">
        <w:t>those</w:t>
      </w:r>
      <w:r w:rsidR="00FE0A41" w:rsidRPr="004A3983">
        <w:t xml:space="preserve"> in the </w:t>
      </w:r>
      <w:r w:rsidR="00FE0A41" w:rsidRPr="004A3983">
        <w:rPr>
          <w:i/>
        </w:rPr>
        <w:t>Sex Offenders Registration Act 2004</w:t>
      </w:r>
      <w:r w:rsidR="00FE0A41" w:rsidRPr="004A3983">
        <w:t xml:space="preserve"> (Vic).</w:t>
      </w:r>
      <w:bookmarkEnd w:id="539"/>
      <w:bookmarkEnd w:id="540"/>
    </w:p>
    <w:p w14:paraId="7C4BCC4D" w14:textId="0743225A" w:rsidR="006740E6" w:rsidRPr="004A3983" w:rsidRDefault="0078732C" w:rsidP="00DD0AC5">
      <w:pPr>
        <w:spacing w:after="160"/>
      </w:pPr>
      <w:r w:rsidRPr="004A3983">
        <w:rPr>
          <w:b/>
        </w:rPr>
        <w:t>NSW Police Force</w:t>
      </w:r>
      <w:r w:rsidR="006740E6" w:rsidRPr="004A3983">
        <w:rPr>
          <w:b/>
        </w:rPr>
        <w:t xml:space="preserve"> response to Recommendation 11</w:t>
      </w:r>
      <w:r w:rsidR="006740E6" w:rsidRPr="004A3983">
        <w:t>: The</w:t>
      </w:r>
      <w:r w:rsidR="00EE54B5" w:rsidRPr="004A3983">
        <w:t xml:space="preserve"> NSW Police Force stated that it</w:t>
      </w:r>
      <w:r w:rsidR="006740E6" w:rsidRPr="004A3983">
        <w:t xml:space="preserve"> supports this recommendation.</w:t>
      </w:r>
      <w:r w:rsidR="006740E6" w:rsidRPr="004A3983">
        <w:rPr>
          <w:rStyle w:val="FootnoteReference"/>
        </w:rPr>
        <w:footnoteReference w:id="605"/>
      </w:r>
    </w:p>
    <w:p w14:paraId="76EDFEFF" w14:textId="72D4F697" w:rsidR="00FE0A41" w:rsidRPr="004A3983" w:rsidRDefault="00867511" w:rsidP="00062C0B">
      <w:pPr>
        <w:pStyle w:val="Heading2"/>
        <w:spacing w:after="160"/>
        <w:ind w:right="-2"/>
      </w:pPr>
      <w:bookmarkStart w:id="541" w:name="_Toc22627844"/>
      <w:bookmarkStart w:id="542" w:name="_Ref9346716"/>
      <w:r w:rsidRPr="004A3983">
        <w:lastRenderedPageBreak/>
        <w:t>Monitoring of</w:t>
      </w:r>
      <w:r w:rsidR="00EE54B5" w:rsidRPr="004A3983">
        <w:t xml:space="preserve"> the NSW Police Force</w:t>
      </w:r>
      <w:r w:rsidR="00F61B8C" w:rsidRPr="004A3983">
        <w:t xml:space="preserve"> r</w:t>
      </w:r>
      <w:r w:rsidR="00F162B7" w:rsidRPr="004A3983">
        <w:t>e</w:t>
      </w:r>
      <w:r w:rsidR="009A62B8" w:rsidRPr="004A3983">
        <w:t>sponse to</w:t>
      </w:r>
      <w:r w:rsidR="00A3105B">
        <w:t> </w:t>
      </w:r>
      <w:r w:rsidR="00D373E5" w:rsidRPr="004A3983">
        <w:t>our</w:t>
      </w:r>
      <w:r w:rsidR="00992D3F" w:rsidRPr="004A3983">
        <w:t xml:space="preserve"> findings </w:t>
      </w:r>
      <w:r w:rsidR="005C2C74" w:rsidRPr="004A3983">
        <w:t>and recommendations</w:t>
      </w:r>
      <w:bookmarkEnd w:id="541"/>
      <w:r w:rsidR="005C2C74" w:rsidRPr="004A3983">
        <w:t xml:space="preserve"> </w:t>
      </w:r>
      <w:bookmarkEnd w:id="542"/>
    </w:p>
    <w:p w14:paraId="70362ACC" w14:textId="2BCF29A7" w:rsidR="00FF7256" w:rsidRPr="004A3983" w:rsidRDefault="00FF7256" w:rsidP="00062C0B">
      <w:pPr>
        <w:spacing w:after="160"/>
        <w:ind w:right="-2"/>
        <w:rPr>
          <w:rFonts w:ascii="Gotham Book" w:hAnsi="Gotham Book"/>
        </w:rPr>
      </w:pPr>
      <w:r w:rsidRPr="004A3983">
        <w:rPr>
          <w:rFonts w:ascii="Gotham Book" w:hAnsi="Gotham Book"/>
        </w:rPr>
        <w:t>The Commission will seek a progress report from the NSW Police Force in six months from the date of publication of this report</w:t>
      </w:r>
      <w:r w:rsidR="008E42DA" w:rsidRPr="004A3983">
        <w:rPr>
          <w:rFonts w:ascii="Gotham Book" w:hAnsi="Gotham Book"/>
        </w:rPr>
        <w:t>,</w:t>
      </w:r>
      <w:r w:rsidRPr="004A3983">
        <w:rPr>
          <w:rFonts w:ascii="Gotham Book" w:hAnsi="Gotham Book"/>
        </w:rPr>
        <w:t xml:space="preserve"> </w:t>
      </w:r>
      <w:r w:rsidR="00A33F57" w:rsidRPr="004A3983">
        <w:rPr>
          <w:rFonts w:ascii="Gotham Book" w:hAnsi="Gotham Book"/>
        </w:rPr>
        <w:t>including</w:t>
      </w:r>
      <w:r w:rsidR="00BC211C" w:rsidRPr="004A3983">
        <w:rPr>
          <w:rFonts w:ascii="Gotham Book" w:hAnsi="Gotham Book"/>
        </w:rPr>
        <w:t xml:space="preserve"> details about what it has done to</w:t>
      </w:r>
      <w:r w:rsidRPr="004A3983">
        <w:rPr>
          <w:rFonts w:ascii="Gotham Book" w:hAnsi="Gotham Book"/>
        </w:rPr>
        <w:t xml:space="preserve"> implement </w:t>
      </w:r>
      <w:r w:rsidR="009352C8" w:rsidRPr="004A3983">
        <w:rPr>
          <w:rFonts w:ascii="Gotham Book" w:hAnsi="Gotham Book"/>
        </w:rPr>
        <w:t xml:space="preserve">each of </w:t>
      </w:r>
      <w:r w:rsidRPr="004A3983">
        <w:rPr>
          <w:rFonts w:ascii="Gotham Book" w:hAnsi="Gotham Book"/>
        </w:rPr>
        <w:t>our recommend</w:t>
      </w:r>
      <w:r w:rsidR="00C352D4" w:rsidRPr="004A3983">
        <w:rPr>
          <w:rFonts w:ascii="Gotham Book" w:hAnsi="Gotham Book"/>
        </w:rPr>
        <w:t>ations. The progress report should</w:t>
      </w:r>
      <w:r w:rsidRPr="004A3983">
        <w:rPr>
          <w:rFonts w:ascii="Gotham Book" w:hAnsi="Gotham Book"/>
        </w:rPr>
        <w:t xml:space="preserve"> include </w:t>
      </w:r>
      <w:r w:rsidR="00C352D4" w:rsidRPr="004A3983">
        <w:rPr>
          <w:rFonts w:ascii="Gotham Book" w:hAnsi="Gotham Book"/>
        </w:rPr>
        <w:t>the</w:t>
      </w:r>
      <w:r w:rsidRPr="004A3983">
        <w:rPr>
          <w:rFonts w:ascii="Gotham Book" w:hAnsi="Gotham Book"/>
        </w:rPr>
        <w:t xml:space="preserve"> reasons for not implementing any specific recommendations if that is the case. The Commission will publish a s</w:t>
      </w:r>
      <w:r w:rsidR="008E7977" w:rsidRPr="004A3983">
        <w:rPr>
          <w:rFonts w:ascii="Gotham Book" w:hAnsi="Gotham Book"/>
        </w:rPr>
        <w:t>ummary of the NSW Police Force</w:t>
      </w:r>
      <w:r w:rsidRPr="004A3983">
        <w:rPr>
          <w:rFonts w:ascii="Gotham Book" w:hAnsi="Gotham Book"/>
        </w:rPr>
        <w:t xml:space="preserve"> response on our website. </w:t>
      </w:r>
    </w:p>
    <w:p w14:paraId="15F0ECEC" w14:textId="6BCA4828" w:rsidR="007A14A0" w:rsidRDefault="00505A90" w:rsidP="00062C0B">
      <w:pPr>
        <w:spacing w:after="160"/>
        <w:ind w:right="-2"/>
        <w:rPr>
          <w:rFonts w:ascii="Gotham Book" w:hAnsi="Gotham Book"/>
        </w:rPr>
      </w:pPr>
      <w:r w:rsidRPr="004A3983">
        <w:rPr>
          <w:rFonts w:ascii="Gotham Book" w:hAnsi="Gotham Book"/>
        </w:rPr>
        <w:t>In two years from the date of publication of this report, t</w:t>
      </w:r>
      <w:r w:rsidR="00FF7256" w:rsidRPr="004A3983">
        <w:rPr>
          <w:rFonts w:ascii="Gotham Book" w:hAnsi="Gotham Book"/>
        </w:rPr>
        <w:t xml:space="preserve">he Commission intends to </w:t>
      </w:r>
      <w:r w:rsidR="008E7977" w:rsidRPr="004A3983">
        <w:rPr>
          <w:rFonts w:ascii="Gotham Book" w:hAnsi="Gotham Book"/>
        </w:rPr>
        <w:t>conduct a</w:t>
      </w:r>
      <w:r w:rsidR="008E42DA" w:rsidRPr="004A3983">
        <w:rPr>
          <w:rFonts w:ascii="Gotham Book" w:hAnsi="Gotham Book"/>
        </w:rPr>
        <w:t xml:space="preserve"> follow-up inquiry </w:t>
      </w:r>
      <w:r w:rsidR="00FF7256" w:rsidRPr="004A3983">
        <w:rPr>
          <w:rFonts w:ascii="Gotham Book" w:hAnsi="Gotham Book"/>
        </w:rPr>
        <w:t xml:space="preserve">into the </w:t>
      </w:r>
      <w:r w:rsidR="00F22B09" w:rsidRPr="004A3983">
        <w:rPr>
          <w:rFonts w:ascii="Gotham Book" w:hAnsi="Gotham Book"/>
        </w:rPr>
        <w:t>administration of the Register by the NSW Police Force</w:t>
      </w:r>
      <w:r w:rsidRPr="004A3983">
        <w:rPr>
          <w:rFonts w:ascii="Gotham Book" w:hAnsi="Gotham Book"/>
        </w:rPr>
        <w:t>, to e</w:t>
      </w:r>
      <w:r w:rsidR="000465C3" w:rsidRPr="004A3983">
        <w:rPr>
          <w:rFonts w:ascii="Gotham Book" w:hAnsi="Gotham Book"/>
        </w:rPr>
        <w:t xml:space="preserve">nsure it is consistent with statutory </w:t>
      </w:r>
      <w:r w:rsidRPr="004A3983">
        <w:rPr>
          <w:rFonts w:ascii="Gotham Book" w:hAnsi="Gotham Book"/>
        </w:rPr>
        <w:t>requirements</w:t>
      </w:r>
      <w:r w:rsidR="00FF7256" w:rsidRPr="004A3983">
        <w:rPr>
          <w:rFonts w:ascii="Gotham Book" w:hAnsi="Gotham Book"/>
        </w:rPr>
        <w:t>. We will also</w:t>
      </w:r>
      <w:r w:rsidR="00BC211C" w:rsidRPr="004A3983">
        <w:rPr>
          <w:rFonts w:ascii="Gotham Book" w:hAnsi="Gotham Book"/>
        </w:rPr>
        <w:t xml:space="preserve"> examine</w:t>
      </w:r>
      <w:r w:rsidR="00FF7256" w:rsidRPr="004A3983">
        <w:rPr>
          <w:rFonts w:ascii="Gotham Book" w:hAnsi="Gotham Book"/>
        </w:rPr>
        <w:t xml:space="preserve"> the adequacy of </w:t>
      </w:r>
      <w:r w:rsidR="008E7977" w:rsidRPr="004A3983">
        <w:rPr>
          <w:rFonts w:ascii="Gotham Book" w:hAnsi="Gotham Book"/>
        </w:rPr>
        <w:t>the resourcing of the Registry</w:t>
      </w:r>
      <w:r w:rsidR="00FB6204" w:rsidRPr="004A3983">
        <w:rPr>
          <w:rFonts w:ascii="Gotham Book" w:hAnsi="Gotham Book"/>
        </w:rPr>
        <w:t xml:space="preserve"> </w:t>
      </w:r>
      <w:r w:rsidR="00FF7256" w:rsidRPr="004A3983">
        <w:rPr>
          <w:rFonts w:ascii="Gotham Book" w:hAnsi="Gotham Book"/>
        </w:rPr>
        <w:t xml:space="preserve">and the governance and accountability arrangements put in place to ensure the information </w:t>
      </w:r>
      <w:r w:rsidR="00291D64" w:rsidRPr="004A3983">
        <w:rPr>
          <w:rFonts w:ascii="Gotham Book" w:hAnsi="Gotham Book"/>
        </w:rPr>
        <w:t>in</w:t>
      </w:r>
      <w:r w:rsidR="00FF7256" w:rsidRPr="004A3983">
        <w:rPr>
          <w:rFonts w:ascii="Gotham Book" w:hAnsi="Gotham Book"/>
        </w:rPr>
        <w:t xml:space="preserve"> the Register is</w:t>
      </w:r>
      <w:r w:rsidR="00A3105B">
        <w:rPr>
          <w:rFonts w:ascii="Gotham Book" w:hAnsi="Gotham Book"/>
        </w:rPr>
        <w:t> </w:t>
      </w:r>
      <w:r w:rsidR="00FF7256" w:rsidRPr="004A3983">
        <w:rPr>
          <w:rFonts w:ascii="Gotham Book" w:hAnsi="Gotham Book"/>
        </w:rPr>
        <w:t>accurate.</w:t>
      </w:r>
    </w:p>
    <w:p w14:paraId="4B061BD3" w14:textId="77777777" w:rsidR="007C3365" w:rsidRDefault="007C3365" w:rsidP="00062C0B">
      <w:pPr>
        <w:spacing w:after="160"/>
        <w:ind w:right="-2"/>
        <w:rPr>
          <w:rFonts w:ascii="Gotham Book" w:hAnsi="Gotham Book"/>
        </w:rPr>
      </w:pPr>
    </w:p>
    <w:p w14:paraId="3DC0FCA5" w14:textId="56BDD0F5" w:rsidR="007C3365" w:rsidRPr="004A3983" w:rsidRDefault="007C3365" w:rsidP="00062C0B">
      <w:pPr>
        <w:spacing w:after="160"/>
        <w:ind w:right="-2"/>
        <w:rPr>
          <w:rFonts w:ascii="Gotham Book" w:hAnsi="Gotham Book"/>
        </w:rPr>
        <w:sectPr w:rsidR="007C3365" w:rsidRPr="004A3983" w:rsidSect="00C36AFD">
          <w:headerReference w:type="even" r:id="rId60"/>
          <w:headerReference w:type="default" r:id="rId61"/>
          <w:headerReference w:type="first" r:id="rId62"/>
          <w:pgSz w:w="11906" w:h="16838"/>
          <w:pgMar w:top="720" w:right="1276" w:bottom="1418" w:left="1276" w:header="709" w:footer="567" w:gutter="0"/>
          <w:cols w:space="708"/>
          <w:titlePg/>
          <w:docGrid w:linePitch="360"/>
        </w:sectPr>
      </w:pPr>
    </w:p>
    <w:p w14:paraId="6914BEE1" w14:textId="7B6387E3" w:rsidR="0094799C" w:rsidRPr="00EB0D6C" w:rsidRDefault="007A14A0" w:rsidP="00EB0D6C">
      <w:pPr>
        <w:pStyle w:val="AppendixHeading1Nonumber"/>
        <w:framePr w:wrap="around"/>
      </w:pPr>
      <w:bookmarkStart w:id="543" w:name="_Toc22627845"/>
      <w:r w:rsidRPr="003D1AA5">
        <w:rPr>
          <w:rFonts w:asciiTheme="majorHAnsi" w:hAnsiTheme="majorHAnsi"/>
        </w:rPr>
        <w:lastRenderedPageBreak/>
        <w:t>Appendix 1</w:t>
      </w:r>
      <w:r w:rsidR="00BA7570" w:rsidRPr="003D1AA5">
        <w:rPr>
          <w:rFonts w:asciiTheme="majorHAnsi" w:hAnsiTheme="majorHAnsi"/>
        </w:rPr>
        <w:t>:</w:t>
      </w:r>
      <w:r w:rsidR="00BA7570" w:rsidRPr="00EB0D6C">
        <w:t xml:space="preserve"> </w:t>
      </w:r>
      <w:r w:rsidR="00EF7626" w:rsidRPr="00EB0D6C">
        <w:br/>
      </w:r>
      <w:r w:rsidR="00BA7570" w:rsidRPr="00EB0D6C">
        <w:t>R</w:t>
      </w:r>
      <w:r w:rsidR="008953D1" w:rsidRPr="00EB0D6C">
        <w:t>esults of the</w:t>
      </w:r>
      <w:r w:rsidR="007C3365" w:rsidRPr="00EB0D6C">
        <w:t> </w:t>
      </w:r>
      <w:r w:rsidR="008953D1" w:rsidRPr="00EB0D6C">
        <w:t>NSW Police Force</w:t>
      </w:r>
      <w:r w:rsidR="00BA7570" w:rsidRPr="00EB0D6C">
        <w:t xml:space="preserve"> Child Protection Register case review</w:t>
      </w:r>
      <w:bookmarkEnd w:id="543"/>
    </w:p>
    <w:p w14:paraId="2540EDCA" w14:textId="77777777" w:rsidR="0094799C" w:rsidRPr="004A3983" w:rsidRDefault="0094799C" w:rsidP="00F03C93">
      <w:pPr>
        <w:spacing w:after="160"/>
        <w:ind w:right="260"/>
        <w:rPr>
          <w:rFonts w:ascii="Gotham Book" w:hAnsi="Gotham Book"/>
        </w:rPr>
      </w:pPr>
      <w:r w:rsidRPr="004A3983">
        <w:rPr>
          <w:rFonts w:ascii="Gotham Book" w:hAnsi="Gotham Book"/>
        </w:rPr>
        <w:br w:type="page"/>
      </w:r>
    </w:p>
    <w:p w14:paraId="5400E7C1" w14:textId="478654FF" w:rsidR="00FF7256" w:rsidRPr="00DF5753" w:rsidRDefault="008953D1" w:rsidP="00F84ADE">
      <w:pPr>
        <w:pStyle w:val="NonAppendixNumberHeading1"/>
      </w:pPr>
      <w:bookmarkStart w:id="544" w:name="_Toc14790564"/>
      <w:bookmarkStart w:id="545" w:name="_Toc22627846"/>
      <w:r w:rsidRPr="00DF5753">
        <w:lastRenderedPageBreak/>
        <w:t>NSW Police Force</w:t>
      </w:r>
      <w:r w:rsidR="007A14A0" w:rsidRPr="00DF5753">
        <w:t xml:space="preserve"> Child Protection Register case review</w:t>
      </w:r>
      <w:bookmarkEnd w:id="544"/>
      <w:bookmarkEnd w:id="545"/>
    </w:p>
    <w:p w14:paraId="2B3ED2C9" w14:textId="29E750AC" w:rsidR="007A14A0" w:rsidRPr="004A3983" w:rsidRDefault="007A14A0" w:rsidP="00062C0B">
      <w:pPr>
        <w:spacing w:after="160"/>
        <w:ind w:right="-2"/>
        <w:rPr>
          <w:rFonts w:ascii="Gotham Book" w:hAnsi="Gotham Book" w:cs="Arial"/>
        </w:rPr>
      </w:pPr>
      <w:r w:rsidRPr="004A3983">
        <w:rPr>
          <w:rFonts w:ascii="Gotham Book" w:hAnsi="Gotham Book" w:cs="Arial"/>
        </w:rPr>
        <w:t xml:space="preserve">In July 2016 </w:t>
      </w:r>
      <w:r w:rsidRPr="004A3983">
        <w:rPr>
          <w:rFonts w:ascii="Gotham Book" w:hAnsi="Gotham Book"/>
        </w:rPr>
        <w:t xml:space="preserve">the NSW Police Force initiated an internal review of </w:t>
      </w:r>
      <w:r w:rsidR="00AA03F4" w:rsidRPr="004A3983">
        <w:rPr>
          <w:rFonts w:ascii="Gotham Book" w:hAnsi="Gotham Book"/>
        </w:rPr>
        <w:t xml:space="preserve">Child Protection </w:t>
      </w:r>
      <w:r w:rsidRPr="004A3983">
        <w:rPr>
          <w:rFonts w:ascii="Gotham Book" w:hAnsi="Gotham Book"/>
        </w:rPr>
        <w:t xml:space="preserve">Register </w:t>
      </w:r>
      <w:r w:rsidR="00AA03F4" w:rsidRPr="004A3983">
        <w:rPr>
          <w:rFonts w:ascii="Gotham Book" w:hAnsi="Gotham Book"/>
        </w:rPr>
        <w:t xml:space="preserve">(Register) </w:t>
      </w:r>
      <w:r w:rsidRPr="004A3983">
        <w:rPr>
          <w:rFonts w:ascii="Gotham Book" w:hAnsi="Gotham Book"/>
        </w:rPr>
        <w:t>case files, referred to in this report as the ‘CPR case review’.</w:t>
      </w:r>
    </w:p>
    <w:p w14:paraId="5E24C186" w14:textId="5BE13425" w:rsidR="007A14A0" w:rsidRPr="004A3983" w:rsidRDefault="007A14A0" w:rsidP="00062C0B">
      <w:pPr>
        <w:spacing w:after="160"/>
        <w:ind w:right="-2"/>
        <w:rPr>
          <w:rFonts w:ascii="Gotham Book" w:hAnsi="Gotham Book"/>
        </w:rPr>
      </w:pPr>
      <w:r w:rsidRPr="004A3983">
        <w:rPr>
          <w:rFonts w:ascii="Gotham Book" w:hAnsi="Gotham Book"/>
        </w:rPr>
        <w:t>The CPR case review was completed in October 2018, and reviewed 5,749 Register case files.</w:t>
      </w:r>
      <w:r w:rsidRPr="004A3983">
        <w:rPr>
          <w:rStyle w:val="FootnoteReference"/>
          <w:rFonts w:ascii="Gotham Book" w:hAnsi="Gotham Book"/>
        </w:rPr>
        <w:footnoteReference w:id="606"/>
      </w:r>
      <w:r w:rsidRPr="004A3983">
        <w:rPr>
          <w:rFonts w:ascii="Gotham Book" w:hAnsi="Gotham Book"/>
        </w:rPr>
        <w:t xml:space="preserve"> The review included Register files for persons w</w:t>
      </w:r>
      <w:r w:rsidR="008778B9" w:rsidRPr="004A3983">
        <w:rPr>
          <w:rFonts w:ascii="Gotham Book" w:hAnsi="Gotham Book"/>
        </w:rPr>
        <w:t xml:space="preserve">hose Register cases had </w:t>
      </w:r>
      <w:r w:rsidRPr="004A3983">
        <w:rPr>
          <w:rFonts w:ascii="Gotham Book" w:hAnsi="Gotham Book"/>
        </w:rPr>
        <w:t xml:space="preserve">been finalised. </w:t>
      </w:r>
    </w:p>
    <w:p w14:paraId="67506D24" w14:textId="17E1F5F7" w:rsidR="007A14A0" w:rsidRPr="004A3983" w:rsidRDefault="007A14A0" w:rsidP="00062C0B">
      <w:pPr>
        <w:spacing w:after="160"/>
        <w:ind w:right="-2"/>
        <w:rPr>
          <w:rFonts w:ascii="Gotham Book" w:hAnsi="Gotham Book" w:cs="Arial"/>
        </w:rPr>
      </w:pPr>
      <w:r w:rsidRPr="004A3983">
        <w:rPr>
          <w:rFonts w:ascii="Gotham Book" w:hAnsi="Gotham Book" w:cs="Arial"/>
        </w:rPr>
        <w:t>The Commission requested the final resul</w:t>
      </w:r>
      <w:r w:rsidR="008778B9" w:rsidRPr="004A3983">
        <w:rPr>
          <w:rFonts w:ascii="Gotham Book" w:hAnsi="Gotham Book" w:cs="Arial"/>
        </w:rPr>
        <w:t>ts of the CPR case review through</w:t>
      </w:r>
      <w:r w:rsidRPr="004A3983">
        <w:rPr>
          <w:rFonts w:ascii="Gotham Book" w:hAnsi="Gotham Book" w:cs="Arial"/>
        </w:rPr>
        <w:t xml:space="preserve"> a Notice to Produce Documents issued under s 55 of the </w:t>
      </w:r>
      <w:r w:rsidRPr="004A3983">
        <w:rPr>
          <w:rFonts w:ascii="Gotham Book" w:hAnsi="Gotham Book" w:cs="Arial"/>
          <w:i/>
        </w:rPr>
        <w:t>Law Enforcement Conduct Commission Act 2016</w:t>
      </w:r>
      <w:r w:rsidRPr="004A3983">
        <w:rPr>
          <w:rFonts w:ascii="Gotham Book" w:hAnsi="Gotham Book" w:cs="Arial"/>
        </w:rPr>
        <w:t xml:space="preserve"> (NSW). The Commission also requested any documents containing analysis of, and/or commentary on the final results. </w:t>
      </w:r>
    </w:p>
    <w:p w14:paraId="1377DE37" w14:textId="550E4CEE" w:rsidR="007A14A0" w:rsidRPr="004A3983" w:rsidRDefault="007A14A0" w:rsidP="00062C0B">
      <w:pPr>
        <w:spacing w:after="160"/>
        <w:ind w:right="-2"/>
        <w:rPr>
          <w:rFonts w:ascii="Gotham Book" w:hAnsi="Gotham Book" w:cs="Arial"/>
        </w:rPr>
      </w:pPr>
      <w:r w:rsidRPr="004A3983">
        <w:rPr>
          <w:rFonts w:ascii="Gotham Book" w:hAnsi="Gotham Book" w:cs="Arial"/>
        </w:rPr>
        <w:t>In response the NSW Police Force produced a copy of the table which is recreated below.</w:t>
      </w:r>
      <w:r w:rsidRPr="004A3983">
        <w:rPr>
          <w:rStyle w:val="FootnoteReference"/>
          <w:rFonts w:ascii="Gotham Book" w:hAnsi="Gotham Book" w:cs="Arial"/>
        </w:rPr>
        <w:footnoteReference w:id="607"/>
      </w:r>
      <w:r w:rsidRPr="004A3983">
        <w:rPr>
          <w:rFonts w:ascii="Gotham Book" w:hAnsi="Gotham Book" w:cs="Arial"/>
        </w:rPr>
        <w:t xml:space="preserve"> No documents </w:t>
      </w:r>
      <w:r w:rsidR="004D0B6D" w:rsidRPr="004A3983">
        <w:rPr>
          <w:rFonts w:ascii="Gotham Book" w:hAnsi="Gotham Book" w:cs="Arial"/>
        </w:rPr>
        <w:t xml:space="preserve">containing analysis </w:t>
      </w:r>
      <w:r w:rsidR="008778B9" w:rsidRPr="004A3983">
        <w:rPr>
          <w:rFonts w:ascii="Gotham Book" w:hAnsi="Gotham Book" w:cs="Arial"/>
        </w:rPr>
        <w:t xml:space="preserve">of </w:t>
      </w:r>
      <w:r w:rsidR="004D0B6D" w:rsidRPr="004A3983">
        <w:rPr>
          <w:rFonts w:ascii="Gotham Book" w:hAnsi="Gotham Book" w:cs="Arial"/>
        </w:rPr>
        <w:t>or commentary o</w:t>
      </w:r>
      <w:r w:rsidR="0086173C" w:rsidRPr="004A3983">
        <w:rPr>
          <w:rFonts w:ascii="Gotham Book" w:hAnsi="Gotham Book" w:cs="Arial"/>
        </w:rPr>
        <w:t>n</w:t>
      </w:r>
      <w:r w:rsidR="004D0B6D" w:rsidRPr="004A3983">
        <w:rPr>
          <w:rFonts w:ascii="Gotham Book" w:hAnsi="Gotham Book" w:cs="Arial"/>
        </w:rPr>
        <w:t xml:space="preserve"> these</w:t>
      </w:r>
      <w:r w:rsidRPr="004A3983">
        <w:rPr>
          <w:rFonts w:ascii="Gotham Book" w:hAnsi="Gotham Book" w:cs="Arial"/>
        </w:rPr>
        <w:t xml:space="preserve"> results were provided. </w:t>
      </w:r>
    </w:p>
    <w:p w14:paraId="5D9AFDB3" w14:textId="2F21D913" w:rsidR="005F7CD1" w:rsidRPr="004A3983" w:rsidRDefault="005F7CD1" w:rsidP="00062C0B">
      <w:pPr>
        <w:pStyle w:val="Tableheadings"/>
        <w:spacing w:after="160" w:line="259" w:lineRule="auto"/>
        <w:ind w:right="-2"/>
        <w:rPr>
          <w:b w:val="0"/>
          <w:color w:val="auto"/>
        </w:rPr>
      </w:pPr>
      <w:r w:rsidRPr="004A3983">
        <w:rPr>
          <w:color w:val="auto"/>
        </w:rPr>
        <w:t>Table: Results of the CPR case review</w:t>
      </w:r>
    </w:p>
    <w:tbl>
      <w:tblPr>
        <w:tblStyle w:val="TableGrid"/>
        <w:tblW w:w="0" w:type="auto"/>
        <w:tblLook w:val="04A0" w:firstRow="1" w:lastRow="0" w:firstColumn="1" w:lastColumn="0" w:noHBand="0" w:noVBand="1"/>
      </w:tblPr>
      <w:tblGrid>
        <w:gridCol w:w="5843"/>
        <w:gridCol w:w="1098"/>
        <w:gridCol w:w="2403"/>
      </w:tblGrid>
      <w:tr w:rsidR="005F7CD1" w:rsidRPr="004A3983" w14:paraId="066B386D" w14:textId="77777777" w:rsidTr="003E0C83">
        <w:tc>
          <w:tcPr>
            <w:tcW w:w="7366" w:type="dxa"/>
            <w:gridSpan w:val="2"/>
            <w:shd w:val="clear" w:color="auto" w:fill="D9D9D9" w:themeFill="background1" w:themeFillShade="D9"/>
            <w:vAlign w:val="center"/>
          </w:tcPr>
          <w:p w14:paraId="5A77B97A" w14:textId="435A3EF3" w:rsidR="005F7CD1" w:rsidRPr="004A3983" w:rsidRDefault="005F7CD1" w:rsidP="00062C0B">
            <w:pPr>
              <w:spacing w:before="60" w:after="160" w:line="259" w:lineRule="auto"/>
              <w:ind w:right="-2"/>
              <w:jc w:val="center"/>
              <w:rPr>
                <w:rFonts w:ascii="Gotham Book" w:hAnsi="Gotham Book" w:cs="Arial"/>
                <w:b/>
              </w:rPr>
            </w:pPr>
            <w:r w:rsidRPr="004A3983">
              <w:rPr>
                <w:rFonts w:ascii="Gotham Book" w:hAnsi="Gotham Book" w:cs="Arial"/>
                <w:b/>
              </w:rPr>
              <w:t>Grand Totals Year to</w:t>
            </w:r>
            <w:r w:rsidR="00691A18" w:rsidRPr="004A3983">
              <w:rPr>
                <w:rFonts w:ascii="Gotham Book" w:hAnsi="Gotham Book" w:cs="Arial"/>
                <w:b/>
              </w:rPr>
              <w:t>…</w:t>
            </w:r>
            <w:r w:rsidRPr="004A3983">
              <w:rPr>
                <w:rFonts w:ascii="Gotham Book" w:hAnsi="Gotham Book" w:cs="Arial"/>
                <w:b/>
              </w:rPr>
              <w:t xml:space="preserve"> 2018</w:t>
            </w:r>
          </w:p>
        </w:tc>
        <w:tc>
          <w:tcPr>
            <w:tcW w:w="2552" w:type="dxa"/>
            <w:vAlign w:val="center"/>
          </w:tcPr>
          <w:p w14:paraId="3E135330"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 of total audited</w:t>
            </w:r>
          </w:p>
        </w:tc>
      </w:tr>
      <w:tr w:rsidR="005F7CD1" w:rsidRPr="004A3983" w14:paraId="32F7E7EC" w14:textId="77777777" w:rsidTr="003E0C83">
        <w:tc>
          <w:tcPr>
            <w:tcW w:w="6232" w:type="dxa"/>
            <w:vAlign w:val="center"/>
          </w:tcPr>
          <w:p w14:paraId="5A6054DC"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Correct</w:t>
            </w:r>
          </w:p>
        </w:tc>
        <w:tc>
          <w:tcPr>
            <w:tcW w:w="1134" w:type="dxa"/>
            <w:vAlign w:val="center"/>
          </w:tcPr>
          <w:p w14:paraId="3CA45CA8"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2913</w:t>
            </w:r>
          </w:p>
        </w:tc>
        <w:tc>
          <w:tcPr>
            <w:tcW w:w="2552" w:type="dxa"/>
            <w:vAlign w:val="center"/>
          </w:tcPr>
          <w:p w14:paraId="08835F9E"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50.60%</w:t>
            </w:r>
          </w:p>
        </w:tc>
      </w:tr>
      <w:tr w:rsidR="005F7CD1" w:rsidRPr="004A3983" w14:paraId="4B54C65E" w14:textId="77777777" w:rsidTr="003E0C83">
        <w:tc>
          <w:tcPr>
            <w:tcW w:w="6232" w:type="dxa"/>
            <w:vAlign w:val="center"/>
          </w:tcPr>
          <w:p w14:paraId="6B891310" w14:textId="6AD949CC"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 xml:space="preserve">In custody not recorded correctly – </w:t>
            </w:r>
            <w:r w:rsidR="00A446C6">
              <w:rPr>
                <w:rFonts w:ascii="Gotham Book" w:hAnsi="Gotham Book" w:cs="Arial"/>
              </w:rPr>
              <w:br/>
            </w:r>
            <w:r w:rsidRPr="004A3983">
              <w:rPr>
                <w:rFonts w:ascii="Gotham Book" w:hAnsi="Gotham Book" w:cs="Arial"/>
              </w:rPr>
              <w:t xml:space="preserve">EG </w:t>
            </w:r>
            <w:r w:rsidRPr="004A3983">
              <w:rPr>
                <w:rFonts w:ascii="Gotham Book" w:hAnsi="Gotham Book" w:cs="Arial"/>
                <w:b/>
              </w:rPr>
              <w:t>time added/subtracted</w:t>
            </w:r>
          </w:p>
        </w:tc>
        <w:tc>
          <w:tcPr>
            <w:tcW w:w="1134" w:type="dxa"/>
            <w:vAlign w:val="center"/>
          </w:tcPr>
          <w:p w14:paraId="04AD2DD9"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906</w:t>
            </w:r>
          </w:p>
        </w:tc>
        <w:tc>
          <w:tcPr>
            <w:tcW w:w="2552" w:type="dxa"/>
            <w:vAlign w:val="center"/>
          </w:tcPr>
          <w:p w14:paraId="02C49A01"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15.70%</w:t>
            </w:r>
          </w:p>
        </w:tc>
      </w:tr>
      <w:tr w:rsidR="005F7CD1" w:rsidRPr="004A3983" w14:paraId="2785CCE0" w14:textId="77777777" w:rsidTr="003E0C83">
        <w:tc>
          <w:tcPr>
            <w:tcW w:w="6232" w:type="dxa"/>
            <w:vAlign w:val="center"/>
          </w:tcPr>
          <w:p w14:paraId="0E4AF239"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Reporting period correct but suspended in custody</w:t>
            </w:r>
          </w:p>
        </w:tc>
        <w:tc>
          <w:tcPr>
            <w:tcW w:w="1134" w:type="dxa"/>
            <w:vAlign w:val="center"/>
          </w:tcPr>
          <w:p w14:paraId="6C3B38AA"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279</w:t>
            </w:r>
          </w:p>
        </w:tc>
        <w:tc>
          <w:tcPr>
            <w:tcW w:w="2552" w:type="dxa"/>
            <w:vAlign w:val="center"/>
          </w:tcPr>
          <w:p w14:paraId="36F9C84C"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4.85%</w:t>
            </w:r>
          </w:p>
        </w:tc>
      </w:tr>
      <w:tr w:rsidR="005F7CD1" w:rsidRPr="004A3983" w14:paraId="75C1F58D" w14:textId="77777777" w:rsidTr="003E0C83">
        <w:tc>
          <w:tcPr>
            <w:tcW w:w="6232" w:type="dxa"/>
            <w:vAlign w:val="center"/>
          </w:tcPr>
          <w:p w14:paraId="531168DE" w14:textId="2CF103D5"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 xml:space="preserve">Reporting period increased – </w:t>
            </w:r>
            <w:r w:rsidR="00A446C6">
              <w:rPr>
                <w:rFonts w:ascii="Gotham Book" w:hAnsi="Gotham Book" w:cs="Arial"/>
              </w:rPr>
              <w:br/>
            </w:r>
            <w:r w:rsidRPr="004A3983">
              <w:rPr>
                <w:rFonts w:ascii="Gotham Book" w:hAnsi="Gotham Book" w:cs="Arial"/>
                <w:b/>
                <w:u w:val="double"/>
              </w:rPr>
              <w:t>EG 8 to 15 years or LIFE</w:t>
            </w:r>
          </w:p>
        </w:tc>
        <w:tc>
          <w:tcPr>
            <w:tcW w:w="1134" w:type="dxa"/>
            <w:vAlign w:val="center"/>
          </w:tcPr>
          <w:p w14:paraId="5DF0EF07"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485</w:t>
            </w:r>
          </w:p>
        </w:tc>
        <w:tc>
          <w:tcPr>
            <w:tcW w:w="2552" w:type="dxa"/>
            <w:vAlign w:val="center"/>
          </w:tcPr>
          <w:p w14:paraId="7F0ECC56"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8.40%</w:t>
            </w:r>
          </w:p>
        </w:tc>
      </w:tr>
      <w:tr w:rsidR="005F7CD1" w:rsidRPr="004A3983" w14:paraId="2F60664E" w14:textId="77777777" w:rsidTr="003E0C83">
        <w:tc>
          <w:tcPr>
            <w:tcW w:w="6232" w:type="dxa"/>
            <w:vAlign w:val="center"/>
          </w:tcPr>
          <w:p w14:paraId="2CF61B3C" w14:textId="352CCB6F"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 xml:space="preserve">Reporting period decreased – </w:t>
            </w:r>
            <w:r w:rsidR="00A446C6">
              <w:rPr>
                <w:rFonts w:ascii="Gotham Book" w:hAnsi="Gotham Book" w:cs="Arial"/>
              </w:rPr>
              <w:br/>
            </w:r>
            <w:r w:rsidRPr="004A3983">
              <w:rPr>
                <w:rFonts w:ascii="Gotham Book" w:hAnsi="Gotham Book" w:cs="Arial"/>
                <w:b/>
                <w:u w:val="double"/>
              </w:rPr>
              <w:t>EG LIFE to 15 to 8 years</w:t>
            </w:r>
          </w:p>
        </w:tc>
        <w:tc>
          <w:tcPr>
            <w:tcW w:w="1134" w:type="dxa"/>
            <w:vAlign w:val="center"/>
          </w:tcPr>
          <w:p w14:paraId="787F8DC2"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144</w:t>
            </w:r>
          </w:p>
        </w:tc>
        <w:tc>
          <w:tcPr>
            <w:tcW w:w="2552" w:type="dxa"/>
            <w:vAlign w:val="center"/>
          </w:tcPr>
          <w:p w14:paraId="506E37D2"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2.50%</w:t>
            </w:r>
          </w:p>
        </w:tc>
      </w:tr>
      <w:tr w:rsidR="005F7CD1" w:rsidRPr="004A3983" w14:paraId="0CB639A0" w14:textId="77777777" w:rsidTr="003E0C83">
        <w:tc>
          <w:tcPr>
            <w:tcW w:w="6232" w:type="dxa"/>
            <w:vAlign w:val="center"/>
          </w:tcPr>
          <w:p w14:paraId="20419135"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Travel error</w:t>
            </w:r>
          </w:p>
        </w:tc>
        <w:tc>
          <w:tcPr>
            <w:tcW w:w="1134" w:type="dxa"/>
            <w:vAlign w:val="center"/>
          </w:tcPr>
          <w:p w14:paraId="0E6C740D"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520</w:t>
            </w:r>
          </w:p>
        </w:tc>
        <w:tc>
          <w:tcPr>
            <w:tcW w:w="2552" w:type="dxa"/>
            <w:vAlign w:val="center"/>
          </w:tcPr>
          <w:p w14:paraId="71ACC95F"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9%</w:t>
            </w:r>
          </w:p>
        </w:tc>
      </w:tr>
      <w:tr w:rsidR="005F7CD1" w:rsidRPr="004A3983" w14:paraId="47620A87" w14:textId="77777777" w:rsidTr="003E0C83">
        <w:tc>
          <w:tcPr>
            <w:tcW w:w="6232" w:type="dxa"/>
            <w:vAlign w:val="center"/>
          </w:tcPr>
          <w:p w14:paraId="45CD6932"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Sentence date/Crim records/charge not linked</w:t>
            </w:r>
          </w:p>
        </w:tc>
        <w:tc>
          <w:tcPr>
            <w:tcW w:w="1134" w:type="dxa"/>
            <w:vAlign w:val="center"/>
          </w:tcPr>
          <w:p w14:paraId="7449743C"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368</w:t>
            </w:r>
          </w:p>
        </w:tc>
        <w:tc>
          <w:tcPr>
            <w:tcW w:w="2552" w:type="dxa"/>
            <w:vAlign w:val="center"/>
          </w:tcPr>
          <w:p w14:paraId="40FD102B"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6.40%</w:t>
            </w:r>
          </w:p>
        </w:tc>
      </w:tr>
      <w:tr w:rsidR="005F7CD1" w:rsidRPr="004A3983" w14:paraId="403B12A4" w14:textId="77777777" w:rsidTr="003E0C83">
        <w:tc>
          <w:tcPr>
            <w:tcW w:w="6232" w:type="dxa"/>
            <w:vAlign w:val="center"/>
          </w:tcPr>
          <w:p w14:paraId="173AACC5"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Interstate (QLD) Error in reporting period notification</w:t>
            </w:r>
          </w:p>
        </w:tc>
        <w:tc>
          <w:tcPr>
            <w:tcW w:w="1134" w:type="dxa"/>
            <w:vAlign w:val="center"/>
          </w:tcPr>
          <w:p w14:paraId="4102BF3C"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89</w:t>
            </w:r>
          </w:p>
        </w:tc>
        <w:tc>
          <w:tcPr>
            <w:tcW w:w="2552" w:type="dxa"/>
            <w:vAlign w:val="center"/>
          </w:tcPr>
          <w:p w14:paraId="216F2715"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1.50%</w:t>
            </w:r>
          </w:p>
        </w:tc>
      </w:tr>
      <w:tr w:rsidR="005F7CD1" w:rsidRPr="004A3983" w14:paraId="6DECBB79" w14:textId="77777777" w:rsidTr="003E0C83">
        <w:tc>
          <w:tcPr>
            <w:tcW w:w="6232" w:type="dxa"/>
            <w:shd w:val="clear" w:color="auto" w:fill="D9D9D9" w:themeFill="background1" w:themeFillShade="D9"/>
            <w:vAlign w:val="center"/>
          </w:tcPr>
          <w:p w14:paraId="3546F864" w14:textId="77777777" w:rsidR="005F7CD1" w:rsidRPr="004A3983" w:rsidRDefault="005F7CD1" w:rsidP="00062C0B">
            <w:pPr>
              <w:spacing w:before="60" w:after="160" w:line="259" w:lineRule="auto"/>
              <w:ind w:right="-2"/>
              <w:jc w:val="center"/>
              <w:rPr>
                <w:rFonts w:ascii="Gotham Book" w:hAnsi="Gotham Book" w:cs="Arial"/>
                <w:b/>
              </w:rPr>
            </w:pPr>
            <w:r w:rsidRPr="004A3983">
              <w:rPr>
                <w:rFonts w:ascii="Gotham Book" w:hAnsi="Gotham Book" w:cs="Arial"/>
                <w:b/>
              </w:rPr>
              <w:t>Should not be on register</w:t>
            </w:r>
          </w:p>
        </w:tc>
        <w:tc>
          <w:tcPr>
            <w:tcW w:w="1134" w:type="dxa"/>
            <w:vAlign w:val="center"/>
          </w:tcPr>
          <w:p w14:paraId="7EB3F3DC"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45</w:t>
            </w:r>
          </w:p>
        </w:tc>
        <w:tc>
          <w:tcPr>
            <w:tcW w:w="2552" w:type="dxa"/>
            <w:vAlign w:val="center"/>
          </w:tcPr>
          <w:p w14:paraId="589F2F77"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0.70%</w:t>
            </w:r>
          </w:p>
        </w:tc>
      </w:tr>
      <w:tr w:rsidR="005F7CD1" w:rsidRPr="004A3983" w14:paraId="3136C8B4" w14:textId="77777777" w:rsidTr="003E0C83">
        <w:tc>
          <w:tcPr>
            <w:tcW w:w="6232" w:type="dxa"/>
            <w:shd w:val="clear" w:color="auto" w:fill="D9D9D9" w:themeFill="background1" w:themeFillShade="D9"/>
            <w:vAlign w:val="center"/>
          </w:tcPr>
          <w:p w14:paraId="2DE10998" w14:textId="77777777" w:rsidR="005F7CD1" w:rsidRPr="004A3983" w:rsidRDefault="005F7CD1" w:rsidP="00062C0B">
            <w:pPr>
              <w:spacing w:before="60" w:after="160" w:line="259" w:lineRule="auto"/>
              <w:ind w:right="-2"/>
              <w:jc w:val="center"/>
              <w:rPr>
                <w:rFonts w:ascii="Gotham Book" w:hAnsi="Gotham Book" w:cs="Arial"/>
                <w:b/>
              </w:rPr>
            </w:pPr>
            <w:r w:rsidRPr="004A3983">
              <w:rPr>
                <w:rFonts w:ascii="Gotham Book" w:hAnsi="Gotham Book" w:cs="Arial"/>
                <w:b/>
              </w:rPr>
              <w:t>Total</w:t>
            </w:r>
          </w:p>
        </w:tc>
        <w:tc>
          <w:tcPr>
            <w:tcW w:w="1134" w:type="dxa"/>
            <w:vAlign w:val="center"/>
          </w:tcPr>
          <w:p w14:paraId="2D39D0C8" w14:textId="77777777" w:rsidR="005F7CD1" w:rsidRPr="004A3983" w:rsidRDefault="005F7CD1" w:rsidP="00062C0B">
            <w:pPr>
              <w:spacing w:before="60" w:after="160" w:line="259" w:lineRule="auto"/>
              <w:ind w:right="-2"/>
              <w:jc w:val="center"/>
              <w:rPr>
                <w:rFonts w:ascii="Gotham Book" w:hAnsi="Gotham Book" w:cs="Arial"/>
              </w:rPr>
            </w:pPr>
            <w:r w:rsidRPr="004A3983">
              <w:rPr>
                <w:rFonts w:ascii="Gotham Book" w:hAnsi="Gotham Book" w:cs="Arial"/>
              </w:rPr>
              <w:t>5749</w:t>
            </w:r>
          </w:p>
        </w:tc>
        <w:tc>
          <w:tcPr>
            <w:tcW w:w="2552" w:type="dxa"/>
            <w:vAlign w:val="center"/>
          </w:tcPr>
          <w:p w14:paraId="1E0B43DA" w14:textId="77777777" w:rsidR="005F7CD1" w:rsidRPr="004A3983" w:rsidRDefault="005F7CD1" w:rsidP="00062C0B">
            <w:pPr>
              <w:spacing w:before="60" w:after="160" w:line="259" w:lineRule="auto"/>
              <w:ind w:right="-2"/>
              <w:jc w:val="center"/>
              <w:rPr>
                <w:rFonts w:ascii="Gotham Book" w:hAnsi="Gotham Book" w:cs="Arial"/>
              </w:rPr>
            </w:pPr>
          </w:p>
        </w:tc>
      </w:tr>
    </w:tbl>
    <w:p w14:paraId="13630FE2" w14:textId="77777777" w:rsidR="00BC10DB" w:rsidRPr="004A3983" w:rsidRDefault="00BC10DB" w:rsidP="00062C0B">
      <w:pPr>
        <w:spacing w:after="160"/>
        <w:ind w:right="-2"/>
        <w:sectPr w:rsidR="00BC10DB" w:rsidRPr="004A3983" w:rsidSect="00C36AFD">
          <w:headerReference w:type="even" r:id="rId63"/>
          <w:headerReference w:type="default" r:id="rId64"/>
          <w:headerReference w:type="first" r:id="rId65"/>
          <w:pgSz w:w="11906" w:h="16838"/>
          <w:pgMar w:top="720" w:right="1276" w:bottom="1418" w:left="1276" w:header="709" w:footer="567" w:gutter="0"/>
          <w:cols w:space="708"/>
          <w:titlePg/>
          <w:docGrid w:linePitch="360"/>
        </w:sectPr>
      </w:pPr>
    </w:p>
    <w:p w14:paraId="6D85F29D" w14:textId="190E70F1" w:rsidR="00BC10DB" w:rsidRPr="004A3983" w:rsidRDefault="004A00DC" w:rsidP="001C3982">
      <w:pPr>
        <w:pStyle w:val="AppendixHeading1Nonumber"/>
        <w:framePr w:wrap="around"/>
      </w:pPr>
      <w:bookmarkStart w:id="546" w:name="_Toc22627847"/>
      <w:r w:rsidRPr="003D1AA5">
        <w:rPr>
          <w:rFonts w:asciiTheme="majorHAnsi" w:hAnsiTheme="majorHAnsi"/>
        </w:rPr>
        <w:lastRenderedPageBreak/>
        <w:t>Appendix</w:t>
      </w:r>
      <w:r w:rsidR="00BC10DB" w:rsidRPr="003D1AA5">
        <w:rPr>
          <w:rFonts w:asciiTheme="majorHAnsi" w:hAnsiTheme="majorHAnsi"/>
        </w:rPr>
        <w:t xml:space="preserve"> 2</w:t>
      </w:r>
      <w:r w:rsidR="00184577" w:rsidRPr="003D1AA5">
        <w:rPr>
          <w:rFonts w:asciiTheme="majorHAnsi" w:hAnsiTheme="majorHAnsi"/>
        </w:rPr>
        <w:t>:</w:t>
      </w:r>
      <w:r w:rsidR="008B1CB3" w:rsidRPr="004A3983">
        <w:t xml:space="preserve"> </w:t>
      </w:r>
      <w:r w:rsidR="00EF7626" w:rsidRPr="004A3983">
        <w:br/>
      </w:r>
      <w:r w:rsidR="00184577" w:rsidRPr="004A3983">
        <w:t>Analysis of the</w:t>
      </w:r>
      <w:r w:rsidR="00410F73">
        <w:t> </w:t>
      </w:r>
      <w:r w:rsidR="00184577" w:rsidRPr="00011F55">
        <w:rPr>
          <w:i/>
          <w:iCs/>
        </w:rPr>
        <w:t>Child Protection (Offenders Registration) Act 2000</w:t>
      </w:r>
      <w:r w:rsidR="00184577" w:rsidRPr="004A3983">
        <w:t xml:space="preserve"> (NSW)</w:t>
      </w:r>
      <w:bookmarkEnd w:id="546"/>
    </w:p>
    <w:p w14:paraId="4319C4B1" w14:textId="77777777" w:rsidR="00BC10DB" w:rsidRPr="004A3983" w:rsidRDefault="00BC10DB" w:rsidP="00F03C93">
      <w:pPr>
        <w:spacing w:after="160"/>
        <w:ind w:right="260"/>
      </w:pPr>
      <w:r w:rsidRPr="004A3983">
        <w:br w:type="page"/>
      </w:r>
    </w:p>
    <w:p w14:paraId="4A0B5297" w14:textId="77777777" w:rsidR="00712E48" w:rsidRPr="004A3983" w:rsidRDefault="00184577" w:rsidP="00F84ADE">
      <w:pPr>
        <w:pStyle w:val="AppendixHeading1"/>
      </w:pPr>
      <w:bookmarkStart w:id="547" w:name="_Toc22627848"/>
      <w:r w:rsidRPr="00F84ADE">
        <w:lastRenderedPageBreak/>
        <w:t>Introduction</w:t>
      </w:r>
      <w:bookmarkEnd w:id="547"/>
    </w:p>
    <w:p w14:paraId="5BEAD3AF" w14:textId="20E6CEEE" w:rsidR="00346EC2" w:rsidRPr="004A3983" w:rsidRDefault="00346EC2" w:rsidP="00062C0B">
      <w:pPr>
        <w:spacing w:after="160"/>
        <w:ind w:right="-2"/>
      </w:pPr>
      <w:r w:rsidRPr="004A3983">
        <w:t xml:space="preserve">The </w:t>
      </w:r>
      <w:r w:rsidRPr="004A3983">
        <w:rPr>
          <w:i/>
        </w:rPr>
        <w:t>Child Protection (</w:t>
      </w:r>
      <w:r w:rsidR="00684B76" w:rsidRPr="004A3983">
        <w:rPr>
          <w:i/>
        </w:rPr>
        <w:t>Offenders Registration) Act 2000</w:t>
      </w:r>
      <w:r w:rsidRPr="004A3983">
        <w:rPr>
          <w:i/>
        </w:rPr>
        <w:t xml:space="preserve"> (</w:t>
      </w:r>
      <w:r w:rsidR="00906C09" w:rsidRPr="004A3983">
        <w:t xml:space="preserve">NSW) (CPOR Act) gives </w:t>
      </w:r>
      <w:r w:rsidR="001169BC" w:rsidRPr="004A3983">
        <w:t>the</w:t>
      </w:r>
      <w:r w:rsidR="00410F73">
        <w:t> </w:t>
      </w:r>
      <w:r w:rsidR="001169BC" w:rsidRPr="004A3983">
        <w:t xml:space="preserve">NSW </w:t>
      </w:r>
      <w:r w:rsidRPr="004A3983">
        <w:t xml:space="preserve">Commissioner of Police responsibility for ensuring that a Child Protection Register (the Register) is established and maintained, containing personal information about persons who have been convicted of sexual or </w:t>
      </w:r>
      <w:r w:rsidR="001169BC" w:rsidRPr="004A3983">
        <w:t xml:space="preserve">certain </w:t>
      </w:r>
      <w:r w:rsidRPr="004A3983">
        <w:t>violent offences involving children, or offences relating to child abuse material.</w:t>
      </w:r>
      <w:r w:rsidRPr="004A3983">
        <w:rPr>
          <w:rStyle w:val="FootnoteReference"/>
        </w:rPr>
        <w:footnoteReference w:id="608"/>
      </w:r>
      <w:r w:rsidRPr="004A3983">
        <w:t xml:space="preserve"> The Act requires ‘registrable persons’ to make an initial and then annual reports to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of their personal details, and to report changes to their details, and travel plans, within certain timeframes.</w:t>
      </w:r>
      <w:r w:rsidRPr="004A3983">
        <w:rPr>
          <w:rStyle w:val="FootnoteReference"/>
        </w:rPr>
        <w:footnoteReference w:id="609"/>
      </w:r>
      <w:r w:rsidR="004C49A9" w:rsidRPr="004A3983">
        <w:t xml:space="preserve"> If a person fails to comply with any of these reporting obligations, they may be liable for up </w:t>
      </w:r>
      <w:r w:rsidRPr="004A3983">
        <w:t>to five years’ imprisonment.</w:t>
      </w:r>
      <w:r w:rsidRPr="004A3983">
        <w:rPr>
          <w:rStyle w:val="FootnoteReference"/>
        </w:rPr>
        <w:footnoteReference w:id="610"/>
      </w:r>
    </w:p>
    <w:p w14:paraId="3B052928" w14:textId="13D613AD" w:rsidR="00346EC2" w:rsidRPr="004A3983" w:rsidRDefault="00346EC2" w:rsidP="00062C0B">
      <w:pPr>
        <w:spacing w:after="160"/>
        <w:ind w:right="-2"/>
      </w:pPr>
      <w:r w:rsidRPr="004A3983">
        <w:t xml:space="preserve">The CPOR Act commenced in October 2001. It has been amended 41 times. Some of the most significant amendments </w:t>
      </w:r>
      <w:r w:rsidR="00425FF4" w:rsidRPr="004A3983">
        <w:t>had retrospective application</w:t>
      </w:r>
      <w:r w:rsidRPr="004A3983">
        <w:t>.</w:t>
      </w:r>
      <w:r w:rsidRPr="004A3983">
        <w:rPr>
          <w:rStyle w:val="FootnoteReference"/>
        </w:rPr>
        <w:footnoteReference w:id="611"/>
      </w:r>
    </w:p>
    <w:p w14:paraId="77397B01" w14:textId="50E4EE4D" w:rsidR="00346EC2" w:rsidRPr="004A3983" w:rsidRDefault="00346EC2" w:rsidP="00062C0B">
      <w:pPr>
        <w:spacing w:after="160"/>
        <w:ind w:right="-2"/>
      </w:pPr>
      <w:r w:rsidRPr="004A3983">
        <w:t>In September 2017 the Law Enforcement Conduct Commission (the Commission) launched an investigation into the administration of the Register</w:t>
      </w:r>
      <w:r w:rsidR="001169BC" w:rsidRPr="004A3983">
        <w:t xml:space="preserve"> by the NSW Police Force</w:t>
      </w:r>
      <w:r w:rsidRPr="004A3983">
        <w:t xml:space="preserve"> (Operation Tusket). After a review of Register case files, and initial consultations with </w:t>
      </w:r>
      <w:r w:rsidR="004D5DA3" w:rsidRPr="004A3983">
        <w:t xml:space="preserve">the </w:t>
      </w:r>
      <w:r w:rsidRPr="004A3983">
        <w:t>NSW</w:t>
      </w:r>
      <w:r w:rsidR="004D5DA3" w:rsidRPr="004A3983">
        <w:t xml:space="preserve"> </w:t>
      </w:r>
      <w:r w:rsidRPr="004A3983">
        <w:t>P</w:t>
      </w:r>
      <w:r w:rsidR="004D5DA3" w:rsidRPr="004A3983">
        <w:t xml:space="preserve">olice </w:t>
      </w:r>
      <w:r w:rsidRPr="004A3983">
        <w:t>F</w:t>
      </w:r>
      <w:r w:rsidR="004D5DA3" w:rsidRPr="004A3983">
        <w:t xml:space="preserve">orce, </w:t>
      </w:r>
      <w:r w:rsidRPr="004A3983">
        <w:t xml:space="preserve">it became clear to the Commission that there are a number of </w:t>
      </w:r>
      <w:r w:rsidR="00AF0011" w:rsidRPr="004A3983">
        <w:t xml:space="preserve">significant </w:t>
      </w:r>
      <w:r w:rsidRPr="004A3983">
        <w:t xml:space="preserve">problems with the CPOR Act, which can make implementation very difficult. </w:t>
      </w:r>
    </w:p>
    <w:p w14:paraId="32055E4A" w14:textId="23B4DFAF" w:rsidR="00346EC2" w:rsidRPr="004A3983" w:rsidRDefault="00346EC2" w:rsidP="00062C0B">
      <w:pPr>
        <w:spacing w:after="160"/>
        <w:ind w:right="-2"/>
      </w:pPr>
      <w:r w:rsidRPr="004A3983">
        <w:t xml:space="preserve">The Commission prepared </w:t>
      </w:r>
      <w:r w:rsidR="001B339F" w:rsidRPr="004A3983">
        <w:t xml:space="preserve">a Consultation Briefing which included </w:t>
      </w:r>
      <w:r w:rsidRPr="004A3983">
        <w:t>detailed and technical analysis of the problems it had identified with the CPOR Act. This Consultation Briefing was provided to the officers in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Child Protection Registry (the Registry), the specialist unit in the NSW Police Force State Crime Command that is primarily responsible for maintenance of the Register, </w:t>
      </w:r>
      <w:r w:rsidR="001B339F" w:rsidRPr="004A3983">
        <w:t xml:space="preserve">as well as legal officers in </w:t>
      </w:r>
      <w:r w:rsidRPr="004A3983">
        <w:t xml:space="preserve">the State Crime Command who regularly assist the Registry. We conducted a consultation on 18 October 2018 with those officers, to hear their views on the problems with the Act. </w:t>
      </w:r>
    </w:p>
    <w:p w14:paraId="5F7384BD" w14:textId="5A7B8712" w:rsidR="00346EC2" w:rsidRPr="004A3983" w:rsidRDefault="00346EC2" w:rsidP="00062C0B">
      <w:pPr>
        <w:spacing w:after="160"/>
        <w:ind w:right="-2"/>
      </w:pPr>
      <w:r w:rsidRPr="004A3983">
        <w:t xml:space="preserve">This appendix contains </w:t>
      </w:r>
      <w:r w:rsidR="001B339F" w:rsidRPr="004A3983">
        <w:t xml:space="preserve">our final </w:t>
      </w:r>
      <w:r w:rsidRPr="004A3983">
        <w:t xml:space="preserve">analysis of the </w:t>
      </w:r>
      <w:r w:rsidR="001B339F" w:rsidRPr="004A3983">
        <w:t>problems with the CPOR Act, which has been informed by</w:t>
      </w:r>
      <w:r w:rsidRPr="004A3983">
        <w:t xml:space="preserve"> the </w:t>
      </w:r>
      <w:r w:rsidR="001B339F" w:rsidRPr="004A3983">
        <w:t>feedback from the officers consulted</w:t>
      </w:r>
      <w:r w:rsidRPr="004A3983">
        <w:t>.</w:t>
      </w:r>
      <w:r w:rsidRPr="004A3983">
        <w:rPr>
          <w:rStyle w:val="FootnoteReference"/>
        </w:rPr>
        <w:footnoteReference w:id="612"/>
      </w:r>
      <w:r w:rsidRPr="004A3983">
        <w:t xml:space="preserve"> </w:t>
      </w:r>
    </w:p>
    <w:p w14:paraId="4EEE3BB4" w14:textId="3D6A38B1" w:rsidR="00346EC2" w:rsidRPr="004A3983" w:rsidRDefault="00346EC2" w:rsidP="00062C0B">
      <w:pPr>
        <w:spacing w:after="160"/>
        <w:ind w:right="-2"/>
      </w:pPr>
      <w:r w:rsidRPr="004A3983">
        <w:t>The consensus between the Commission and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w:t>
      </w:r>
      <w:r w:rsidR="00B236F3" w:rsidRPr="004A3983">
        <w:t>is that there is an urgent need</w:t>
      </w:r>
      <w:r w:rsidRPr="004A3983">
        <w:t xml:space="preserve"> for comprehensive reform of the CPOR Act. </w:t>
      </w:r>
      <w:r w:rsidR="001B339F" w:rsidRPr="004A3983">
        <w:rPr>
          <w:rFonts w:ascii="Gotham Book" w:hAnsi="Gotham Book"/>
        </w:rPr>
        <w:t>The NSW Commissioner of Police has stated that the CPOR Act ‘has been enormously challenging for the NSWPF to administer’.</w:t>
      </w:r>
      <w:r w:rsidR="001B339F" w:rsidRPr="004A3983">
        <w:rPr>
          <w:rStyle w:val="FootnoteReference"/>
          <w:rFonts w:ascii="Gotham Book" w:hAnsi="Gotham Book"/>
        </w:rPr>
        <w:footnoteReference w:id="613"/>
      </w:r>
      <w:r w:rsidR="001B339F" w:rsidRPr="004A3983">
        <w:t xml:space="preserve"> </w:t>
      </w:r>
      <w:r w:rsidRPr="004A3983">
        <w:t>There are a number of areas of complexity, ambiguity and errors in the Act which may result, or have already resulted, in incorrect decisions being made about which persons are registrable under the Act, and how long other registrable persons are required by the Act to report their personal information to police (their ‘reporting periods’).</w:t>
      </w:r>
    </w:p>
    <w:p w14:paraId="3FBA3748" w14:textId="70F648CA" w:rsidR="00346EC2" w:rsidRPr="004A3983" w:rsidRDefault="00346EC2" w:rsidP="00062C0B">
      <w:pPr>
        <w:spacing w:after="160"/>
        <w:ind w:right="-2"/>
      </w:pPr>
      <w:r w:rsidRPr="004A3983">
        <w:lastRenderedPageBreak/>
        <w:t xml:space="preserve">This appendix includes case studies which illustrate how difficult it can be to apply the Act in practice. They also highlight the serious consequences which can flow from an incorrect decision about a person’s registrable status, or the length of their reporting period. A number of persons in the case studies have been charged, convicted and sentenced, including to imprisonment, for offences under the CPOR </w:t>
      </w:r>
      <w:r w:rsidR="004F31CB" w:rsidRPr="004A3983">
        <w:t xml:space="preserve">Act which they did not commit. </w:t>
      </w:r>
    </w:p>
    <w:p w14:paraId="5151369E" w14:textId="28D6FA11" w:rsidR="00C060A7" w:rsidRPr="004A3983" w:rsidRDefault="00C060A7" w:rsidP="00062C0B">
      <w:pPr>
        <w:spacing w:after="160"/>
        <w:ind w:right="-2"/>
      </w:pPr>
      <w:r w:rsidRPr="004A3983">
        <w:t xml:space="preserve">This appendix identifies provisions of the CPOR Act which need to be redrafted in order to reduce the risk of errors in the Register. It also highlights approaches in other jurisdictions which may provide useful models for reform. </w:t>
      </w:r>
    </w:p>
    <w:p w14:paraId="0055BF20" w14:textId="282722DF" w:rsidR="00346EC2" w:rsidRPr="004A3983" w:rsidRDefault="00346EC2" w:rsidP="00062C0B">
      <w:pPr>
        <w:spacing w:after="160"/>
        <w:ind w:right="-2"/>
      </w:pPr>
      <w:r w:rsidRPr="004A3983">
        <w:t>Given the extent of the deficiencies in the Act set out in this appendix,</w:t>
      </w:r>
      <w:r w:rsidR="00A21749" w:rsidRPr="004A3983">
        <w:t xml:space="preserve"> the </w:t>
      </w:r>
      <w:r w:rsidR="00256555" w:rsidRPr="004A3983">
        <w:t>Commission recommends</w:t>
      </w:r>
      <w:r w:rsidRPr="004A3983">
        <w:t xml:space="preserve"> that the entire CPOR Act be </w:t>
      </w:r>
      <w:r w:rsidR="007A5DE7" w:rsidRPr="004A3983">
        <w:t xml:space="preserve">urgently </w:t>
      </w:r>
      <w:r w:rsidRPr="004A3983">
        <w:t>referred to the NSW Law Reform Commission for review</w:t>
      </w:r>
      <w:r w:rsidR="007A5DE7" w:rsidRPr="004A3983">
        <w:t>, to be completed in six months</w:t>
      </w:r>
      <w:r w:rsidRPr="004A3983">
        <w:t xml:space="preserve"> (see Chapter</w:t>
      </w:r>
      <w:r w:rsidR="00CB69D8" w:rsidRPr="004A3983">
        <w:t xml:space="preserve"> 6</w:t>
      </w:r>
      <w:r w:rsidR="00B3209B" w:rsidRPr="004A3983">
        <w:t xml:space="preserve">, </w:t>
      </w:r>
      <w:r w:rsidR="006205AC" w:rsidRPr="004A3983">
        <w:t>R</w:t>
      </w:r>
      <w:r w:rsidR="00382DDC" w:rsidRPr="004A3983">
        <w:t xml:space="preserve">ecommendation </w:t>
      </w:r>
      <w:r w:rsidR="007A5DE7" w:rsidRPr="004A3983">
        <w:t>3</w:t>
      </w:r>
      <w:r w:rsidRPr="004A3983">
        <w:t xml:space="preserve">). </w:t>
      </w:r>
    </w:p>
    <w:p w14:paraId="6D18664C" w14:textId="1619C300" w:rsidR="00346EC2" w:rsidRPr="004A3983" w:rsidRDefault="009448B1" w:rsidP="00062C0B">
      <w:pPr>
        <w:spacing w:after="160"/>
        <w:ind w:right="-2"/>
      </w:pPr>
      <w:r w:rsidRPr="004A3983">
        <w:t>This</w:t>
      </w:r>
      <w:r w:rsidR="00346EC2" w:rsidRPr="004A3983">
        <w:t xml:space="preserve"> report contains two other recommendations to address the risks of </w:t>
      </w:r>
      <w:r w:rsidR="00350925" w:rsidRPr="004A3983">
        <w:t>errors being made</w:t>
      </w:r>
      <w:r w:rsidR="00346EC2" w:rsidRPr="004A3983">
        <w:t xml:space="preserve"> in relation to the Register which should also be considered in the course of any law reform process:</w:t>
      </w:r>
    </w:p>
    <w:p w14:paraId="5C195869" w14:textId="15422A49" w:rsidR="00346EC2" w:rsidRPr="004A3983" w:rsidRDefault="00A446E8" w:rsidP="008B6100">
      <w:pPr>
        <w:pStyle w:val="ListBullet"/>
      </w:pPr>
      <w:r w:rsidRPr="004A3983">
        <w:fldChar w:fldCharType="begin"/>
      </w:r>
      <w:r w:rsidRPr="004A3983">
        <w:instrText xml:space="preserve"> REF _Ref9928752 \r \h </w:instrText>
      </w:r>
      <w:r w:rsidR="00C939BE" w:rsidRPr="004A3983">
        <w:instrText xml:space="preserve"> \* MERGEFORMAT </w:instrText>
      </w:r>
      <w:r w:rsidRPr="004A3983">
        <w:fldChar w:fldCharType="separate"/>
      </w:r>
      <w:r w:rsidR="00022664">
        <w:rPr>
          <w:rFonts w:hint="cs"/>
          <w:cs/>
        </w:rPr>
        <w:t>‎</w:t>
      </w:r>
      <w:r w:rsidR="00022664">
        <w:t>Recommendation 4:</w:t>
      </w:r>
      <w:r w:rsidRPr="004A3983">
        <w:fldChar w:fldCharType="end"/>
      </w:r>
      <w:r w:rsidR="00346EC2" w:rsidRPr="004A3983">
        <w:t xml:space="preserve"> A provision should be included in the CPOR Act</w:t>
      </w:r>
      <w:r w:rsidR="00256555" w:rsidRPr="004A3983">
        <w:t xml:space="preserve"> (or any Act which</w:t>
      </w:r>
      <w:r w:rsidR="00346EC2" w:rsidRPr="004A3983">
        <w:t xml:space="preserve"> replaces it) which gives a person the right to seek review by the NSW Police Force of the decision that they meet the definition of a registrable person under the Act, and/or the decision as</w:t>
      </w:r>
      <w:r w:rsidR="00C939BE" w:rsidRPr="004A3983">
        <w:t xml:space="preserve"> to which reporting period in s </w:t>
      </w:r>
      <w:r w:rsidR="00346EC2" w:rsidRPr="004A3983">
        <w:t>14A applies to the person.</w:t>
      </w:r>
      <w:r w:rsidR="008B6100">
        <w:t xml:space="preserve"> </w:t>
      </w:r>
      <w:r w:rsidR="008B6100" w:rsidRPr="008B6100">
        <w:t>Consideration should be given to providing a right of appeal from the NSW Police Force review to a tribunal or court</w:t>
      </w:r>
      <w:r w:rsidR="003E343D">
        <w:t>.</w:t>
      </w:r>
      <w:r w:rsidR="00CB69D8" w:rsidRPr="004A3983">
        <w:rPr>
          <w:rStyle w:val="FootnoteReference"/>
        </w:rPr>
        <w:footnoteReference w:id="614"/>
      </w:r>
      <w:r w:rsidR="00CA72B7" w:rsidRPr="004A3983">
        <w:t xml:space="preserve"> </w:t>
      </w:r>
    </w:p>
    <w:p w14:paraId="48EBC06D" w14:textId="3E4206ED" w:rsidR="00346EC2" w:rsidRPr="004A3983" w:rsidRDefault="00CA72B7" w:rsidP="00410F73">
      <w:pPr>
        <w:pStyle w:val="ListBullet"/>
      </w:pPr>
      <w:r w:rsidRPr="004A3983">
        <w:fldChar w:fldCharType="begin"/>
      </w:r>
      <w:r w:rsidRPr="004A3983">
        <w:instrText xml:space="preserve"> REF _Ref9928960 \r \h </w:instrText>
      </w:r>
      <w:r w:rsidR="00594312" w:rsidRPr="004A3983">
        <w:instrText xml:space="preserve"> \* MERGEFORMAT </w:instrText>
      </w:r>
      <w:r w:rsidRPr="004A3983">
        <w:fldChar w:fldCharType="separate"/>
      </w:r>
      <w:r w:rsidR="00022664">
        <w:rPr>
          <w:rFonts w:hint="cs"/>
          <w:cs/>
        </w:rPr>
        <w:t>‎</w:t>
      </w:r>
      <w:r w:rsidR="00022664">
        <w:t>Recommendation 11:</w:t>
      </w:r>
      <w:r w:rsidRPr="004A3983">
        <w:fldChar w:fldCharType="end"/>
      </w:r>
      <w:r w:rsidR="00346EC2" w:rsidRPr="004A3983">
        <w:t xml:space="preserve"> Provisions should be included i</w:t>
      </w:r>
      <w:r w:rsidR="00C939BE" w:rsidRPr="004A3983">
        <w:t>n the CPOR Act (or any Act which</w:t>
      </w:r>
      <w:r w:rsidR="00346EC2" w:rsidRPr="004A3983">
        <w:t xml:space="preserve"> replaces it) for independent compliance audit</w:t>
      </w:r>
      <w:r w:rsidR="00F4202E">
        <w:t>s</w:t>
      </w:r>
      <w:r w:rsidR="00346EC2" w:rsidRPr="004A3983">
        <w:t xml:space="preserve"> of the Child Protection Register with publicly reported (and de-identified) results, similar to </w:t>
      </w:r>
      <w:r w:rsidR="00011F55">
        <w:t>those</w:t>
      </w:r>
      <w:r w:rsidR="00346EC2" w:rsidRPr="004A3983">
        <w:t xml:space="preserve"> in the </w:t>
      </w:r>
      <w:r w:rsidR="00346EC2" w:rsidRPr="004A3983">
        <w:rPr>
          <w:i/>
        </w:rPr>
        <w:t>Sex Offenders Registration Act 2004</w:t>
      </w:r>
      <w:r w:rsidR="00346EC2" w:rsidRPr="004A3983">
        <w:t xml:space="preserve"> (Vic).</w:t>
      </w:r>
      <w:r w:rsidR="00076533" w:rsidRPr="004A3983">
        <w:rPr>
          <w:rStyle w:val="FootnoteReference"/>
        </w:rPr>
        <w:footnoteReference w:id="615"/>
      </w:r>
    </w:p>
    <w:p w14:paraId="7FCBEE81" w14:textId="40725092" w:rsidR="00FC671D" w:rsidRPr="004A3983" w:rsidRDefault="00FC671D" w:rsidP="00FC671D">
      <w:pPr>
        <w:widowControl w:val="0"/>
        <w:adjustRightInd w:val="0"/>
        <w:snapToGrid w:val="0"/>
        <w:spacing w:after="160"/>
        <w:ind w:right="-2"/>
      </w:pPr>
      <w:r w:rsidRPr="004A3983">
        <w:t>The NSW Police Force has stated that it supports both of these recommendations.</w:t>
      </w:r>
      <w:r w:rsidRPr="004A3983">
        <w:rPr>
          <w:rStyle w:val="FootnoteReference"/>
        </w:rPr>
        <w:footnoteReference w:id="616"/>
      </w:r>
    </w:p>
    <w:p w14:paraId="2B4CBEA0" w14:textId="5F490AA3" w:rsidR="008C0A2C" w:rsidRPr="004A3983" w:rsidRDefault="008C0A2C" w:rsidP="00FC671D">
      <w:pPr>
        <w:widowControl w:val="0"/>
        <w:adjustRightInd w:val="0"/>
        <w:snapToGrid w:val="0"/>
        <w:spacing w:after="160"/>
        <w:ind w:right="-2"/>
        <w:rPr>
          <w:rFonts w:ascii="Gotham Book" w:hAnsi="Gotham Book" w:cs="Arial"/>
        </w:rPr>
      </w:pPr>
      <w:r w:rsidRPr="004A3983">
        <w:rPr>
          <w:rFonts w:ascii="Gotham Book" w:hAnsi="Gotham Book" w:cs="Arial"/>
        </w:rPr>
        <w:t>Also, given the complexity of the CPOR Act, the Commission suggests that any law reform process should consider whether judicial officers should be given statutory responsibility for determining whether a person meets the definition of a registrable person, and calculating their initial reporting period.</w:t>
      </w:r>
      <w:r w:rsidRPr="004A3983">
        <w:rPr>
          <w:rStyle w:val="FootnoteReference"/>
          <w:rFonts w:ascii="Gotham Book" w:hAnsi="Gotham Book" w:cs="Arial"/>
        </w:rPr>
        <w:footnoteReference w:id="617"/>
      </w:r>
    </w:p>
    <w:p w14:paraId="5BB1A3F4" w14:textId="77777777" w:rsidR="00346EC2" w:rsidRPr="004A3983" w:rsidRDefault="00346EC2" w:rsidP="00F84ADE">
      <w:pPr>
        <w:pStyle w:val="AppendixHeading1"/>
      </w:pPr>
      <w:bookmarkStart w:id="548" w:name="_Toc8908737"/>
      <w:bookmarkStart w:id="549" w:name="_Toc22627849"/>
      <w:r w:rsidRPr="004A3983">
        <w:t xml:space="preserve">Overview of problems with the </w:t>
      </w:r>
      <w:r w:rsidRPr="00F84ADE">
        <w:t>CPOR</w:t>
      </w:r>
      <w:r w:rsidRPr="004A3983">
        <w:t xml:space="preserve"> Act</w:t>
      </w:r>
      <w:bookmarkEnd w:id="548"/>
      <w:bookmarkEnd w:id="549"/>
    </w:p>
    <w:p w14:paraId="70D8BECC" w14:textId="61EE7621" w:rsidR="00346EC2" w:rsidRPr="004A3983" w:rsidRDefault="00346EC2" w:rsidP="00062C0B">
      <w:pPr>
        <w:spacing w:after="160"/>
        <w:ind w:right="-2"/>
      </w:pPr>
      <w:r w:rsidRPr="004A3983">
        <w:t>In order to implement the CPOR Act,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must be able to:</w:t>
      </w:r>
    </w:p>
    <w:p w14:paraId="323A158C" w14:textId="77777777" w:rsidR="00346EC2" w:rsidRPr="004A3983" w:rsidRDefault="00346EC2" w:rsidP="00677139">
      <w:pPr>
        <w:pStyle w:val="ListNumber"/>
        <w:numPr>
          <w:ilvl w:val="0"/>
          <w:numId w:val="22"/>
        </w:numPr>
      </w:pPr>
      <w:r w:rsidRPr="004A3983">
        <w:t>identify when a person has been convicted of a ‘registrable offence’ (including in a different jurisdiction);</w:t>
      </w:r>
    </w:p>
    <w:p w14:paraId="219B9095" w14:textId="14A6D7B2" w:rsidR="00346EC2" w:rsidRPr="004A3983" w:rsidRDefault="00766E03" w:rsidP="00677139">
      <w:pPr>
        <w:pStyle w:val="ListNumber"/>
        <w:numPr>
          <w:ilvl w:val="0"/>
          <w:numId w:val="22"/>
        </w:numPr>
      </w:pPr>
      <w:r w:rsidRPr="004A3983">
        <w:lastRenderedPageBreak/>
        <w:t>determine if the person</w:t>
      </w:r>
      <w:r w:rsidR="00346EC2" w:rsidRPr="004A3983">
        <w:t xml:space="preserve"> is a ‘registrable person’ in the particular circumstances, or whether an exception to registration applies;</w:t>
      </w:r>
    </w:p>
    <w:p w14:paraId="62AC26FD" w14:textId="3CAD65AA" w:rsidR="00346EC2" w:rsidRPr="004A3983" w:rsidRDefault="00346EC2" w:rsidP="00677139">
      <w:pPr>
        <w:pStyle w:val="ListNumber"/>
        <w:numPr>
          <w:ilvl w:val="0"/>
          <w:numId w:val="22"/>
        </w:numPr>
      </w:pPr>
      <w:r w:rsidRPr="004A3983">
        <w:t>calculate for how long the registrable person is required to make reports of their personal information to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(ie their ‘reporting period’);</w:t>
      </w:r>
    </w:p>
    <w:p w14:paraId="3BDD0AE4" w14:textId="7DA1E9A3" w:rsidR="00346EC2" w:rsidRPr="004A3983" w:rsidRDefault="00346EC2" w:rsidP="00677139">
      <w:pPr>
        <w:pStyle w:val="ListNumber"/>
        <w:numPr>
          <w:ilvl w:val="0"/>
          <w:numId w:val="22"/>
        </w:numPr>
      </w:pPr>
      <w:r w:rsidRPr="004A3983">
        <w:t xml:space="preserve">identify the </w:t>
      </w:r>
      <w:r w:rsidR="009448B1" w:rsidRPr="004A3983">
        <w:t xml:space="preserve">different </w:t>
      </w:r>
      <w:r w:rsidRPr="004A3983">
        <w:t>timeframes within which the registrable person is required to report changes to their personal information, and therefore when they will be liable to pr</w:t>
      </w:r>
      <w:r w:rsidR="009448B1" w:rsidRPr="004A3983">
        <w:t>osecution for failing to report</w:t>
      </w:r>
      <w:r w:rsidR="00A969B0" w:rsidRPr="004A3983">
        <w:t>,</w:t>
      </w:r>
      <w:r w:rsidRPr="004A3983">
        <w:t xml:space="preserve"> and</w:t>
      </w:r>
    </w:p>
    <w:p w14:paraId="73934337" w14:textId="29F7B0DC" w:rsidR="00346EC2" w:rsidRPr="004A3983" w:rsidRDefault="00346EC2" w:rsidP="00677139">
      <w:pPr>
        <w:pStyle w:val="ListNumber"/>
        <w:numPr>
          <w:ilvl w:val="0"/>
          <w:numId w:val="22"/>
        </w:numPr>
      </w:pPr>
      <w:r w:rsidRPr="004A3983">
        <w:t>identify when, and for how long, the registrable person’s reporting obligations need to be suspended and/or extended for periods during which the person was in government custody, travelling, or in breach of their reporting obligations.</w:t>
      </w:r>
    </w:p>
    <w:p w14:paraId="738692A2" w14:textId="0BAE3613" w:rsidR="00346EC2" w:rsidRPr="004A3983" w:rsidRDefault="00346EC2" w:rsidP="00062C0B">
      <w:pPr>
        <w:spacing w:after="160"/>
        <w:ind w:right="-2"/>
      </w:pPr>
      <w:r w:rsidRPr="004A3983">
        <w:t xml:space="preserve">The conclusion </w:t>
      </w:r>
      <w:r w:rsidR="00242E33" w:rsidRPr="004A3983">
        <w:t xml:space="preserve">of the Commission </w:t>
      </w:r>
      <w:r w:rsidRPr="004A3983">
        <w:t>is that given the current provisions in the CPOR Act, it is inevitable that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will make errors in administering the Register. This is because:</w:t>
      </w:r>
    </w:p>
    <w:p w14:paraId="0CB44239" w14:textId="27D61AC3" w:rsidR="00346EC2" w:rsidRPr="004A3983" w:rsidRDefault="00346EC2" w:rsidP="00410F73">
      <w:pPr>
        <w:pStyle w:val="ListBullet"/>
      </w:pPr>
      <w:r w:rsidRPr="004A3983">
        <w:t xml:space="preserve">the CPOR Act makes it difficult, if not impossible, to identify every offence that will be registrable, as it does not specifically list each registrable offence, and there are errors in the Act (see </w:t>
      </w:r>
      <w:r w:rsidR="00B76999" w:rsidRPr="004A3983">
        <w:t>p</w:t>
      </w:r>
      <w:r w:rsidR="00A9327C" w:rsidRPr="004A3983">
        <w:t xml:space="preserve">art </w:t>
      </w:r>
      <w:r w:rsidR="00A9327C" w:rsidRPr="004A3983">
        <w:fldChar w:fldCharType="begin"/>
      </w:r>
      <w:r w:rsidR="00A9327C" w:rsidRPr="004A3983">
        <w:instrText xml:space="preserve"> REF _Ref9929809 \r \h </w:instrText>
      </w:r>
      <w:r w:rsidR="00EE3660" w:rsidRPr="004A3983">
        <w:instrText xml:space="preserve"> \* MERGEFORMAT </w:instrText>
      </w:r>
      <w:r w:rsidR="00A9327C" w:rsidRPr="004A3983">
        <w:fldChar w:fldCharType="separate"/>
      </w:r>
      <w:r w:rsidR="00022664">
        <w:rPr>
          <w:rFonts w:hint="cs"/>
          <w:cs/>
        </w:rPr>
        <w:t>‎</w:t>
      </w:r>
      <w:r w:rsidR="00022664">
        <w:t>3</w:t>
      </w:r>
      <w:r w:rsidR="00A9327C" w:rsidRPr="004A3983">
        <w:fldChar w:fldCharType="end"/>
      </w:r>
      <w:r w:rsidR="00E450E5" w:rsidRPr="004A3983">
        <w:t xml:space="preserve"> in this appendix</w:t>
      </w:r>
      <w:r w:rsidRPr="004A3983">
        <w:t>)</w:t>
      </w:r>
      <w:r w:rsidR="00923B91" w:rsidRPr="004A3983">
        <w:t>;</w:t>
      </w:r>
    </w:p>
    <w:p w14:paraId="7A5D3170" w14:textId="1F09DEF9" w:rsidR="00346EC2" w:rsidRPr="004A3983" w:rsidRDefault="00346EC2" w:rsidP="00410F73">
      <w:pPr>
        <w:pStyle w:val="ListBullet"/>
      </w:pPr>
      <w:r w:rsidRPr="004A3983">
        <w:t xml:space="preserve">a significant amount of detail about a person’s </w:t>
      </w:r>
      <w:r w:rsidR="00244413" w:rsidRPr="004A3983">
        <w:t xml:space="preserve">criminal </w:t>
      </w:r>
      <w:r w:rsidRPr="004A3983">
        <w:t xml:space="preserve">history is required to correctly determine whether a person is registrable and their reporting period, sometimes more detail than was required to convict the person of the offences (see </w:t>
      </w:r>
      <w:r w:rsidR="00B76999" w:rsidRPr="004A3983">
        <w:t>p</w:t>
      </w:r>
      <w:r w:rsidRPr="004A3983">
        <w:t xml:space="preserve">arts </w:t>
      </w:r>
      <w:r w:rsidR="00A9327C" w:rsidRPr="004A3983">
        <w:fldChar w:fldCharType="begin"/>
      </w:r>
      <w:r w:rsidR="00A9327C" w:rsidRPr="004A3983">
        <w:instrText xml:space="preserve"> REF _Ref9929878 \r \h </w:instrText>
      </w:r>
      <w:r w:rsidR="00167101" w:rsidRPr="004A3983">
        <w:instrText xml:space="preserve"> \* MERGEFORMAT </w:instrText>
      </w:r>
      <w:r w:rsidR="00A9327C" w:rsidRPr="004A3983">
        <w:fldChar w:fldCharType="separate"/>
      </w:r>
      <w:r w:rsidR="00022664">
        <w:rPr>
          <w:rFonts w:hint="cs"/>
          <w:cs/>
        </w:rPr>
        <w:t>‎</w:t>
      </w:r>
      <w:r w:rsidR="00022664">
        <w:t>4.1</w:t>
      </w:r>
      <w:r w:rsidR="00A9327C" w:rsidRPr="004A3983">
        <w:fldChar w:fldCharType="end"/>
      </w:r>
      <w:r w:rsidR="00A9327C" w:rsidRPr="004A3983">
        <w:t xml:space="preserve"> and </w:t>
      </w:r>
      <w:r w:rsidR="00A9327C" w:rsidRPr="004A3983">
        <w:fldChar w:fldCharType="begin"/>
      </w:r>
      <w:r w:rsidR="00A9327C" w:rsidRPr="004A3983">
        <w:instrText xml:space="preserve"> REF _Ref9929888 \r \h </w:instrText>
      </w:r>
      <w:r w:rsidR="00167101" w:rsidRPr="004A3983">
        <w:instrText xml:space="preserve"> \* MERGEFORMAT </w:instrText>
      </w:r>
      <w:r w:rsidR="00A9327C" w:rsidRPr="004A3983">
        <w:fldChar w:fldCharType="separate"/>
      </w:r>
      <w:r w:rsidR="00022664">
        <w:rPr>
          <w:rFonts w:hint="cs"/>
          <w:cs/>
        </w:rPr>
        <w:t>‎</w:t>
      </w:r>
      <w:r w:rsidR="00022664">
        <w:t>4.2</w:t>
      </w:r>
      <w:r w:rsidR="00A9327C" w:rsidRPr="004A3983">
        <w:fldChar w:fldCharType="end"/>
      </w:r>
      <w:r w:rsidRPr="004A3983">
        <w:t xml:space="preserve">, </w:t>
      </w:r>
      <w:r w:rsidR="00A9327C" w:rsidRPr="004A3983">
        <w:fldChar w:fldCharType="begin"/>
      </w:r>
      <w:r w:rsidR="00A9327C" w:rsidRPr="004A3983">
        <w:instrText xml:space="preserve"> REF _Ref9929895 \r \h </w:instrText>
      </w:r>
      <w:r w:rsidR="00167101" w:rsidRPr="004A3983">
        <w:instrText xml:space="preserve"> \* MERGEFORMAT </w:instrText>
      </w:r>
      <w:r w:rsidR="00A9327C" w:rsidRPr="004A3983">
        <w:fldChar w:fldCharType="separate"/>
      </w:r>
      <w:r w:rsidR="00022664">
        <w:rPr>
          <w:rFonts w:hint="cs"/>
          <w:cs/>
        </w:rPr>
        <w:t>‎</w:t>
      </w:r>
      <w:r w:rsidR="00022664">
        <w:t>5.1</w:t>
      </w:r>
      <w:r w:rsidR="00A9327C" w:rsidRPr="004A3983">
        <w:fldChar w:fldCharType="end"/>
      </w:r>
      <w:r w:rsidRPr="004A3983">
        <w:t xml:space="preserve"> to </w:t>
      </w:r>
      <w:r w:rsidR="00A9327C" w:rsidRPr="004A3983">
        <w:fldChar w:fldCharType="begin"/>
      </w:r>
      <w:r w:rsidR="00A9327C" w:rsidRPr="004A3983">
        <w:instrText xml:space="preserve"> REF _Ref9929929 \r \h </w:instrText>
      </w:r>
      <w:r w:rsidR="00EE3660" w:rsidRPr="004A3983">
        <w:instrText xml:space="preserve"> \* MERGEFORMAT </w:instrText>
      </w:r>
      <w:r w:rsidR="00A9327C" w:rsidRPr="004A3983">
        <w:fldChar w:fldCharType="separate"/>
      </w:r>
      <w:r w:rsidR="00022664">
        <w:rPr>
          <w:rFonts w:hint="cs"/>
          <w:cs/>
        </w:rPr>
        <w:t>‎</w:t>
      </w:r>
      <w:r w:rsidR="00022664">
        <w:t>5.3</w:t>
      </w:r>
      <w:r w:rsidR="00A9327C" w:rsidRPr="004A3983">
        <w:fldChar w:fldCharType="end"/>
      </w:r>
      <w:r w:rsidRPr="004A3983">
        <w:t>)</w:t>
      </w:r>
      <w:r w:rsidR="00923B91" w:rsidRPr="004A3983">
        <w:t>;</w:t>
      </w:r>
    </w:p>
    <w:p w14:paraId="643E8062" w14:textId="70C42DF2" w:rsidR="00346EC2" w:rsidRPr="004A3983" w:rsidRDefault="00346EC2" w:rsidP="00410F73">
      <w:pPr>
        <w:pStyle w:val="ListBullet"/>
      </w:pPr>
      <w:r w:rsidRPr="004A3983">
        <w:t>certain provisions which are ambiguous or lack specificity allow for different interpretations and inconsistent decisions as to who is registrable and the length of their reporting period, and when their reporting obligations</w:t>
      </w:r>
      <w:r w:rsidR="00911038" w:rsidRPr="004A3983">
        <w:t xml:space="preserve"> will be extended (s</w:t>
      </w:r>
      <w:r w:rsidRPr="004A3983">
        <w:t xml:space="preserve">ee </w:t>
      </w:r>
      <w:r w:rsidR="00B76999" w:rsidRPr="004A3983">
        <w:t>p</w:t>
      </w:r>
      <w:r w:rsidRPr="004A3983">
        <w:t xml:space="preserve">arts </w:t>
      </w:r>
      <w:r w:rsidR="00A9327C" w:rsidRPr="004A3983">
        <w:fldChar w:fldCharType="begin"/>
      </w:r>
      <w:r w:rsidR="00A9327C" w:rsidRPr="004A3983">
        <w:instrText xml:space="preserve"> REF _Ref9929937 \r \h </w:instrText>
      </w:r>
      <w:r w:rsidR="00703A56" w:rsidRPr="004A3983">
        <w:instrText xml:space="preserve"> \* MERGEFORMAT </w:instrText>
      </w:r>
      <w:r w:rsidR="00A9327C" w:rsidRPr="004A3983">
        <w:fldChar w:fldCharType="separate"/>
      </w:r>
      <w:r w:rsidR="00022664">
        <w:rPr>
          <w:rFonts w:hint="cs"/>
          <w:cs/>
        </w:rPr>
        <w:t>‎</w:t>
      </w:r>
      <w:r w:rsidR="00022664">
        <w:t>4.2</w:t>
      </w:r>
      <w:r w:rsidR="00A9327C" w:rsidRPr="004A3983">
        <w:fldChar w:fldCharType="end"/>
      </w:r>
      <w:r w:rsidR="00A9327C" w:rsidRPr="004A3983">
        <w:t xml:space="preserve">, </w:t>
      </w:r>
      <w:r w:rsidR="00A9327C" w:rsidRPr="004A3983">
        <w:fldChar w:fldCharType="begin"/>
      </w:r>
      <w:r w:rsidR="00A9327C" w:rsidRPr="004A3983">
        <w:instrText xml:space="preserve"> REF _Ref9929943 \r \h </w:instrText>
      </w:r>
      <w:r w:rsidR="00EE3660" w:rsidRPr="004A3983">
        <w:instrText xml:space="preserve"> \* MERGEFORMAT </w:instrText>
      </w:r>
      <w:r w:rsidR="00A9327C" w:rsidRPr="004A3983">
        <w:fldChar w:fldCharType="separate"/>
      </w:r>
      <w:r w:rsidR="00022664">
        <w:rPr>
          <w:rFonts w:hint="cs"/>
          <w:cs/>
        </w:rPr>
        <w:t>‎</w:t>
      </w:r>
      <w:r w:rsidR="00022664">
        <w:t>5.3</w:t>
      </w:r>
      <w:r w:rsidR="00A9327C" w:rsidRPr="004A3983">
        <w:fldChar w:fldCharType="end"/>
      </w:r>
      <w:r w:rsidR="00A9327C" w:rsidRPr="004A3983">
        <w:t xml:space="preserve"> and </w:t>
      </w:r>
      <w:r w:rsidR="00A9327C" w:rsidRPr="004A3983">
        <w:fldChar w:fldCharType="begin"/>
      </w:r>
      <w:r w:rsidR="00A9327C" w:rsidRPr="004A3983">
        <w:instrText xml:space="preserve"> REF _Ref9929951 \r \h </w:instrText>
      </w:r>
      <w:r w:rsidR="00EE3660" w:rsidRPr="004A3983">
        <w:instrText xml:space="preserve"> \* MERGEFORMAT </w:instrText>
      </w:r>
      <w:r w:rsidR="00A9327C" w:rsidRPr="004A3983">
        <w:fldChar w:fldCharType="separate"/>
      </w:r>
      <w:r w:rsidR="00022664">
        <w:rPr>
          <w:rFonts w:hint="cs"/>
          <w:cs/>
        </w:rPr>
        <w:t>‎</w:t>
      </w:r>
      <w:r w:rsidR="00022664">
        <w:t>8</w:t>
      </w:r>
      <w:r w:rsidR="00A9327C" w:rsidRPr="004A3983">
        <w:fldChar w:fldCharType="end"/>
      </w:r>
      <w:r w:rsidRPr="004A3983">
        <w:t>)</w:t>
      </w:r>
      <w:r w:rsidR="00923B91" w:rsidRPr="004A3983">
        <w:t>;</w:t>
      </w:r>
    </w:p>
    <w:p w14:paraId="4CD0229E" w14:textId="1CFA88EC" w:rsidR="00346EC2" w:rsidRPr="004A3983" w:rsidRDefault="00346EC2" w:rsidP="00410F73">
      <w:pPr>
        <w:pStyle w:val="ListBullet"/>
      </w:pPr>
      <w:r w:rsidRPr="004A3983">
        <w:t>ambiguity in some of the reporting obligation provisions, particularly in relation to timeframes for reporting, make it unclear exactly whe</w:t>
      </w:r>
      <w:r w:rsidR="00244413" w:rsidRPr="004A3983">
        <w:t>n criminal liability for failing</w:t>
      </w:r>
      <w:r w:rsidRPr="004A3983">
        <w:t xml:space="preserve"> to report will arise (see </w:t>
      </w:r>
      <w:r w:rsidR="00B76999" w:rsidRPr="004A3983">
        <w:t>p</w:t>
      </w:r>
      <w:r w:rsidR="00A9327C" w:rsidRPr="004A3983">
        <w:t xml:space="preserve">art </w:t>
      </w:r>
      <w:r w:rsidR="00A9327C" w:rsidRPr="004A3983">
        <w:fldChar w:fldCharType="begin"/>
      </w:r>
      <w:r w:rsidR="00A9327C" w:rsidRPr="004A3983">
        <w:instrText xml:space="preserve"> REF _Ref9929964 \r \h </w:instrText>
      </w:r>
      <w:r w:rsidR="00EE3660" w:rsidRPr="004A3983">
        <w:instrText xml:space="preserve"> \* MERGEFORMAT </w:instrText>
      </w:r>
      <w:r w:rsidR="00A9327C" w:rsidRPr="004A3983">
        <w:fldChar w:fldCharType="separate"/>
      </w:r>
      <w:r w:rsidR="00022664">
        <w:rPr>
          <w:rFonts w:hint="cs"/>
          <w:cs/>
        </w:rPr>
        <w:t>‎</w:t>
      </w:r>
      <w:r w:rsidR="00022664">
        <w:t>7</w:t>
      </w:r>
      <w:r w:rsidR="00A9327C" w:rsidRPr="004A3983">
        <w:fldChar w:fldCharType="end"/>
      </w:r>
      <w:r w:rsidRPr="004A3983">
        <w:t>)</w:t>
      </w:r>
      <w:r w:rsidR="00923B91" w:rsidRPr="004A3983">
        <w:t>, and</w:t>
      </w:r>
    </w:p>
    <w:p w14:paraId="67CCDA44" w14:textId="0E909302" w:rsidR="00346EC2" w:rsidRPr="004A3983" w:rsidRDefault="00346EC2" w:rsidP="00410F73">
      <w:pPr>
        <w:pStyle w:val="ListBullet"/>
      </w:pPr>
      <w:r w:rsidRPr="004A3983">
        <w:t>the provisions relating to the reporting obligations of persons who commit registrable offences in other jurisdictions and move to N</w:t>
      </w:r>
      <w:r w:rsidR="00766E03" w:rsidRPr="004A3983">
        <w:t xml:space="preserve">ew </w:t>
      </w:r>
      <w:r w:rsidRPr="004A3983">
        <w:t>S</w:t>
      </w:r>
      <w:r w:rsidR="00766E03" w:rsidRPr="004A3983">
        <w:t xml:space="preserve">outh </w:t>
      </w:r>
      <w:r w:rsidRPr="004A3983">
        <w:t>W</w:t>
      </w:r>
      <w:r w:rsidR="00766E03" w:rsidRPr="004A3983">
        <w:t>ales</w:t>
      </w:r>
      <w:r w:rsidRPr="004A3983">
        <w:t xml:space="preserve"> are particularly challenging to apply (see </w:t>
      </w:r>
      <w:r w:rsidR="00B76999" w:rsidRPr="004A3983">
        <w:t>p</w:t>
      </w:r>
      <w:r w:rsidR="00A9327C" w:rsidRPr="004A3983">
        <w:t xml:space="preserve">arts </w:t>
      </w:r>
      <w:r w:rsidR="00A9327C" w:rsidRPr="004A3983">
        <w:fldChar w:fldCharType="begin"/>
      </w:r>
      <w:r w:rsidR="00A9327C" w:rsidRPr="004A3983">
        <w:instrText xml:space="preserve"> REF _Ref9929983 \r \h </w:instrText>
      </w:r>
      <w:r w:rsidR="00EE3660" w:rsidRPr="004A3983">
        <w:instrText xml:space="preserve"> \* MERGEFORMAT </w:instrText>
      </w:r>
      <w:r w:rsidR="00A9327C" w:rsidRPr="004A3983">
        <w:fldChar w:fldCharType="separate"/>
      </w:r>
      <w:r w:rsidR="00022664">
        <w:rPr>
          <w:rFonts w:hint="cs"/>
          <w:cs/>
        </w:rPr>
        <w:t>‎</w:t>
      </w:r>
      <w:r w:rsidR="00022664">
        <w:t>6</w:t>
      </w:r>
      <w:r w:rsidR="00A9327C" w:rsidRPr="004A3983">
        <w:fldChar w:fldCharType="end"/>
      </w:r>
      <w:r w:rsidR="00A9327C" w:rsidRPr="004A3983">
        <w:t xml:space="preserve"> and </w:t>
      </w:r>
      <w:r w:rsidR="00A9327C" w:rsidRPr="004A3983">
        <w:fldChar w:fldCharType="begin"/>
      </w:r>
      <w:r w:rsidR="00A9327C" w:rsidRPr="004A3983">
        <w:instrText xml:space="preserve"> REF _Ref9929974 \r \h </w:instrText>
      </w:r>
      <w:r w:rsidR="00EE3660" w:rsidRPr="004A3983">
        <w:instrText xml:space="preserve"> \* MERGEFORMAT </w:instrText>
      </w:r>
      <w:r w:rsidR="00A9327C" w:rsidRPr="004A3983">
        <w:fldChar w:fldCharType="separate"/>
      </w:r>
      <w:r w:rsidR="00022664">
        <w:rPr>
          <w:rFonts w:hint="cs"/>
          <w:cs/>
        </w:rPr>
        <w:t>‎</w:t>
      </w:r>
      <w:r w:rsidR="00022664">
        <w:t>7.3</w:t>
      </w:r>
      <w:r w:rsidR="00A9327C" w:rsidRPr="004A3983">
        <w:fldChar w:fldCharType="end"/>
      </w:r>
      <w:r w:rsidRPr="004A3983">
        <w:t>).</w:t>
      </w:r>
    </w:p>
    <w:p w14:paraId="7CED8FBB" w14:textId="77777777" w:rsidR="00B1234C" w:rsidRPr="004A3983" w:rsidRDefault="00B1234C" w:rsidP="00F84ADE">
      <w:pPr>
        <w:pStyle w:val="AppendixHeading1"/>
      </w:pPr>
      <w:bookmarkStart w:id="550" w:name="_Toc8908738"/>
      <w:bookmarkStart w:id="551" w:name="_Ref9429691"/>
      <w:bookmarkStart w:id="552" w:name="_Ref9929436"/>
      <w:bookmarkStart w:id="553" w:name="_Ref9929809"/>
      <w:bookmarkStart w:id="554" w:name="_Ref10038697"/>
      <w:bookmarkStart w:id="555" w:name="_Toc22627850"/>
      <w:r w:rsidRPr="004A3983">
        <w:t xml:space="preserve">Identifying ‘registrable </w:t>
      </w:r>
      <w:r w:rsidRPr="00F84ADE">
        <w:t>offences’</w:t>
      </w:r>
      <w:bookmarkEnd w:id="550"/>
      <w:bookmarkEnd w:id="551"/>
      <w:bookmarkEnd w:id="552"/>
      <w:bookmarkEnd w:id="553"/>
      <w:bookmarkEnd w:id="554"/>
      <w:bookmarkEnd w:id="555"/>
    </w:p>
    <w:p w14:paraId="00102507" w14:textId="725D47C5" w:rsidR="00B1234C" w:rsidRPr="004A3983" w:rsidRDefault="00B1234C" w:rsidP="00062C0B">
      <w:pPr>
        <w:spacing w:after="160"/>
        <w:ind w:right="-2"/>
      </w:pPr>
      <w:r w:rsidRPr="004A3983">
        <w:t xml:space="preserve">There are three groups of registrable offences under the CPOR Act, ‘Class </w:t>
      </w:r>
      <w:r w:rsidR="008944FE" w:rsidRPr="004A3983">
        <w:t>1’ offences, ‘Class 2’ offences</w:t>
      </w:r>
      <w:r w:rsidRPr="004A3983">
        <w:t xml:space="preserve"> and offences that result in the making of a child protection registration order.</w:t>
      </w:r>
      <w:r w:rsidRPr="004A3983">
        <w:rPr>
          <w:rStyle w:val="FootnoteReference"/>
        </w:rPr>
        <w:footnoteReference w:id="618"/>
      </w:r>
      <w:r w:rsidRPr="004A3983">
        <w:t xml:space="preserve"> Which ‘class’ the offence falls into affects the calculation of the person’s reporting period (discussed in </w:t>
      </w:r>
      <w:r w:rsidR="00B76999" w:rsidRPr="004A3983">
        <w:t>p</w:t>
      </w:r>
      <w:r w:rsidR="00FA56D8" w:rsidRPr="004A3983">
        <w:t xml:space="preserve">art </w:t>
      </w:r>
      <w:r w:rsidR="00FA56D8" w:rsidRPr="004A3983">
        <w:fldChar w:fldCharType="begin"/>
      </w:r>
      <w:r w:rsidR="00FA56D8" w:rsidRPr="004A3983">
        <w:instrText xml:space="preserve"> REF _Ref9930011 \r \h </w:instrText>
      </w:r>
      <w:r w:rsidR="00244413" w:rsidRPr="004A3983">
        <w:instrText xml:space="preserve"> \* MERGEFORMAT </w:instrText>
      </w:r>
      <w:r w:rsidR="00FA56D8" w:rsidRPr="004A3983">
        <w:fldChar w:fldCharType="separate"/>
      </w:r>
      <w:r w:rsidR="00022664">
        <w:rPr>
          <w:rFonts w:hint="cs"/>
          <w:cs/>
        </w:rPr>
        <w:t>‎</w:t>
      </w:r>
      <w:r w:rsidR="00022664">
        <w:t>5</w:t>
      </w:r>
      <w:r w:rsidR="00FA56D8" w:rsidRPr="004A3983">
        <w:fldChar w:fldCharType="end"/>
      </w:r>
      <w:r w:rsidRPr="004A3983">
        <w:t xml:space="preserve"> below).</w:t>
      </w:r>
    </w:p>
    <w:p w14:paraId="06691BE5" w14:textId="26563F83" w:rsidR="00B1234C" w:rsidRPr="004A3983" w:rsidRDefault="00B1234C" w:rsidP="00062C0B">
      <w:pPr>
        <w:spacing w:after="160"/>
        <w:ind w:right="-2"/>
      </w:pPr>
      <w:r w:rsidRPr="004A3983">
        <w:lastRenderedPageBreak/>
        <w:t>The definitions of Class 1 and Class 2 offences sit in the definitions section of the CPOR Act. The way these definitions are drafted makes it very difficult to identify all</w:t>
      </w:r>
      <w:r w:rsidR="00DF355A">
        <w:t> </w:t>
      </w:r>
      <w:r w:rsidR="00244413" w:rsidRPr="004A3983">
        <w:t xml:space="preserve">possible </w:t>
      </w:r>
      <w:r w:rsidRPr="004A3983">
        <w:t xml:space="preserve">registrable offences. </w:t>
      </w:r>
    </w:p>
    <w:p w14:paraId="095FC2F7" w14:textId="7D3BC91C" w:rsidR="00B1234C" w:rsidRPr="004A3983" w:rsidRDefault="00B1234C" w:rsidP="00062C0B">
      <w:pPr>
        <w:spacing w:after="160"/>
        <w:ind w:right="-2"/>
      </w:pPr>
      <w:r w:rsidRPr="004A3983">
        <w:t>The definitions also capture a broad range of offences.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has identified over 800 different charges that relate to potentially registrable offences under the CPOR Act.</w:t>
      </w:r>
      <w:r w:rsidRPr="004A3983">
        <w:rPr>
          <w:rStyle w:val="FootnoteReference"/>
        </w:rPr>
        <w:footnoteReference w:id="619"/>
      </w:r>
    </w:p>
    <w:p w14:paraId="75D55B0E" w14:textId="682990A6" w:rsidR="00346EC2" w:rsidRPr="004A3983" w:rsidRDefault="00654F79" w:rsidP="00F84ADE">
      <w:pPr>
        <w:pStyle w:val="AppendixHeading2"/>
      </w:pPr>
      <w:bookmarkStart w:id="556" w:name="_Ref9850037"/>
      <w:bookmarkStart w:id="557" w:name="_Ref9850044"/>
      <w:bookmarkStart w:id="558" w:name="_Toc22627851"/>
      <w:r w:rsidRPr="004A3983">
        <w:t xml:space="preserve">CPOR </w:t>
      </w:r>
      <w:r w:rsidR="00B1234C" w:rsidRPr="004A3983">
        <w:t xml:space="preserve">Act does not specifically identify each registrable </w:t>
      </w:r>
      <w:r w:rsidR="00B1234C" w:rsidRPr="00F84ADE">
        <w:t>offence</w:t>
      </w:r>
      <w:bookmarkEnd w:id="556"/>
      <w:bookmarkEnd w:id="557"/>
      <w:bookmarkEnd w:id="558"/>
    </w:p>
    <w:p w14:paraId="710E6AE0" w14:textId="536127C0" w:rsidR="00712E48" w:rsidRPr="004A3983" w:rsidRDefault="00B1234C" w:rsidP="00062C0B">
      <w:pPr>
        <w:spacing w:after="160"/>
        <w:ind w:right="-2"/>
      </w:pPr>
      <w:r w:rsidRPr="004A3983">
        <w:t>The definition of Class 1 offences contains 10</w:t>
      </w:r>
      <w:r w:rsidR="00654F79" w:rsidRPr="004A3983">
        <w:t xml:space="preserve"> different</w:t>
      </w:r>
      <w:r w:rsidR="002E1681" w:rsidRPr="004A3983">
        <w:t xml:space="preserve"> limbs</w:t>
      </w:r>
      <w:r w:rsidRPr="004A3983">
        <w:t xml:space="preserve">, and </w:t>
      </w:r>
      <w:r w:rsidR="00B76999" w:rsidRPr="004A3983">
        <w:t xml:space="preserve">the definition of </w:t>
      </w:r>
      <w:r w:rsidRPr="004A3983">
        <w:t xml:space="preserve">Class 2 </w:t>
      </w:r>
      <w:r w:rsidR="00B76999" w:rsidRPr="004A3983">
        <w:t xml:space="preserve">offences </w:t>
      </w:r>
      <w:r w:rsidR="00654F79" w:rsidRPr="004A3983">
        <w:t>contains 18 limbs</w:t>
      </w:r>
      <w:r w:rsidRPr="004A3983">
        <w:t xml:space="preserve">. Some of the limbs only describe general categories of offences. </w:t>
      </w:r>
    </w:p>
    <w:p w14:paraId="5555F742" w14:textId="77777777" w:rsidR="0000335B" w:rsidRPr="004A3983" w:rsidRDefault="00B1234C" w:rsidP="00F84ADE">
      <w:pPr>
        <w:pStyle w:val="AppendixHeading3"/>
      </w:pPr>
      <w:bookmarkStart w:id="559" w:name="_Toc9428452"/>
      <w:bookmarkStart w:id="560" w:name="_Toc12020404"/>
      <w:bookmarkStart w:id="561" w:name="_Toc14790570"/>
      <w:bookmarkStart w:id="562" w:name="_Toc15478453"/>
      <w:bookmarkStart w:id="563" w:name="_Toc22279520"/>
      <w:bookmarkStart w:id="564" w:name="_Toc22627852"/>
      <w:r w:rsidRPr="004A3983">
        <w:t>The ‘element’ limbs</w:t>
      </w:r>
      <w:bookmarkEnd w:id="559"/>
      <w:bookmarkEnd w:id="560"/>
      <w:bookmarkEnd w:id="561"/>
      <w:bookmarkEnd w:id="562"/>
      <w:bookmarkEnd w:id="563"/>
      <w:bookmarkEnd w:id="564"/>
    </w:p>
    <w:p w14:paraId="0167473F" w14:textId="0D4BC5A6" w:rsidR="00B1234C" w:rsidRPr="004A3983" w:rsidRDefault="00A9361A" w:rsidP="00062C0B">
      <w:pPr>
        <w:spacing w:after="160"/>
        <w:ind w:right="-2"/>
      </w:pPr>
      <w:r w:rsidRPr="004A3983">
        <w:t>L</w:t>
      </w:r>
      <w:r w:rsidR="00B1234C" w:rsidRPr="004A3983">
        <w:t>imb (g)</w:t>
      </w:r>
      <w:r w:rsidRPr="004A3983">
        <w:t xml:space="preserve"> of Class 1 offences </w:t>
      </w:r>
      <w:r w:rsidR="00B1234C" w:rsidRPr="004A3983">
        <w:t>and limb (l)</w:t>
      </w:r>
      <w:r w:rsidRPr="004A3983">
        <w:t xml:space="preserve"> of Class 2 offences</w:t>
      </w:r>
      <w:r w:rsidR="00B1234C" w:rsidRPr="004A3983">
        <w:t xml:space="preserve"> make any offence ‘an element of which is an intention to commit an offence of a kind listed in this definition’ a registrable offence (the element limbs).</w:t>
      </w:r>
      <w:r w:rsidR="00B1234C" w:rsidRPr="004A3983">
        <w:rPr>
          <w:rStyle w:val="FootnoteReference"/>
        </w:rPr>
        <w:footnoteReference w:id="620"/>
      </w:r>
      <w:r w:rsidR="00B1234C" w:rsidRPr="004A3983">
        <w:t xml:space="preserve"> It is necessary to</w:t>
      </w:r>
      <w:r w:rsidR="00021071" w:rsidRPr="004A3983">
        <w:t xml:space="preserve"> </w:t>
      </w:r>
      <w:r w:rsidR="00C441F3" w:rsidRPr="004A3983">
        <w:t xml:space="preserve">carefully </w:t>
      </w:r>
      <w:r w:rsidR="00021071" w:rsidRPr="004A3983">
        <w:t xml:space="preserve">examine the </w:t>
      </w:r>
      <w:r w:rsidR="00C441F3" w:rsidRPr="004A3983">
        <w:t xml:space="preserve">definitions of offences in </w:t>
      </w:r>
      <w:r w:rsidR="00021071" w:rsidRPr="004A3983">
        <w:t>criminal statutes</w:t>
      </w:r>
      <w:r w:rsidR="004D67D1" w:rsidRPr="004A3983">
        <w:t xml:space="preserve"> </w:t>
      </w:r>
      <w:r w:rsidR="00B1234C" w:rsidRPr="004A3983">
        <w:t>to determine which offences include the type of element described in 1(g) and 2(l), and are therefore caught by these limbs.</w:t>
      </w:r>
    </w:p>
    <w:p w14:paraId="7224DF06" w14:textId="6707BCD9" w:rsidR="00B1234C" w:rsidRPr="004A3983" w:rsidRDefault="00B1234C" w:rsidP="00062C0B">
      <w:pPr>
        <w:spacing w:after="160"/>
        <w:ind w:right="-2"/>
      </w:pPr>
      <w:r w:rsidRPr="004A3983">
        <w:t xml:space="preserve">The complexity </w:t>
      </w:r>
      <w:r w:rsidR="00A95382" w:rsidRPr="004A3983">
        <w:t xml:space="preserve">that can be </w:t>
      </w:r>
      <w:r w:rsidRPr="004A3983">
        <w:t xml:space="preserve">involved in applying the element limbs is demonstrated by considering whether the offence in s 113(1) of the </w:t>
      </w:r>
      <w:r w:rsidRPr="004A3983">
        <w:rPr>
          <w:i/>
        </w:rPr>
        <w:t>Crimes Act 1900</w:t>
      </w:r>
      <w:r w:rsidRPr="004A3983">
        <w:t xml:space="preserve"> (NSW) is registrable. Section 113(1) makes it an offence to break and enter a house or building with the intention to commit a serious indictable offence. This offence may be registrable under the element limbs, but it will depend on the particular way in which it is committed. It will only be registrable if:</w:t>
      </w:r>
    </w:p>
    <w:p w14:paraId="0B8CF0A8" w14:textId="77777777" w:rsidR="00B1234C" w:rsidRPr="004A3983" w:rsidRDefault="00B1234C" w:rsidP="00F84ADE">
      <w:pPr>
        <w:pStyle w:val="ListNumber"/>
        <w:numPr>
          <w:ilvl w:val="0"/>
          <w:numId w:val="23"/>
        </w:numPr>
        <w:ind w:left="714" w:hanging="357"/>
      </w:pPr>
      <w:r w:rsidRPr="004A3983">
        <w:t xml:space="preserve">the serious indictable offence the offender intended to commit was a registrable offence (for example, murder, manslaughter or sexual touching) </w:t>
      </w:r>
      <w:r w:rsidRPr="00410F73">
        <w:rPr>
          <w:b/>
        </w:rPr>
        <w:t>and</w:t>
      </w:r>
      <w:r w:rsidRPr="004A3983">
        <w:t xml:space="preserve"> </w:t>
      </w:r>
    </w:p>
    <w:p w14:paraId="38F90545" w14:textId="6D8ED897" w:rsidR="00B1234C" w:rsidRPr="004A3983" w:rsidRDefault="00B1234C" w:rsidP="00F84ADE">
      <w:pPr>
        <w:pStyle w:val="ListNumber"/>
        <w:ind w:left="714" w:hanging="357"/>
      </w:pPr>
      <w:r w:rsidRPr="004A3983">
        <w:t>the person</w:t>
      </w:r>
      <w:r w:rsidR="002F2BF8" w:rsidRPr="004A3983">
        <w:t xml:space="preserve"> that</w:t>
      </w:r>
      <w:r w:rsidRPr="004A3983">
        <w:t xml:space="preserve"> th</w:t>
      </w:r>
      <w:r w:rsidR="00722256" w:rsidRPr="004A3983">
        <w:t>e offender intended to commit the serious indictable offence</w:t>
      </w:r>
      <w:r w:rsidRPr="004A3983">
        <w:t xml:space="preserve"> against was a child. </w:t>
      </w:r>
    </w:p>
    <w:p w14:paraId="304E7159" w14:textId="67144737" w:rsidR="00B1234C" w:rsidRPr="004A3983" w:rsidRDefault="008E0421" w:rsidP="00062C0B">
      <w:pPr>
        <w:spacing w:after="160"/>
        <w:ind w:right="-2"/>
      </w:pPr>
      <w:r w:rsidRPr="004A3983">
        <w:t>Another issue created by the element</w:t>
      </w:r>
      <w:r w:rsidR="00B1234C" w:rsidRPr="004A3983">
        <w:t xml:space="preserve"> limbs is how they interact with other limbs of the definitions of Class 1 and 2 offences. For example, offences against s 86 of the </w:t>
      </w:r>
      <w:r w:rsidR="00B1234C" w:rsidRPr="004A3983">
        <w:rPr>
          <w:i/>
        </w:rPr>
        <w:t xml:space="preserve">Crimes Act 1900 </w:t>
      </w:r>
      <w:r w:rsidR="00B1234C" w:rsidRPr="004A3983">
        <w:t>(NSW) (offences of kidnapping with certain intentions)</w:t>
      </w:r>
      <w:r w:rsidR="00B1234C" w:rsidRPr="004A3983">
        <w:rPr>
          <w:i/>
        </w:rPr>
        <w:t xml:space="preserve">, </w:t>
      </w:r>
      <w:r w:rsidR="00B1234C" w:rsidRPr="004A3983">
        <w:t>are expressly included in the definition of a Class 2 offence.</w:t>
      </w:r>
      <w:r w:rsidR="00B1234C" w:rsidRPr="004A3983">
        <w:rPr>
          <w:rStyle w:val="FootnoteReference"/>
        </w:rPr>
        <w:footnoteReference w:id="621"/>
      </w:r>
      <w:r w:rsidR="00B1234C" w:rsidRPr="004A3983">
        <w:t xml:space="preserve"> However, one of the offences in s 86 is the offence of kidnapping with the intention of committing a serious indictable offence (s 86(1)(a1)). </w:t>
      </w:r>
    </w:p>
    <w:p w14:paraId="4C5F1FB9" w14:textId="469BFCF1" w:rsidR="00B1234C" w:rsidRPr="004A3983" w:rsidRDefault="00B1234C" w:rsidP="00062C0B">
      <w:pPr>
        <w:spacing w:after="160"/>
        <w:ind w:right="-2"/>
      </w:pPr>
      <w:r w:rsidRPr="004A3983">
        <w:lastRenderedPageBreak/>
        <w:t xml:space="preserve">It is therefore not clear under the CPOR Act whether a person who is convicted of kidnapping a child with the intention to murder that child under s 86(1)(a1) has committed a Class 2 offence, or a Class 1 offence, because the offence </w:t>
      </w:r>
      <w:r w:rsidR="00F53BE3" w:rsidRPr="004A3983">
        <w:t>includes as</w:t>
      </w:r>
      <w:r w:rsidRPr="004A3983">
        <w:t xml:space="preserve"> an element an intention to commit a Cla</w:t>
      </w:r>
      <w:r w:rsidR="001F3AE3" w:rsidRPr="004A3983">
        <w:t>ss 1 offence (murder of a child</w:t>
      </w:r>
      <w:r w:rsidRPr="004A3983">
        <w:t xml:space="preserve">). </w:t>
      </w:r>
    </w:p>
    <w:p w14:paraId="1E169F76" w14:textId="245FA123" w:rsidR="00B1234C" w:rsidRPr="004A3983" w:rsidRDefault="00B1234C" w:rsidP="00F84ADE">
      <w:pPr>
        <w:pStyle w:val="AppendixHeading3"/>
      </w:pPr>
      <w:bookmarkStart w:id="565" w:name="_Toc9428453"/>
      <w:bookmarkStart w:id="566" w:name="_Toc12020405"/>
      <w:bookmarkStart w:id="567" w:name="_Toc14790571"/>
      <w:bookmarkStart w:id="568" w:name="_Toc15478454"/>
      <w:bookmarkStart w:id="569" w:name="_Toc22279521"/>
      <w:bookmarkStart w:id="570" w:name="_Toc22627853"/>
      <w:r w:rsidRPr="004A3983">
        <w:t xml:space="preserve">Offences </w:t>
      </w:r>
      <w:r w:rsidRPr="00F84ADE">
        <w:t>that</w:t>
      </w:r>
      <w:r w:rsidRPr="004A3983">
        <w:t xml:space="preserve"> ‘involve’ sexual touching or a sexual</w:t>
      </w:r>
      <w:r w:rsidR="00410F73">
        <w:t> </w:t>
      </w:r>
      <w:r w:rsidRPr="004A3983">
        <w:t>act</w:t>
      </w:r>
      <w:bookmarkEnd w:id="565"/>
      <w:bookmarkEnd w:id="566"/>
      <w:bookmarkEnd w:id="567"/>
      <w:bookmarkEnd w:id="568"/>
      <w:bookmarkEnd w:id="569"/>
      <w:bookmarkEnd w:id="570"/>
    </w:p>
    <w:p w14:paraId="046CEB00" w14:textId="5D550E5B" w:rsidR="00B1234C" w:rsidRPr="004A3983" w:rsidRDefault="00BB1395" w:rsidP="00062C0B">
      <w:pPr>
        <w:spacing w:after="160"/>
        <w:ind w:right="-2"/>
      </w:pPr>
      <w:r w:rsidRPr="004A3983">
        <w:t xml:space="preserve">Prior to </w:t>
      </w:r>
      <w:r w:rsidR="00B1234C" w:rsidRPr="004A3983">
        <w:t>December 20</w:t>
      </w:r>
      <w:r w:rsidRPr="004A3983">
        <w:t>18</w:t>
      </w:r>
      <w:r w:rsidR="00B1234C" w:rsidRPr="004A3983">
        <w:t xml:space="preserve"> limb (a1) of Class 2 made registrable any offence ‘that involves an act of indecency against or in respect of a child, being an offence that is punishable by imprisonment for 12 months or more’.</w:t>
      </w:r>
    </w:p>
    <w:p w14:paraId="6180194B" w14:textId="0C6F44DA" w:rsidR="00B1234C" w:rsidRPr="004A3983" w:rsidRDefault="00B1234C" w:rsidP="00062C0B">
      <w:pPr>
        <w:spacing w:after="160"/>
        <w:ind w:right="-2"/>
      </w:pPr>
      <w:r w:rsidRPr="004A3983">
        <w:t>On 1 December 2018 limb (a1) was amended to refer to ‘sexual touching or a sexual act’ rather than an act of indecency.</w:t>
      </w:r>
      <w:r w:rsidRPr="004A3983">
        <w:rPr>
          <w:rStyle w:val="FootnoteReference"/>
        </w:rPr>
        <w:footnoteReference w:id="622"/>
      </w:r>
    </w:p>
    <w:p w14:paraId="0A57383A" w14:textId="77777777" w:rsidR="00B1234C" w:rsidRPr="004A3983" w:rsidRDefault="00B1234C" w:rsidP="00062C0B">
      <w:pPr>
        <w:spacing w:after="160"/>
        <w:ind w:right="-2"/>
      </w:pPr>
      <w:r w:rsidRPr="004A3983">
        <w:t xml:space="preserve">In </w:t>
      </w:r>
      <w:r w:rsidRPr="004A3983">
        <w:rPr>
          <w:i/>
        </w:rPr>
        <w:t>R v Moss</w:t>
      </w:r>
      <w:r w:rsidRPr="004A3983">
        <w:t xml:space="preserve"> Judge Cogswell in the District Court interpreted the word ‘involves’ in limb (a1) broadly, and concluded that for an offence to be caught by that limb it was not necessary that the ‘act of indecency’ be an actual element of the offence.</w:t>
      </w:r>
      <w:r w:rsidRPr="004A3983">
        <w:rPr>
          <w:rStyle w:val="FootnoteReference"/>
        </w:rPr>
        <w:footnoteReference w:id="623"/>
      </w:r>
      <w:r w:rsidRPr="004A3983">
        <w:t xml:space="preserve"> His Honour’s view was that limb (a1) made any offence registrable that included behaviour that could be classified as ‘an act of indecency’ in the way it was committed.</w:t>
      </w:r>
      <w:r w:rsidRPr="004A3983">
        <w:rPr>
          <w:rStyle w:val="FootnoteReference"/>
        </w:rPr>
        <w:footnoteReference w:id="624"/>
      </w:r>
      <w:r w:rsidRPr="004A3983">
        <w:t xml:space="preserve"> </w:t>
      </w:r>
    </w:p>
    <w:p w14:paraId="4F14C4B6" w14:textId="562D2420" w:rsidR="00B1234C" w:rsidRPr="004A3983" w:rsidRDefault="00B1234C" w:rsidP="00062C0B">
      <w:pPr>
        <w:spacing w:after="160"/>
        <w:ind w:right="-2"/>
      </w:pPr>
      <w:r w:rsidRPr="004A3983">
        <w:t>This broad interpretation of limb (a1) would mean there are offences which could become registrable depending on a subjective view as to whether in the particular circumstances of the case, the behaviour constituting the offending included ‘a sexual act…in respect of a child’. This would make it very difficult for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to identify all of the offences which could fall within this limb. </w:t>
      </w:r>
    </w:p>
    <w:p w14:paraId="6ACB6A6F" w14:textId="0E555FEC" w:rsidR="00B1234C" w:rsidRPr="004A3983" w:rsidRDefault="00B1234C" w:rsidP="00062C0B">
      <w:pPr>
        <w:spacing w:after="160"/>
        <w:ind w:right="-2"/>
      </w:pPr>
      <w:r w:rsidRPr="004A3983">
        <w:t xml:space="preserve">In </w:t>
      </w:r>
      <w:r w:rsidRPr="004A3983">
        <w:rPr>
          <w:i/>
        </w:rPr>
        <w:t>R v Moss</w:t>
      </w:r>
      <w:r w:rsidRPr="004A3983">
        <w:t xml:space="preserve"> the defendant had repeatedly texted a 12 year old girl suggestive messages, and his Honour held that this met the definition of ‘an act of indecency in</w:t>
      </w:r>
      <w:r w:rsidR="00DF355A">
        <w:t> </w:t>
      </w:r>
      <w:r w:rsidRPr="004A3983">
        <w:t>respect of a child’. It would be open to debate whether this behaviour would</w:t>
      </w:r>
      <w:r w:rsidR="00C026EC" w:rsidRPr="004A3983">
        <w:t xml:space="preserve">, if considered under the amended </w:t>
      </w:r>
      <w:r w:rsidR="00DD24F6" w:rsidRPr="004A3983">
        <w:t xml:space="preserve">CPOR </w:t>
      </w:r>
      <w:r w:rsidR="00C026EC" w:rsidRPr="004A3983">
        <w:t>Act,</w:t>
      </w:r>
      <w:r w:rsidRPr="004A3983">
        <w:t xml:space="preserve"> meet the definition of a ‘sexual act…in respect of a child’ so as to potentially </w:t>
      </w:r>
      <w:r w:rsidR="002C1965" w:rsidRPr="004A3983">
        <w:t>make</w:t>
      </w:r>
      <w:r w:rsidRPr="004A3983">
        <w:t xml:space="preserve"> the defendant </w:t>
      </w:r>
      <w:r w:rsidR="002C1965" w:rsidRPr="004A3983">
        <w:t>registrable</w:t>
      </w:r>
      <w:r w:rsidRPr="004A3983">
        <w:t>.</w:t>
      </w:r>
      <w:r w:rsidRPr="004A3983">
        <w:rPr>
          <w:rStyle w:val="FootnoteReference"/>
        </w:rPr>
        <w:footnoteReference w:id="625"/>
      </w:r>
    </w:p>
    <w:p w14:paraId="5DCD5CE8" w14:textId="03AB25DE" w:rsidR="003C5408" w:rsidRPr="004A3983" w:rsidRDefault="00490CCA" w:rsidP="00F84ADE">
      <w:pPr>
        <w:pStyle w:val="AppendixHeading2"/>
      </w:pPr>
      <w:bookmarkStart w:id="571" w:name="_Toc22627854"/>
      <w:r w:rsidRPr="00F84ADE">
        <w:t>Errors</w:t>
      </w:r>
      <w:r w:rsidRPr="004A3983">
        <w:t xml:space="preserve"> in the definitions of Class 1 and Class</w:t>
      </w:r>
      <w:r w:rsidR="00410F73">
        <w:t> </w:t>
      </w:r>
      <w:r w:rsidRPr="004A3983">
        <w:t>2</w:t>
      </w:r>
      <w:r w:rsidR="00410F73">
        <w:t> </w:t>
      </w:r>
      <w:r w:rsidRPr="004A3983">
        <w:t>offences</w:t>
      </w:r>
      <w:bookmarkEnd w:id="571"/>
    </w:p>
    <w:p w14:paraId="422A0C9F" w14:textId="2293BB42" w:rsidR="00490CCA" w:rsidRPr="004A3983" w:rsidRDefault="00490CCA" w:rsidP="00062C0B">
      <w:pPr>
        <w:spacing w:after="160"/>
        <w:ind w:right="-2"/>
      </w:pPr>
      <w:r w:rsidRPr="004A3983">
        <w:t xml:space="preserve">There are errors in </w:t>
      </w:r>
      <w:r w:rsidR="00384F8C" w:rsidRPr="004A3983">
        <w:t>the definitions</w:t>
      </w:r>
      <w:r w:rsidRPr="004A3983">
        <w:t xml:space="preserve"> of Class 1 and Class 2 offences. For exampl</w:t>
      </w:r>
      <w:r w:rsidR="00D51A7E" w:rsidRPr="004A3983">
        <w:t>e, an offence against s 272.11</w:t>
      </w:r>
      <w:r w:rsidRPr="004A3983">
        <w:t xml:space="preserve"> of the Commonwealth Code is explicitly included in the definitions of both a Class 1 offence and a Class 2 offence.</w:t>
      </w:r>
      <w:r w:rsidRPr="004A3983">
        <w:rPr>
          <w:rStyle w:val="FootnoteReference"/>
        </w:rPr>
        <w:footnoteReference w:id="626"/>
      </w:r>
      <w:r w:rsidRPr="004A3983">
        <w:t xml:space="preserve"> </w:t>
      </w:r>
    </w:p>
    <w:p w14:paraId="6232F8AA" w14:textId="4963B9EC" w:rsidR="00490CCA" w:rsidRPr="004A3983" w:rsidRDefault="00490CCA" w:rsidP="00062C0B">
      <w:pPr>
        <w:spacing w:after="160"/>
        <w:ind w:right="-2"/>
      </w:pPr>
      <w:r w:rsidRPr="004A3983">
        <w:lastRenderedPageBreak/>
        <w:t>There are also errors in the definitions that have resulted from amendments to criminal statutes not being reflected in the CPOR Act. For example, the definition of a Class 2 offence includes an offence against s 270.6 of the Commonwealth Code.</w:t>
      </w:r>
      <w:r w:rsidRPr="004A3983">
        <w:rPr>
          <w:rStyle w:val="FootnoteReference"/>
        </w:rPr>
        <w:footnoteReference w:id="627"/>
      </w:r>
      <w:r w:rsidRPr="004A3983">
        <w:t xml:space="preserve"> However, s 270.6 has not contained any offences since it was amended in March 2013.</w:t>
      </w:r>
      <w:r w:rsidRPr="004A3983">
        <w:rPr>
          <w:rStyle w:val="FootnoteReference"/>
        </w:rPr>
        <w:footnoteReference w:id="628"/>
      </w:r>
      <w:r w:rsidRPr="004A3983">
        <w:t xml:space="preserve"> </w:t>
      </w:r>
    </w:p>
    <w:p w14:paraId="411E4CCA" w14:textId="1AF2698D" w:rsidR="006B5D74" w:rsidRPr="004A3983" w:rsidRDefault="00AC2902" w:rsidP="00F84ADE">
      <w:pPr>
        <w:pStyle w:val="AppendixHeading2"/>
      </w:pPr>
      <w:bookmarkStart w:id="572" w:name="_Toc22627855"/>
      <w:r w:rsidRPr="004A3983">
        <w:t xml:space="preserve">Definition of ‘a </w:t>
      </w:r>
      <w:r w:rsidRPr="00F84ADE">
        <w:t>child’</w:t>
      </w:r>
      <w:r w:rsidRPr="004A3983">
        <w:t xml:space="preserve"> is broader in the CPOR Act than in the </w:t>
      </w:r>
      <w:r w:rsidRPr="004A3983">
        <w:rPr>
          <w:i/>
        </w:rPr>
        <w:t>Crimes Act 1900</w:t>
      </w:r>
      <w:r w:rsidRPr="004A3983">
        <w:t xml:space="preserve"> (NSW)</w:t>
      </w:r>
      <w:bookmarkEnd w:id="572"/>
    </w:p>
    <w:p w14:paraId="143F744C" w14:textId="20482CDB" w:rsidR="006B5D74" w:rsidRPr="004A3983" w:rsidRDefault="006B5D74" w:rsidP="00062C0B">
      <w:pPr>
        <w:spacing w:after="160"/>
        <w:ind w:right="-2"/>
      </w:pPr>
      <w:r w:rsidRPr="004A3983">
        <w:t xml:space="preserve">In the </w:t>
      </w:r>
      <w:r w:rsidRPr="004A3983">
        <w:rPr>
          <w:i/>
        </w:rPr>
        <w:t>Crimes Act 1900</w:t>
      </w:r>
      <w:r w:rsidRPr="004A3983">
        <w:t xml:space="preserve"> (NSW), the definitions of sexual offences are separated into those committed against ‘children’ (in Subdivisions 5 to 9 of Division 10) and those committed against adults. The specific sexual offences in Subdivisions 5 to 9 only apply to offences committed against children who are under the age of 16.</w:t>
      </w:r>
    </w:p>
    <w:p w14:paraId="360A3CCE" w14:textId="5D4CC706" w:rsidR="00AC2902" w:rsidRPr="004A3983" w:rsidRDefault="006B5D74" w:rsidP="00062C0B">
      <w:pPr>
        <w:spacing w:after="160"/>
        <w:ind w:right="-2"/>
      </w:pPr>
      <w:r w:rsidRPr="004A3983">
        <w:t>However, ‘c</w:t>
      </w:r>
      <w:r w:rsidR="00AC2902" w:rsidRPr="004A3983">
        <w:t>hild’ is defined in the CPOR Act as any person who is under the age of 18 years.</w:t>
      </w:r>
      <w:r w:rsidR="00AC2902" w:rsidRPr="004A3983">
        <w:rPr>
          <w:rStyle w:val="FootnoteReference"/>
        </w:rPr>
        <w:footnoteReference w:id="629"/>
      </w:r>
      <w:r w:rsidR="00AC2902" w:rsidRPr="004A3983">
        <w:t xml:space="preserve"> Therefore the references in the definitions of </w:t>
      </w:r>
      <w:r w:rsidR="00703EB1" w:rsidRPr="004A3983">
        <w:t>registrable offences</w:t>
      </w:r>
      <w:r w:rsidR="00AC2902" w:rsidRPr="004A3983">
        <w:t xml:space="preserve"> to an offence that ‘involves sexual intercourse with a child’, or ‘involves sexual touching or a sexual act against or in res</w:t>
      </w:r>
      <w:r w:rsidR="006F36FA" w:rsidRPr="004A3983">
        <w:t>pect of a child’, includes</w:t>
      </w:r>
      <w:r w:rsidR="00AC2902" w:rsidRPr="004A3983">
        <w:t xml:space="preserve"> offences committed against a 16 or 17 year old.</w:t>
      </w:r>
    </w:p>
    <w:p w14:paraId="2978D8BB" w14:textId="098546E4" w:rsidR="00AC2902" w:rsidRPr="004A3983" w:rsidRDefault="00AC2902" w:rsidP="00062C0B">
      <w:pPr>
        <w:spacing w:after="160"/>
        <w:ind w:right="-2"/>
      </w:pPr>
      <w:r w:rsidRPr="004A3983">
        <w:t xml:space="preserve">This means that in order to identify all possible registrable persons under the CPOR Act, the NSW Police Force needs to </w:t>
      </w:r>
      <w:r w:rsidR="00F40353" w:rsidRPr="004A3983">
        <w:t xml:space="preserve">review the convictions of all those persons sentenced for sexual offences </w:t>
      </w:r>
      <w:r w:rsidRPr="004A3983">
        <w:t>which under the Crimes Act can only be committed against ‘adults’, as the victim of these offences may be 16 or 17 years old</w:t>
      </w:r>
      <w:r w:rsidR="009F4288" w:rsidRPr="004A3983">
        <w:t>, and therefore a ‘child’ for the purposes of the CPOR Act</w:t>
      </w:r>
      <w:r w:rsidRPr="004A3983">
        <w:t xml:space="preserve">. Also, as discussed below in </w:t>
      </w:r>
      <w:r w:rsidR="00B76999" w:rsidRPr="004A3983">
        <w:t>part</w:t>
      </w:r>
      <w:r w:rsidR="00F42F06" w:rsidRPr="004A3983">
        <w:t xml:space="preserve"> </w:t>
      </w:r>
      <w:r w:rsidR="00F42F06" w:rsidRPr="004A3983">
        <w:fldChar w:fldCharType="begin"/>
      </w:r>
      <w:r w:rsidR="00F42F06" w:rsidRPr="004A3983">
        <w:instrText xml:space="preserve"> REF _Ref9929878 \r \h </w:instrText>
      </w:r>
      <w:r w:rsidR="002C4B55" w:rsidRPr="004A3983">
        <w:instrText xml:space="preserve"> \* MERGEFORMAT </w:instrText>
      </w:r>
      <w:r w:rsidR="00F42F06" w:rsidRPr="004A3983">
        <w:fldChar w:fldCharType="separate"/>
      </w:r>
      <w:r w:rsidR="00022664">
        <w:rPr>
          <w:rFonts w:hint="cs"/>
          <w:cs/>
        </w:rPr>
        <w:t>‎</w:t>
      </w:r>
      <w:r w:rsidR="00022664">
        <w:t>4.1</w:t>
      </w:r>
      <w:r w:rsidR="00F42F06" w:rsidRPr="004A3983">
        <w:fldChar w:fldCharType="end"/>
      </w:r>
      <w:r w:rsidRPr="004A3983">
        <w:t>, in some cases it will be difficult for the NSW Police Force to obtain sufficie</w:t>
      </w:r>
      <w:r w:rsidR="00CB0F15" w:rsidRPr="004A3983">
        <w:t xml:space="preserve">nt information to determine </w:t>
      </w:r>
      <w:r w:rsidR="005C52B4" w:rsidRPr="004A3983">
        <w:t>the exact time the offence</w:t>
      </w:r>
      <w:r w:rsidR="00CB0F15" w:rsidRPr="004A3983">
        <w:t xml:space="preserve"> was committed (and therefore the age of the victim at </w:t>
      </w:r>
      <w:r w:rsidRPr="004A3983">
        <w:t>the time</w:t>
      </w:r>
      <w:r w:rsidR="00CB0F15" w:rsidRPr="004A3983">
        <w:t>)</w:t>
      </w:r>
      <w:r w:rsidRPr="004A3983">
        <w:t>.</w:t>
      </w:r>
    </w:p>
    <w:p w14:paraId="3DE9670C" w14:textId="5E10E94F" w:rsidR="00AC2902" w:rsidRPr="004A3983" w:rsidRDefault="00AC2902" w:rsidP="00F84ADE">
      <w:pPr>
        <w:pStyle w:val="AppendixHeading2"/>
      </w:pPr>
      <w:bookmarkStart w:id="573" w:name="_Toc22627856"/>
      <w:r w:rsidRPr="004A3983">
        <w:t xml:space="preserve">Need for </w:t>
      </w:r>
      <w:r w:rsidRPr="00F84ADE">
        <w:t>reform</w:t>
      </w:r>
      <w:r w:rsidRPr="004A3983">
        <w:t xml:space="preserve"> of definitions of Class 1 and Class 2 offences</w:t>
      </w:r>
      <w:bookmarkEnd w:id="573"/>
    </w:p>
    <w:p w14:paraId="4F55D4D4" w14:textId="27F4AE2F" w:rsidR="00AC2902" w:rsidRPr="004A3983" w:rsidRDefault="00AC2902" w:rsidP="00062C0B">
      <w:pPr>
        <w:spacing w:after="160"/>
        <w:ind w:right="-2"/>
      </w:pPr>
      <w:r w:rsidRPr="004A3983">
        <w:t>In December 2017 the Commission requested from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a list of all charges it had identified as potentially relating to registrable offences. The Commission compared the list against the CPOR Act, the </w:t>
      </w:r>
      <w:r w:rsidRPr="004A3983">
        <w:rPr>
          <w:i/>
        </w:rPr>
        <w:t>Crimes Act 1900</w:t>
      </w:r>
      <w:r w:rsidRPr="004A3983">
        <w:t xml:space="preserve"> (NSW) and </w:t>
      </w:r>
      <w:r w:rsidRPr="004A3983">
        <w:rPr>
          <w:i/>
        </w:rPr>
        <w:t>Criminal Code Act 1995</w:t>
      </w:r>
      <w:r w:rsidRPr="004A3983">
        <w:t xml:space="preserve"> (Cth) (the Commonwealth Code). The Commission identified:</w:t>
      </w:r>
    </w:p>
    <w:p w14:paraId="2AD2B237" w14:textId="4E8464A0" w:rsidR="00AC2902" w:rsidRPr="004A3983" w:rsidRDefault="00AC2902" w:rsidP="00410F73">
      <w:pPr>
        <w:pStyle w:val="ListBullet"/>
      </w:pPr>
      <w:r w:rsidRPr="004A3983">
        <w:t>58 charges that were missing from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list</w:t>
      </w:r>
      <w:r w:rsidR="006932CB" w:rsidRPr="004A3983">
        <w:t>;</w:t>
      </w:r>
    </w:p>
    <w:p w14:paraId="700BC2B7" w14:textId="475613B3" w:rsidR="00AC2902" w:rsidRPr="004A3983" w:rsidRDefault="00AC2902" w:rsidP="00410F73">
      <w:pPr>
        <w:pStyle w:val="ListBullet"/>
      </w:pPr>
      <w:r w:rsidRPr="004A3983">
        <w:t>56 charges which were on the list but with the incorrect ‘CPR flag’ (which indicates whether the offence would be classified as Class 1 or Class 2)</w:t>
      </w:r>
      <w:r w:rsidR="006932CB" w:rsidRPr="004A3983">
        <w:t>, and</w:t>
      </w:r>
    </w:p>
    <w:p w14:paraId="05380578" w14:textId="05274C68" w:rsidR="00AC2902" w:rsidRPr="004A3983" w:rsidRDefault="00AC2902" w:rsidP="00410F73">
      <w:pPr>
        <w:pStyle w:val="ListBullet"/>
      </w:pPr>
      <w:r w:rsidRPr="004A3983">
        <w:t>six charges that were listed as registrable offences by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but in fact did not fall within the definition of a Class 1 or Class 2 offence. </w:t>
      </w:r>
    </w:p>
    <w:p w14:paraId="543FF55A" w14:textId="2B665B2D" w:rsidR="00AC2902" w:rsidRPr="004A3983" w:rsidRDefault="00AC2902" w:rsidP="00062C0B">
      <w:pPr>
        <w:spacing w:after="160"/>
        <w:ind w:right="-2"/>
      </w:pPr>
      <w:r w:rsidRPr="004A3983">
        <w:lastRenderedPageBreak/>
        <w:t>It is important for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offenders, the courts and the community that it is clear when a person’s offending will bring them within the application of the CPOR Act. </w:t>
      </w:r>
    </w:p>
    <w:p w14:paraId="06CB2638" w14:textId="326497D9" w:rsidR="00AC2902" w:rsidRPr="004A3983" w:rsidRDefault="00AC2902" w:rsidP="00062C0B">
      <w:pPr>
        <w:spacing w:after="160"/>
        <w:ind w:right="-2"/>
      </w:pPr>
      <w:r w:rsidRPr="004A3983">
        <w:t>The definitions of Class 1 and Class 2 offences in the CPOR Act need to be revised and restructured, to ensure all registrable offences can be easily identified, and to remove errors and ambiguity.</w:t>
      </w:r>
    </w:p>
    <w:p w14:paraId="3ECB6F95" w14:textId="566CB163" w:rsidR="00AC2902" w:rsidRPr="004A3983" w:rsidRDefault="00AC2902" w:rsidP="00062C0B">
      <w:pPr>
        <w:spacing w:after="160"/>
        <w:ind w:right="-2"/>
      </w:pPr>
      <w:r w:rsidRPr="004A3983">
        <w:t xml:space="preserve">The </w:t>
      </w:r>
      <w:r w:rsidR="00F60F34" w:rsidRPr="004A3983">
        <w:t>offender registration laws</w:t>
      </w:r>
      <w:r w:rsidRPr="004A3983">
        <w:t xml:space="preserve"> in every other Australian jurisdiction and in New Zealand list the registrable offences in a schedule, and each offence appears in a separate clause.</w:t>
      </w:r>
      <w:r w:rsidRPr="004A3983">
        <w:rPr>
          <w:rStyle w:val="FootnoteReference"/>
        </w:rPr>
        <w:footnoteReference w:id="630"/>
      </w:r>
      <w:r w:rsidRPr="004A3983">
        <w:t xml:space="preserve"> This approach to drafting makes it easier to identify registrable offences, and to amend the list when offences in criminal statues are altered. </w:t>
      </w:r>
    </w:p>
    <w:p w14:paraId="7CA85A8B" w14:textId="081119D8" w:rsidR="00AC2902" w:rsidRPr="004A3983" w:rsidRDefault="00E84FC1" w:rsidP="00062C0B">
      <w:pPr>
        <w:spacing w:after="160"/>
        <w:ind w:right="-2"/>
      </w:pPr>
      <w:r w:rsidRPr="004A3983">
        <w:t>At the time of writing, n</w:t>
      </w:r>
      <w:r w:rsidR="00AC2902" w:rsidRPr="004A3983">
        <w:t xml:space="preserve">o other </w:t>
      </w:r>
      <w:r w:rsidR="00F60F34" w:rsidRPr="004A3983">
        <w:t>offender registration law</w:t>
      </w:r>
      <w:r w:rsidR="00AC2902" w:rsidRPr="004A3983">
        <w:t xml:space="preserve"> in Australia</w:t>
      </w:r>
      <w:r w:rsidR="00D03822" w:rsidRPr="004A3983">
        <w:t xml:space="preserve"> included</w:t>
      </w:r>
      <w:r w:rsidR="00AC2902" w:rsidRPr="004A3983">
        <w:t xml:space="preserve"> in its definition of registrable offences reference to offences that ‘involve’ an ‘act of indecency’ or a ‘sexual act’ against or in respect of a child. </w:t>
      </w:r>
    </w:p>
    <w:p w14:paraId="49FAF043" w14:textId="4439AB46" w:rsidR="00AC2902" w:rsidRPr="004A3983" w:rsidRDefault="00AC2902" w:rsidP="00062C0B">
      <w:pPr>
        <w:spacing w:after="160"/>
        <w:ind w:right="-2"/>
      </w:pPr>
      <w:r w:rsidRPr="004A3983">
        <w:t xml:space="preserve">The simplest definitions of registrable offences are found in the </w:t>
      </w:r>
      <w:r w:rsidR="00F60F34" w:rsidRPr="004A3983">
        <w:t>offender registration laws</w:t>
      </w:r>
      <w:r w:rsidRPr="004A3983">
        <w:t xml:space="preserve"> in the Australian Capital Territory and New Zealand.</w:t>
      </w:r>
      <w:r w:rsidRPr="004A3983">
        <w:rPr>
          <w:rStyle w:val="FootnoteReference"/>
        </w:rPr>
        <w:footnoteReference w:id="631"/>
      </w:r>
      <w:r w:rsidRPr="004A3983">
        <w:t xml:space="preserve"> These </w:t>
      </w:r>
      <w:r w:rsidR="0087552F" w:rsidRPr="004A3983">
        <w:t>laws</w:t>
      </w:r>
      <w:r w:rsidRPr="004A3983">
        <w:t xml:space="preserve"> identify each registrable offence by reference to a specific section of a criminal statute, and include a short definition of the substance of the offence. They do not include categories of offending such as the elements limbs in the CPOR Act, or offences that ‘involve’ an ‘act of indecency’ or ‘a sexual act’. </w:t>
      </w:r>
    </w:p>
    <w:p w14:paraId="3F81B0C2" w14:textId="56639379" w:rsidR="00AC2902" w:rsidRPr="004A3983" w:rsidRDefault="00AC2902" w:rsidP="00062C0B">
      <w:pPr>
        <w:spacing w:after="160"/>
        <w:ind w:right="-2"/>
      </w:pPr>
      <w:r w:rsidRPr="004A3983">
        <w:t xml:space="preserve">These approaches to defining registrable offences are manifestly clearer and easier to apply than that </w:t>
      </w:r>
      <w:r w:rsidR="00747A0D" w:rsidRPr="004A3983">
        <w:t>currently in the CPOR Act</w:t>
      </w:r>
      <w:r w:rsidRPr="004A3983">
        <w:t>.</w:t>
      </w:r>
    </w:p>
    <w:p w14:paraId="6D66CBE7" w14:textId="51169333" w:rsidR="00AC2902" w:rsidRPr="004A3983" w:rsidRDefault="00AC2902" w:rsidP="00062C0B">
      <w:pPr>
        <w:spacing w:after="160"/>
        <w:ind w:right="-2"/>
        <w:rPr>
          <w:b/>
          <w:u w:val="single"/>
        </w:rPr>
      </w:pPr>
      <w:r w:rsidRPr="004A3983">
        <w:rPr>
          <w:b/>
          <w:u w:val="single"/>
        </w:rPr>
        <w:t xml:space="preserve">Conclusions following consultation with </w:t>
      </w:r>
      <w:r w:rsidR="00E266B3" w:rsidRPr="004A3983">
        <w:rPr>
          <w:b/>
          <w:u w:val="single"/>
        </w:rPr>
        <w:t xml:space="preserve">the </w:t>
      </w:r>
      <w:r w:rsidRPr="004A3983">
        <w:rPr>
          <w:b/>
          <w:u w:val="single"/>
        </w:rPr>
        <w:t>NSW</w:t>
      </w:r>
      <w:r w:rsidR="00F02F2F" w:rsidRPr="004A3983">
        <w:rPr>
          <w:b/>
          <w:u w:val="single"/>
        </w:rPr>
        <w:t xml:space="preserve"> </w:t>
      </w:r>
      <w:r w:rsidRPr="004A3983">
        <w:rPr>
          <w:b/>
          <w:u w:val="single"/>
        </w:rPr>
        <w:t>P</w:t>
      </w:r>
      <w:r w:rsidR="00F02F2F" w:rsidRPr="004A3983">
        <w:rPr>
          <w:b/>
          <w:u w:val="single"/>
        </w:rPr>
        <w:t xml:space="preserve">olice </w:t>
      </w:r>
      <w:r w:rsidRPr="004A3983">
        <w:rPr>
          <w:b/>
          <w:u w:val="single"/>
        </w:rPr>
        <w:t>F</w:t>
      </w:r>
      <w:r w:rsidR="00F02F2F" w:rsidRPr="004A3983">
        <w:rPr>
          <w:b/>
          <w:u w:val="single"/>
        </w:rPr>
        <w:t>orce</w:t>
      </w:r>
      <w:r w:rsidRPr="004A3983">
        <w:rPr>
          <w:b/>
          <w:u w:val="single"/>
        </w:rPr>
        <w:t>:</w:t>
      </w:r>
    </w:p>
    <w:p w14:paraId="1BA95D6C" w14:textId="77777777" w:rsidR="00AC2902" w:rsidRPr="004A3983" w:rsidRDefault="00AC2902" w:rsidP="00062C0B">
      <w:pPr>
        <w:spacing w:after="160"/>
        <w:ind w:right="-2"/>
        <w:rPr>
          <w:b/>
        </w:rPr>
      </w:pPr>
      <w:r w:rsidRPr="004A3983">
        <w:rPr>
          <w:b/>
        </w:rPr>
        <w:t xml:space="preserve">The definitions of Class 1 offences and Class 2 offences in the CPOR Act need to be reviewed and updated.  </w:t>
      </w:r>
    </w:p>
    <w:p w14:paraId="65CC14A5" w14:textId="79F5E6BE" w:rsidR="00AC2902" w:rsidRPr="004A3983" w:rsidRDefault="00AC2902" w:rsidP="00062C0B">
      <w:pPr>
        <w:spacing w:after="160"/>
        <w:ind w:right="-2"/>
        <w:rPr>
          <w:b/>
        </w:rPr>
      </w:pPr>
      <w:r w:rsidRPr="004A3983">
        <w:rPr>
          <w:b/>
        </w:rPr>
        <w:t xml:space="preserve">A list of all registrable offences, which identifies each offence individually, should appear in a schedule to the Act, presented in a similar way to the definitions of registrable offences in </w:t>
      </w:r>
      <w:r w:rsidR="00F60F34" w:rsidRPr="004A3983">
        <w:rPr>
          <w:b/>
          <w:i/>
        </w:rPr>
        <w:t xml:space="preserve">Crimes (Child Sex Offenders) Act 2005 </w:t>
      </w:r>
      <w:r w:rsidR="00F60F34" w:rsidRPr="004A3983">
        <w:rPr>
          <w:b/>
        </w:rPr>
        <w:t xml:space="preserve">(ACT) and the </w:t>
      </w:r>
      <w:r w:rsidR="00F60F34" w:rsidRPr="004A3983">
        <w:rPr>
          <w:b/>
          <w:i/>
        </w:rPr>
        <w:t>Child Protection (Child Sex Offender Government Agency Registration) Act 2016</w:t>
      </w:r>
      <w:r w:rsidR="00F60F34" w:rsidRPr="004A3983">
        <w:rPr>
          <w:b/>
        </w:rPr>
        <w:t xml:space="preserve"> (NZ)</w:t>
      </w:r>
      <w:r w:rsidRPr="004A3983">
        <w:rPr>
          <w:b/>
        </w:rPr>
        <w:t>.</w:t>
      </w:r>
    </w:p>
    <w:p w14:paraId="6140EFE8" w14:textId="77777777" w:rsidR="00AC2902" w:rsidRPr="004A3983" w:rsidRDefault="00AC2902" w:rsidP="00062C0B">
      <w:pPr>
        <w:spacing w:after="160"/>
        <w:ind w:right="-2"/>
        <w:rPr>
          <w:b/>
        </w:rPr>
      </w:pPr>
      <w:r w:rsidRPr="004A3983">
        <w:rPr>
          <w:b/>
        </w:rPr>
        <w:t xml:space="preserve">The limbs in the current definitions that make registrable offences ‘an element of which is an intention to commit an offence of a kind listed in this definition’, or any offence ‘that involves sexual touching or a sexual act against or in respect of a child’, should be deleted and Parliament should instead specify exactly which offences it intends to be registrable. </w:t>
      </w:r>
    </w:p>
    <w:p w14:paraId="02920DE9" w14:textId="53AE014B" w:rsidR="00353493" w:rsidRPr="004A3983" w:rsidRDefault="00353493" w:rsidP="00F84ADE">
      <w:pPr>
        <w:pStyle w:val="AppendixHeading1"/>
      </w:pPr>
      <w:bookmarkStart w:id="574" w:name="_Toc8908743"/>
      <w:bookmarkStart w:id="575" w:name="_Ref9429685"/>
      <w:bookmarkStart w:id="576" w:name="_Toc22627857"/>
      <w:r w:rsidRPr="004A3983">
        <w:lastRenderedPageBreak/>
        <w:t xml:space="preserve">Determining if an </w:t>
      </w:r>
      <w:r w:rsidRPr="00F84ADE">
        <w:t>exception</w:t>
      </w:r>
      <w:r w:rsidRPr="004A3983">
        <w:t xml:space="preserve"> to registration</w:t>
      </w:r>
      <w:r w:rsidR="00F84ADE">
        <w:t> </w:t>
      </w:r>
      <w:r w:rsidRPr="004A3983">
        <w:t>applies</w:t>
      </w:r>
      <w:bookmarkEnd w:id="574"/>
      <w:bookmarkEnd w:id="575"/>
      <w:bookmarkEnd w:id="576"/>
    </w:p>
    <w:p w14:paraId="221A9334" w14:textId="497AEE38" w:rsidR="00353493" w:rsidRPr="004A3983" w:rsidRDefault="00353493" w:rsidP="00062C0B">
      <w:pPr>
        <w:spacing w:after="160"/>
        <w:ind w:right="-2"/>
      </w:pPr>
      <w:r w:rsidRPr="004A3983">
        <w:t xml:space="preserve">Even if a person has been convicted of a Class 1 or Class 2 offence, they will not necessarily be a ‘registrable person’. Whether they are registrable will depend on whether an exception to registration applies. </w:t>
      </w:r>
    </w:p>
    <w:p w14:paraId="10C74040" w14:textId="04F3AA89" w:rsidR="00353493" w:rsidRPr="004A3983" w:rsidRDefault="00353493" w:rsidP="00062C0B">
      <w:pPr>
        <w:spacing w:after="160"/>
        <w:ind w:right="-2"/>
      </w:pPr>
      <w:r w:rsidRPr="004A3983">
        <w:t xml:space="preserve">There are exceptions to registration </w:t>
      </w:r>
      <w:r w:rsidR="003F3322" w:rsidRPr="004A3983">
        <w:t xml:space="preserve">in </w:t>
      </w:r>
      <w:r w:rsidRPr="004A3983">
        <w:t>s 3A(2)(c) for offenders who were under 18</w:t>
      </w:r>
      <w:r w:rsidR="00343006">
        <w:t> </w:t>
      </w:r>
      <w:r w:rsidRPr="004A3983">
        <w:t>years old (juvenile</w:t>
      </w:r>
      <w:r w:rsidR="006C3184" w:rsidRPr="004A3983">
        <w:t>s</w:t>
      </w:r>
      <w:r w:rsidRPr="004A3983">
        <w:t>) when they committed:</w:t>
      </w:r>
    </w:p>
    <w:p w14:paraId="46F8A0E8" w14:textId="77777777" w:rsidR="00353493" w:rsidRPr="00410F73" w:rsidRDefault="00353493" w:rsidP="00410F73">
      <w:pPr>
        <w:pStyle w:val="ListNumber2"/>
      </w:pPr>
      <w:r w:rsidRPr="00410F73">
        <w:t>a single offence involving sexual touching or a sexual act, or</w:t>
      </w:r>
    </w:p>
    <w:p w14:paraId="4B41ACF6" w14:textId="3E3C4050" w:rsidR="00353493" w:rsidRPr="00410F73" w:rsidRDefault="00353493" w:rsidP="00410F73">
      <w:pPr>
        <w:pStyle w:val="ListNumber2"/>
      </w:pPr>
      <w:r w:rsidRPr="00410F73">
        <w:t>a single offence under section 91H of the Crimes Act 1900 or an offence of producing, disseminating or possessing child abuse material (in whatever terms expressed) under the laws of a foreign jurisdiction, or</w:t>
      </w:r>
    </w:p>
    <w:p w14:paraId="31953A8D" w14:textId="35456DB3" w:rsidR="00353493" w:rsidRPr="00410F73" w:rsidRDefault="00353493" w:rsidP="00410F73">
      <w:pPr>
        <w:pStyle w:val="ListNumber2"/>
      </w:pPr>
      <w:r w:rsidRPr="00410F73">
        <w:t>a single offence under section 91J (1)[voye</w:t>
      </w:r>
      <w:r w:rsidR="00522E91" w:rsidRPr="00410F73">
        <w:t>u</w:t>
      </w:r>
      <w:r w:rsidRPr="00410F73">
        <w:t>rism], 91K (1) [filming a person engaged in a private act for the purpose of sexual arousal or gratification] or 91L (1) [filming a person’s private parts for the purpose of sexual arousal or gratification] of the Crimes Act 1900, or</w:t>
      </w:r>
    </w:p>
    <w:p w14:paraId="44F3FD40" w14:textId="77777777" w:rsidR="00353493" w:rsidRPr="00410F73" w:rsidRDefault="00353493" w:rsidP="00410F73">
      <w:pPr>
        <w:pStyle w:val="ListNumber2"/>
      </w:pPr>
      <w:r w:rsidRPr="00410F73">
        <w:t>a single offence (including an offence committed under the laws of a foreign jurisdiction) that falls within a class of offence the regulations prescribe for the purposes of this subparagraph, or</w:t>
      </w:r>
    </w:p>
    <w:p w14:paraId="5F476BC5" w14:textId="77777777" w:rsidR="00353493" w:rsidRPr="00410F73" w:rsidRDefault="00353493" w:rsidP="00410F73">
      <w:pPr>
        <w:pStyle w:val="ListNumber2"/>
      </w:pPr>
      <w:r w:rsidRPr="00410F73">
        <w:t>a single offence an element of which is an intention to commit an offence of a kind listed in this paragraph, or</w:t>
      </w:r>
    </w:p>
    <w:p w14:paraId="51FE5781" w14:textId="77777777" w:rsidR="00353493" w:rsidRPr="004A3983" w:rsidRDefault="00353493" w:rsidP="00410F73">
      <w:pPr>
        <w:pStyle w:val="ListNumber2"/>
      </w:pPr>
      <w:r w:rsidRPr="00410F73">
        <w:t>a single offence of attempting, or of conspiracy or incitement, to commit an offence of a kind listed in this paragraph</w:t>
      </w:r>
      <w:r w:rsidRPr="004A3983">
        <w:t>.</w:t>
      </w:r>
    </w:p>
    <w:p w14:paraId="256FE222" w14:textId="1DF4458E" w:rsidR="00353493" w:rsidRPr="004A3983" w:rsidRDefault="00353493" w:rsidP="00062C0B">
      <w:pPr>
        <w:spacing w:after="160"/>
        <w:ind w:right="-2"/>
        <w:rPr>
          <w:rFonts w:cs="Arial"/>
          <w:color w:val="000000"/>
          <w:lang w:val="en"/>
        </w:rPr>
      </w:pPr>
      <w:r w:rsidRPr="004A3983">
        <w:t xml:space="preserve">The reference to a ‘single offence’ in these exceptions is not to be interpreted literally. </w:t>
      </w:r>
      <w:r w:rsidR="00BB6B15" w:rsidRPr="004A3983">
        <w:rPr>
          <w:rFonts w:cs="Arial"/>
          <w:color w:val="000000"/>
          <w:lang w:val="en"/>
        </w:rPr>
        <w:t>Section 3A sub-section (5) provides that ‘</w:t>
      </w:r>
      <w:r w:rsidRPr="004A3983">
        <w:rPr>
          <w:rFonts w:cs="Arial"/>
          <w:color w:val="000000"/>
          <w:lang w:val="en"/>
        </w:rPr>
        <w:t xml:space="preserve">[a] reference to a single offence in this section includes a reference to more than one offence of the same kind </w:t>
      </w:r>
      <w:r w:rsidR="00BB6B15" w:rsidRPr="004A3983">
        <w:rPr>
          <w:rFonts w:cs="Arial"/>
          <w:color w:val="000000"/>
          <w:lang w:val="en"/>
        </w:rPr>
        <w:t>arising from the same incident.’</w:t>
      </w:r>
      <w:r w:rsidRPr="004A3983">
        <w:rPr>
          <w:rFonts w:cs="Arial"/>
          <w:color w:val="000000"/>
          <w:lang w:val="en"/>
        </w:rPr>
        <w:t xml:space="preserve"> </w:t>
      </w:r>
      <w:r w:rsidRPr="004A3983">
        <w:t>The Act</w:t>
      </w:r>
      <w:r w:rsidRPr="004A3983">
        <w:rPr>
          <w:rFonts w:cs="Arial"/>
          <w:color w:val="000000"/>
          <w:lang w:val="en"/>
        </w:rPr>
        <w:t xml:space="preserve"> further states (in s 3(3)) that </w:t>
      </w:r>
      <w:r w:rsidR="00BB6B15" w:rsidRPr="004A3983">
        <w:t>offences ‘arise from the same incident’</w:t>
      </w:r>
      <w:r w:rsidRPr="004A3983">
        <w:t xml:space="preserve"> </w:t>
      </w:r>
      <w:r w:rsidRPr="004A3983">
        <w:rPr>
          <w:b/>
        </w:rPr>
        <w:t>only</w:t>
      </w:r>
      <w:r w:rsidRPr="004A3983">
        <w:t xml:space="preserve"> if:</w:t>
      </w:r>
    </w:p>
    <w:p w14:paraId="5042E5E7" w14:textId="77777777" w:rsidR="00353493" w:rsidRPr="004A3983" w:rsidRDefault="00353493" w:rsidP="00677139">
      <w:pPr>
        <w:pStyle w:val="ListNumber"/>
        <w:numPr>
          <w:ilvl w:val="0"/>
          <w:numId w:val="24"/>
        </w:numPr>
      </w:pPr>
      <w:r w:rsidRPr="004A3983">
        <w:t xml:space="preserve">they are ‘committed within a single period of 24 hours’, </w:t>
      </w:r>
      <w:r w:rsidRPr="00410F73">
        <w:rPr>
          <w:b/>
        </w:rPr>
        <w:t>and</w:t>
      </w:r>
      <w:r w:rsidRPr="004A3983">
        <w:t xml:space="preserve"> </w:t>
      </w:r>
    </w:p>
    <w:p w14:paraId="2F507A1B" w14:textId="3595A7AD" w:rsidR="00353493" w:rsidRPr="004A3983" w:rsidRDefault="00353493" w:rsidP="00410F73">
      <w:pPr>
        <w:pStyle w:val="ListNumber"/>
      </w:pPr>
      <w:r w:rsidRPr="004A3983">
        <w:t>are ‘committed against the same person’.</w:t>
      </w:r>
    </w:p>
    <w:p w14:paraId="6950DBE6" w14:textId="5DAC6DB9" w:rsidR="00AC2902" w:rsidRPr="004A3983" w:rsidRDefault="00353493" w:rsidP="00F84ADE">
      <w:pPr>
        <w:pStyle w:val="AppendixHeading2"/>
      </w:pPr>
      <w:bookmarkStart w:id="577" w:name="_Ref9929878"/>
      <w:bookmarkStart w:id="578" w:name="_Ref10038884"/>
      <w:bookmarkStart w:id="579" w:name="_Ref10039581"/>
      <w:bookmarkStart w:id="580" w:name="_Toc22627858"/>
      <w:r w:rsidRPr="004A3983">
        <w:t xml:space="preserve">Difficulties </w:t>
      </w:r>
      <w:r w:rsidRPr="00F84ADE">
        <w:t>created</w:t>
      </w:r>
      <w:r w:rsidRPr="004A3983">
        <w:t xml:space="preserve"> by the need to identify the time registrable offences were committed</w:t>
      </w:r>
      <w:bookmarkEnd w:id="577"/>
      <w:bookmarkEnd w:id="578"/>
      <w:bookmarkEnd w:id="579"/>
      <w:bookmarkEnd w:id="580"/>
    </w:p>
    <w:p w14:paraId="2C9903C9" w14:textId="087D51D8" w:rsidR="00353493" w:rsidRPr="004A3983" w:rsidRDefault="00353493" w:rsidP="00062C0B">
      <w:pPr>
        <w:spacing w:after="160"/>
        <w:ind w:right="-2"/>
      </w:pPr>
      <w:r w:rsidRPr="004A3983">
        <w:t>The specific date</w:t>
      </w:r>
      <w:r w:rsidR="007E592B" w:rsidRPr="004A3983">
        <w:t>s on which and/or times when a person</w:t>
      </w:r>
      <w:r w:rsidRPr="004A3983">
        <w:t xml:space="preserve"> committed registrable offences can be relevant under the CPOR Act if:</w:t>
      </w:r>
    </w:p>
    <w:p w14:paraId="05330167" w14:textId="77777777" w:rsidR="00353493" w:rsidRPr="004A3983" w:rsidRDefault="00353493" w:rsidP="00677139">
      <w:pPr>
        <w:pStyle w:val="ListParagraph"/>
        <w:widowControl w:val="0"/>
        <w:numPr>
          <w:ilvl w:val="0"/>
          <w:numId w:val="18"/>
        </w:numPr>
        <w:adjustRightInd w:val="0"/>
        <w:snapToGrid w:val="0"/>
        <w:spacing w:before="0" w:after="160"/>
        <w:ind w:left="714" w:right="-2" w:hanging="357"/>
        <w:contextualSpacing w:val="0"/>
      </w:pPr>
      <w:r w:rsidRPr="004A3983">
        <w:t>there is a question whether the offender was under 18 at the time of the offending, and/or</w:t>
      </w:r>
    </w:p>
    <w:p w14:paraId="1BAF97B6" w14:textId="28438431" w:rsidR="00353493" w:rsidRPr="004A3983" w:rsidRDefault="00353493" w:rsidP="00677139">
      <w:pPr>
        <w:pStyle w:val="ListParagraph"/>
        <w:widowControl w:val="0"/>
        <w:numPr>
          <w:ilvl w:val="0"/>
          <w:numId w:val="18"/>
        </w:numPr>
        <w:adjustRightInd w:val="0"/>
        <w:snapToGrid w:val="0"/>
        <w:spacing w:before="0" w:after="160"/>
        <w:ind w:left="714" w:right="-2" w:hanging="357"/>
        <w:contextualSpacing w:val="0"/>
      </w:pPr>
      <w:r w:rsidRPr="004A3983">
        <w:t>the offender committed multiple offences but they may have been committed within a single 24 hour period.</w:t>
      </w:r>
    </w:p>
    <w:p w14:paraId="74A36717" w14:textId="0260863D" w:rsidR="00353493" w:rsidRPr="004A3983" w:rsidRDefault="00353493" w:rsidP="00062C0B">
      <w:pPr>
        <w:spacing w:after="160"/>
        <w:ind w:right="-2"/>
      </w:pPr>
      <w:r w:rsidRPr="004A3983">
        <w:t xml:space="preserve">Whether or not the person was under 18 at the time of the offending, and/or whether the person committed multiple registrable offences within a 24 hour period can be relevant both for determining whether an exception to registration applies, and (if no </w:t>
      </w:r>
      <w:r w:rsidRPr="004A3983">
        <w:lastRenderedPageBreak/>
        <w:t xml:space="preserve">exception applies) to calculating the person’s reporting period (discussed below </w:t>
      </w:r>
      <w:r w:rsidR="00B21C5D" w:rsidRPr="004A3983">
        <w:t>in part</w:t>
      </w:r>
      <w:r w:rsidR="009D312B" w:rsidRPr="004A3983">
        <w:t xml:space="preserve"> </w:t>
      </w:r>
      <w:r w:rsidR="00B21C5D" w:rsidRPr="004A3983">
        <w:fldChar w:fldCharType="begin"/>
      </w:r>
      <w:r w:rsidR="00B21C5D" w:rsidRPr="004A3983">
        <w:instrText xml:space="preserve"> REF _Ref10024366 \r \h </w:instrText>
      </w:r>
      <w:r w:rsidR="00440E9C" w:rsidRPr="004A3983">
        <w:instrText xml:space="preserve"> \* MERGEFORMAT </w:instrText>
      </w:r>
      <w:r w:rsidR="00B21C5D" w:rsidRPr="004A3983">
        <w:fldChar w:fldCharType="separate"/>
      </w:r>
      <w:r w:rsidR="00022664">
        <w:rPr>
          <w:rFonts w:hint="cs"/>
          <w:cs/>
        </w:rPr>
        <w:t>‎</w:t>
      </w:r>
      <w:r w:rsidR="00022664">
        <w:t>5</w:t>
      </w:r>
      <w:r w:rsidR="00B21C5D" w:rsidRPr="004A3983">
        <w:fldChar w:fldCharType="end"/>
      </w:r>
      <w:r w:rsidRPr="004A3983">
        <w:t>).</w:t>
      </w:r>
    </w:p>
    <w:p w14:paraId="6D5976FE" w14:textId="3B2F53E6" w:rsidR="00353493" w:rsidRPr="004A3983" w:rsidRDefault="00353493" w:rsidP="00062C0B">
      <w:pPr>
        <w:spacing w:after="160"/>
        <w:ind w:right="-2"/>
      </w:pPr>
      <w:r w:rsidRPr="004A3983">
        <w:t xml:space="preserve">However, in some cases the timing of the offending, in terms of time of day or even specific dates, is not established during the criminal proceedings.  </w:t>
      </w:r>
    </w:p>
    <w:p w14:paraId="004288B3" w14:textId="62DE81C5" w:rsidR="00353493" w:rsidRPr="004A3983" w:rsidRDefault="00353493" w:rsidP="00062C0B">
      <w:pPr>
        <w:spacing w:after="160"/>
        <w:ind w:right="-2"/>
      </w:pPr>
      <w:r w:rsidRPr="004A3983">
        <w:t xml:space="preserve">In cases involving sexual offences committed against children, it can often be difficult for the prosecution to establish on which day an offence was committed. The Registry officers the Commission consulted emphasised that children often </w:t>
      </w:r>
      <w:r w:rsidRPr="004A3983">
        <w:rPr>
          <w:rFonts w:cs="Arial"/>
        </w:rPr>
        <w:t>struggle to particularise incidents.</w:t>
      </w:r>
      <w:r w:rsidRPr="004A3983">
        <w:t xml:space="preserve"> In such cases the prosecution will avoid having to nominate in the indictment a specific date on which the offending is alleged to have occurred. Instead the prosecution will allege only that the offence oc</w:t>
      </w:r>
      <w:r w:rsidR="00611646" w:rsidRPr="004A3983">
        <w:t>curred within a particular time</w:t>
      </w:r>
      <w:r w:rsidRPr="004A3983">
        <w:t>frame, which can cover a matter of months. This is referred to as a ‘between dates’ charge.</w:t>
      </w:r>
    </w:p>
    <w:p w14:paraId="1E2D5D42" w14:textId="5179AB43" w:rsidR="00353493" w:rsidRPr="004A3983" w:rsidRDefault="00124F84" w:rsidP="00062C0B">
      <w:pPr>
        <w:spacing w:after="160"/>
        <w:ind w:right="-2"/>
      </w:pPr>
      <w:r w:rsidRPr="004A3983">
        <w:t xml:space="preserve">During our consultation </w:t>
      </w:r>
      <w:r w:rsidR="00353493" w:rsidRPr="004A3983">
        <w:t>Registry staff confirmed that they frequently experience problems in trying to apply the CPOR Act when charges for registrable offences do not specify the timing of the offending.</w:t>
      </w:r>
      <w:r w:rsidR="00353493" w:rsidRPr="004A3983">
        <w:rPr>
          <w:rStyle w:val="FootnoteReference"/>
        </w:rPr>
        <w:footnoteReference w:id="632"/>
      </w:r>
    </w:p>
    <w:p w14:paraId="621F980A" w14:textId="6EBC5791" w:rsidR="00353493" w:rsidRPr="004A3983" w:rsidRDefault="00353493" w:rsidP="00062C0B">
      <w:pPr>
        <w:spacing w:after="160"/>
        <w:ind w:right="-2"/>
      </w:pPr>
      <w:r w:rsidRPr="004A3983">
        <w:t xml:space="preserve">These problems are likely to become more frequent, as the trend in criminal law reform is to move away from requiring the prosecution to prove the specific timing of child sex offences. For example, on 1 December 2018 the offence of persistent child sexual abuse in s 66EA of the </w:t>
      </w:r>
      <w:r w:rsidRPr="004A3983">
        <w:rPr>
          <w:i/>
        </w:rPr>
        <w:t>Crimes Act 1900</w:t>
      </w:r>
      <w:r w:rsidRPr="004A3983">
        <w:t xml:space="preserve"> (NSW) was amended.</w:t>
      </w:r>
      <w:r w:rsidRPr="004A3983">
        <w:rPr>
          <w:rStyle w:val="FootnoteReference"/>
        </w:rPr>
        <w:footnoteReference w:id="633"/>
      </w:r>
      <w:r w:rsidRPr="004A3983">
        <w:t xml:space="preserve"> It no longer requires the prosecution to prove ‘3 or more separate occasions occurring on s</w:t>
      </w:r>
      <w:r w:rsidR="00857811" w:rsidRPr="004A3983">
        <w:t>eparate days during any period’.</w:t>
      </w:r>
      <w:r w:rsidRPr="004A3983">
        <w:t xml:space="preserve"> Instead, the prosecution will only need to prove ‘2 or more unlawful sexual acts with or towards a child over any period’, which will constitute an ‘unlawful sexual relationship’.</w:t>
      </w:r>
    </w:p>
    <w:p w14:paraId="71189D28" w14:textId="32EA1A36" w:rsidR="00353493" w:rsidRPr="004A3983" w:rsidRDefault="00353493" w:rsidP="00062C0B">
      <w:pPr>
        <w:spacing w:after="160"/>
        <w:ind w:right="-2"/>
      </w:pPr>
      <w:r w:rsidRPr="004A3983">
        <w:t>The less specificity regarding the timing of offences that is required in order to secure a conviction, the more difficult it will be for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to determine whether the exceptions to registration should apply, and to calculate reporting periods.</w:t>
      </w:r>
    </w:p>
    <w:p w14:paraId="1C1145B8" w14:textId="00B7DD52" w:rsidR="00353493" w:rsidRPr="004A3983" w:rsidRDefault="00353493" w:rsidP="00F84ADE">
      <w:pPr>
        <w:pStyle w:val="AppendixHeading3"/>
      </w:pPr>
      <w:bookmarkStart w:id="581" w:name="_Toc9428459"/>
      <w:bookmarkStart w:id="582" w:name="_Ref9428861"/>
      <w:bookmarkStart w:id="583" w:name="_Toc12020411"/>
      <w:bookmarkStart w:id="584" w:name="_Toc14790577"/>
      <w:bookmarkStart w:id="585" w:name="_Toc15478460"/>
      <w:bookmarkStart w:id="586" w:name="_Toc22279527"/>
      <w:bookmarkStart w:id="587" w:name="_Toc22627859"/>
      <w:r w:rsidRPr="004A3983">
        <w:t xml:space="preserve">Difficulties </w:t>
      </w:r>
      <w:r w:rsidRPr="00F84ADE">
        <w:t>determining</w:t>
      </w:r>
      <w:r w:rsidRPr="004A3983">
        <w:t xml:space="preserve"> whether offender was under 18</w:t>
      </w:r>
      <w:bookmarkEnd w:id="581"/>
      <w:bookmarkEnd w:id="582"/>
      <w:bookmarkEnd w:id="583"/>
      <w:bookmarkEnd w:id="584"/>
      <w:bookmarkEnd w:id="585"/>
      <w:bookmarkEnd w:id="586"/>
      <w:bookmarkEnd w:id="587"/>
    </w:p>
    <w:p w14:paraId="65D7ECE2" w14:textId="7C293238" w:rsidR="00353493" w:rsidRPr="004A3983" w:rsidRDefault="001107EF" w:rsidP="00062C0B">
      <w:pPr>
        <w:spacing w:after="160"/>
        <w:ind w:right="-2"/>
      </w:pPr>
      <w:r w:rsidRPr="004A3983">
        <w:t>If a</w:t>
      </w:r>
      <w:r w:rsidR="00A63EC0" w:rsidRPr="004A3983">
        <w:t xml:space="preserve"> person</w:t>
      </w:r>
      <w:r w:rsidRPr="004A3983">
        <w:t xml:space="preserve"> i</w:t>
      </w:r>
      <w:r w:rsidR="00353493" w:rsidRPr="004A3983">
        <w:t>s convicted on a ‘between dates’ charge, and he or she turned 18 in the timeframe given for the offending, it can be difficult for the NSW</w:t>
      </w:r>
      <w:r w:rsidR="00F02F2F" w:rsidRPr="004A3983">
        <w:t xml:space="preserve"> </w:t>
      </w:r>
      <w:r w:rsidR="00353493" w:rsidRPr="004A3983">
        <w:t>P</w:t>
      </w:r>
      <w:r w:rsidR="00F02F2F" w:rsidRPr="004A3983">
        <w:t xml:space="preserve">olice </w:t>
      </w:r>
      <w:r w:rsidR="00353493" w:rsidRPr="004A3983">
        <w:t>F</w:t>
      </w:r>
      <w:r w:rsidR="00F02F2F" w:rsidRPr="004A3983">
        <w:t>orce</w:t>
      </w:r>
      <w:r w:rsidR="00353493" w:rsidRPr="004A3983">
        <w:t xml:space="preserve"> to determine whether the exception to registration can apply. In those cases it may not be clear even from the judgment or Agreed Facts whether the person was under or over 18 at the time of the of</w:t>
      </w:r>
      <w:r w:rsidR="009D312B" w:rsidRPr="004A3983">
        <w:t xml:space="preserve">fending. </w:t>
      </w:r>
    </w:p>
    <w:p w14:paraId="27A78B78" w14:textId="77777777" w:rsidR="00353493" w:rsidRPr="004A3983" w:rsidRDefault="00353493" w:rsidP="00062C0B">
      <w:pPr>
        <w:spacing w:after="160"/>
        <w:ind w:right="-2"/>
      </w:pPr>
      <w:r w:rsidRPr="004A3983">
        <w:t>Example 1 below demonstrates these difficulties.</w:t>
      </w:r>
    </w:p>
    <w:p w14:paraId="3312F598" w14:textId="6BB21256" w:rsidR="00353493" w:rsidRPr="004A3983" w:rsidRDefault="00353493" w:rsidP="008F34A3">
      <w:pPr>
        <w:pStyle w:val="ExampleHeading"/>
      </w:pPr>
      <w:bookmarkStart w:id="588" w:name="_Toc10711473"/>
      <w:bookmarkStart w:id="589" w:name="_Toc21957544"/>
      <w:bookmarkStart w:id="590" w:name="_Toc22280911"/>
      <w:r w:rsidRPr="004A3983">
        <w:lastRenderedPageBreak/>
        <w:t>Example 1:</w:t>
      </w:r>
      <w:bookmarkEnd w:id="588"/>
      <w:bookmarkEnd w:id="589"/>
      <w:bookmarkEnd w:id="590"/>
      <w:r w:rsidRPr="004A3983">
        <w:t xml:space="preserve"> </w:t>
      </w:r>
    </w:p>
    <w:p w14:paraId="2214C8DE" w14:textId="1125DC55" w:rsidR="00353493" w:rsidRPr="004A3983" w:rsidRDefault="00353493" w:rsidP="00062C0B">
      <w:pPr>
        <w:pStyle w:val="CaseStudyText"/>
        <w:spacing w:after="160"/>
        <w:ind w:right="-2"/>
      </w:pPr>
      <w:r w:rsidRPr="004A3983">
        <w:t>Mr EE</w:t>
      </w:r>
      <w:r w:rsidR="00892FFD" w:rsidRPr="004A3983">
        <w:rPr>
          <w:rStyle w:val="FootnoteReference"/>
          <w:sz w:val="20"/>
          <w:szCs w:val="20"/>
        </w:rPr>
        <w:footnoteReference w:id="634"/>
      </w:r>
      <w:r w:rsidRPr="004A3983">
        <w:t xml:space="preserve"> was convicted in 2011 for a single offence of indecent assault against a person under 16 and was given a suspended sentence. </w:t>
      </w:r>
    </w:p>
    <w:p w14:paraId="238D0F42" w14:textId="2326BF06" w:rsidR="00353493" w:rsidRPr="004A3983" w:rsidRDefault="00353493" w:rsidP="00062C0B">
      <w:pPr>
        <w:pStyle w:val="CaseStudyText"/>
        <w:spacing w:after="160"/>
        <w:ind w:right="-2"/>
      </w:pPr>
      <w:r w:rsidRPr="004A3983">
        <w:t>The indictment indicated only that the offence had occurred at some point in a four and a half month period. Mr EE had turned 18 in that period.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made the decision that Mr EE</w:t>
      </w:r>
      <w:r w:rsidR="005F6782" w:rsidRPr="004A3983">
        <w:t xml:space="preserve"> was registrable, and </w:t>
      </w:r>
      <w:r w:rsidR="00F527AD" w:rsidRPr="004A3983">
        <w:t>calculated his reporting period to be eight</w:t>
      </w:r>
      <w:r w:rsidRPr="004A3983">
        <w:t xml:space="preserve"> years. </w:t>
      </w:r>
    </w:p>
    <w:p w14:paraId="0FDAE46A" w14:textId="74F7F2FD" w:rsidR="00353493" w:rsidRPr="004A3983" w:rsidRDefault="00353493" w:rsidP="00062C0B">
      <w:pPr>
        <w:pStyle w:val="CaseStudyText"/>
        <w:spacing w:after="160"/>
        <w:ind w:right="-2"/>
      </w:pPr>
      <w:r w:rsidRPr="004A3983">
        <w:t>Later that year Mr EE was charged with failing to comply with reporting obligations under s 17 of the CPOR Act. He was refused bail and was held on remand for 40 days.</w:t>
      </w:r>
      <w:r w:rsidRPr="004A3983">
        <w:rPr>
          <w:rStyle w:val="FootnoteReference"/>
          <w:rFonts w:cs="Arial"/>
          <w:sz w:val="20"/>
          <w:szCs w:val="20"/>
        </w:rPr>
        <w:t xml:space="preserve"> </w:t>
      </w:r>
      <w:r w:rsidRPr="004A3983">
        <w:t xml:space="preserve">He was convicted and (after a successful appeal) was ultimately sentenced to an 18 month good behaviour bond. </w:t>
      </w:r>
    </w:p>
    <w:p w14:paraId="5B9EBD52" w14:textId="33F2BFEB" w:rsidR="00353493" w:rsidRPr="004A3983" w:rsidRDefault="00353493" w:rsidP="00062C0B">
      <w:pPr>
        <w:pStyle w:val="CaseStudyText"/>
        <w:spacing w:after="160"/>
        <w:ind w:right="-2"/>
      </w:pPr>
      <w:r w:rsidRPr="004A3983">
        <w:t>In October 2016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reviewed Mr EE’s file and sought </w:t>
      </w:r>
      <w:r w:rsidR="00AB0D1A" w:rsidRPr="004A3983">
        <w:t xml:space="preserve">legal </w:t>
      </w:r>
      <w:r w:rsidRPr="004A3983">
        <w:t xml:space="preserve">advice as to whether Mr EE was a registrable person. The legal </w:t>
      </w:r>
      <w:r w:rsidR="00AB0D1A" w:rsidRPr="004A3983">
        <w:t xml:space="preserve">advice was </w:t>
      </w:r>
      <w:r w:rsidRPr="004A3983">
        <w:t>that as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could not establish that Mr EE was 18 at the time of the offending, he should be given the benefit of the exception for persons who commit an offence involving an ‘act of indecency’ when they are under 18</w:t>
      </w:r>
      <w:r w:rsidR="009377B3" w:rsidRPr="004A3983">
        <w:t xml:space="preserve"> (s </w:t>
      </w:r>
      <w:r w:rsidRPr="004A3983">
        <w:t xml:space="preserve">3A(c)(i)), and should </w:t>
      </w:r>
      <w:r w:rsidR="00274B48" w:rsidRPr="004A3983">
        <w:t xml:space="preserve">not </w:t>
      </w:r>
      <w:r w:rsidRPr="004A3983">
        <w:t>therefore have been put on the Register.</w:t>
      </w:r>
      <w:r w:rsidR="003906E3" w:rsidRPr="004A3983">
        <w:t xml:space="preserve"> </w:t>
      </w:r>
    </w:p>
    <w:p w14:paraId="73D1E25B" w14:textId="18840335" w:rsidR="00353493" w:rsidRPr="004A3983" w:rsidRDefault="00353493" w:rsidP="00062C0B">
      <w:pPr>
        <w:pStyle w:val="CaseStudyText"/>
        <w:spacing w:after="360"/>
        <w:ind w:right="-2"/>
      </w:pPr>
      <w:r w:rsidRPr="004A3983">
        <w:t>In April 2017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requested an application be made to the court to annul Mr EE’s conviction and sentence for the failure to report offence. The annulment was granted.</w:t>
      </w:r>
      <w:r w:rsidR="00AB0D1A" w:rsidRPr="004A3983">
        <w:t xml:space="preserve"> </w:t>
      </w:r>
    </w:p>
    <w:p w14:paraId="06D3A6EF" w14:textId="10CF0F3C" w:rsidR="00353493" w:rsidRPr="004A3983" w:rsidRDefault="00FF5D15" w:rsidP="00F84ADE">
      <w:pPr>
        <w:pStyle w:val="AppendixHeading3"/>
      </w:pPr>
      <w:bookmarkStart w:id="591" w:name="_Toc9428460"/>
      <w:bookmarkStart w:id="592" w:name="_Ref10041238"/>
      <w:bookmarkStart w:id="593" w:name="_Ref10543528"/>
      <w:bookmarkStart w:id="594" w:name="_Toc12020412"/>
      <w:bookmarkStart w:id="595" w:name="_Toc14790578"/>
      <w:bookmarkStart w:id="596" w:name="_Toc15478461"/>
      <w:bookmarkStart w:id="597" w:name="_Toc22279528"/>
      <w:bookmarkStart w:id="598" w:name="_Toc22627860"/>
      <w:r w:rsidRPr="004A3983">
        <w:t>Difficulties determining when multiple offences should be grouped and considered a ‘</w:t>
      </w:r>
      <w:r w:rsidRPr="00F84ADE">
        <w:t>single</w:t>
      </w:r>
      <w:r w:rsidRPr="004A3983">
        <w:t xml:space="preserve"> offence’</w:t>
      </w:r>
      <w:bookmarkEnd w:id="591"/>
      <w:bookmarkEnd w:id="592"/>
      <w:bookmarkEnd w:id="593"/>
      <w:bookmarkEnd w:id="594"/>
      <w:bookmarkEnd w:id="595"/>
      <w:bookmarkEnd w:id="596"/>
      <w:bookmarkEnd w:id="597"/>
      <w:bookmarkEnd w:id="598"/>
    </w:p>
    <w:p w14:paraId="361658C7" w14:textId="16CBF580" w:rsidR="004A2AEB" w:rsidRPr="004A3983" w:rsidRDefault="004A2AEB" w:rsidP="00062C0B">
      <w:pPr>
        <w:spacing w:after="160"/>
        <w:ind w:right="-2"/>
        <w:rPr>
          <w:rFonts w:cs="Arial"/>
          <w:color w:val="000000"/>
          <w:lang w:val="en"/>
        </w:rPr>
      </w:pPr>
      <w:r w:rsidRPr="004A3983">
        <w:t xml:space="preserve">As mentioned above, the exceptions </w:t>
      </w:r>
      <w:r w:rsidR="006C3184" w:rsidRPr="004A3983">
        <w:t>will apply to juveniles</w:t>
      </w:r>
      <w:r w:rsidRPr="004A3983">
        <w:t xml:space="preserve"> sentenced for more than one offence of the kind listed in s 3A(2)(c)</w:t>
      </w:r>
      <w:r w:rsidR="00F60FDD" w:rsidRPr="004A3983">
        <w:t xml:space="preserve"> if the multiple offences were ‘</w:t>
      </w:r>
      <w:r w:rsidRPr="004A3983">
        <w:rPr>
          <w:rFonts w:cs="Arial"/>
          <w:color w:val="000000"/>
          <w:lang w:val="en"/>
        </w:rPr>
        <w:t>of the same kind</w:t>
      </w:r>
      <w:r w:rsidR="00F60FDD" w:rsidRPr="004A3983">
        <w:rPr>
          <w:rFonts w:cs="Arial"/>
          <w:color w:val="000000"/>
          <w:lang w:val="en"/>
        </w:rPr>
        <w:t>’</w:t>
      </w:r>
      <w:r w:rsidRPr="004A3983">
        <w:rPr>
          <w:rFonts w:cs="Arial"/>
          <w:color w:val="000000"/>
          <w:lang w:val="en"/>
        </w:rPr>
        <w:t xml:space="preserve"> and were </w:t>
      </w:r>
      <w:r w:rsidR="00F60FDD" w:rsidRPr="004A3983">
        <w:rPr>
          <w:rFonts w:cs="Arial"/>
          <w:color w:val="000000"/>
          <w:lang w:val="en"/>
        </w:rPr>
        <w:t>‘</w:t>
      </w:r>
      <w:r w:rsidR="00C70495">
        <w:rPr>
          <w:rFonts w:cs="Arial"/>
          <w:color w:val="000000"/>
          <w:lang w:val="en"/>
        </w:rPr>
        <w:t>arising from the same incident’.</w:t>
      </w:r>
      <w:r w:rsidRPr="004A3983">
        <w:rPr>
          <w:rFonts w:cs="Arial"/>
          <w:color w:val="000000"/>
          <w:lang w:val="en"/>
        </w:rPr>
        <w:t xml:space="preserve"> The test in s 3(3) for whether offences arise from the same incident includes two requirements, (1) that </w:t>
      </w:r>
      <w:r w:rsidRPr="004A3983">
        <w:t>they are ‘committed within a single period of 24 hours’, and (2) that they are ‘committed against the same person’.</w:t>
      </w:r>
    </w:p>
    <w:p w14:paraId="6C7E0AF4" w14:textId="0A785C09" w:rsidR="004A2AEB" w:rsidRPr="004A3983" w:rsidRDefault="004A2AEB" w:rsidP="00062C0B">
      <w:pPr>
        <w:spacing w:after="160"/>
        <w:ind w:right="-2"/>
      </w:pPr>
      <w:r w:rsidRPr="004A3983">
        <w:t>As discussed above, it may not always be apparent from the court documents exactly when the offending occurred. This can make it difficult for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to determine whether or not multiple offences committed against the same victim were committed within the same 24 hour period, and so should be treated as a ‘single offence’ for the purpose of the exceptions.</w:t>
      </w:r>
    </w:p>
    <w:p w14:paraId="3A772881" w14:textId="77777777" w:rsidR="004A2AEB" w:rsidRPr="004A3983" w:rsidRDefault="004A2AEB" w:rsidP="00062C0B">
      <w:pPr>
        <w:spacing w:after="160"/>
        <w:ind w:right="-2"/>
      </w:pPr>
      <w:r w:rsidRPr="004A3983">
        <w:t>This problem is demonstrated by Example 2 below.</w:t>
      </w:r>
    </w:p>
    <w:p w14:paraId="483E4175" w14:textId="3B0822B2" w:rsidR="004A2AEB" w:rsidRPr="004A3983" w:rsidRDefault="004A2AEB" w:rsidP="008F34A3">
      <w:pPr>
        <w:pStyle w:val="ExampleHeading"/>
      </w:pPr>
      <w:bookmarkStart w:id="599" w:name="_Toc10711474"/>
      <w:bookmarkStart w:id="600" w:name="_Toc21957545"/>
      <w:bookmarkStart w:id="601" w:name="_Toc22280912"/>
      <w:r w:rsidRPr="004A3983">
        <w:lastRenderedPageBreak/>
        <w:t>Example 2:</w:t>
      </w:r>
      <w:bookmarkEnd w:id="599"/>
      <w:bookmarkEnd w:id="600"/>
      <w:bookmarkEnd w:id="601"/>
      <w:r w:rsidRPr="004A3983">
        <w:t xml:space="preserve"> </w:t>
      </w:r>
    </w:p>
    <w:p w14:paraId="4DCBCB70" w14:textId="34B8C205" w:rsidR="004A2AEB" w:rsidRPr="004A3983" w:rsidRDefault="004A2AEB" w:rsidP="00062C0B">
      <w:pPr>
        <w:pStyle w:val="CaseStudyText"/>
        <w:spacing w:after="160"/>
        <w:ind w:right="-2"/>
      </w:pPr>
      <w:r w:rsidRPr="004A3983">
        <w:t>In 2006 Mr DD</w:t>
      </w:r>
      <w:r w:rsidRPr="004A3983">
        <w:rPr>
          <w:rStyle w:val="FootnoteReference"/>
          <w:sz w:val="20"/>
          <w:szCs w:val="20"/>
        </w:rPr>
        <w:footnoteReference w:id="635"/>
      </w:r>
      <w:r w:rsidRPr="004A3983">
        <w:t xml:space="preserve"> was convicted and sentenced for one count of indecent assault and one count of an act of indecency, both against a victim under the age of 10 years. Mr DD was under 18 at the time </w:t>
      </w:r>
      <w:r w:rsidR="00F94766" w:rsidRPr="004A3983">
        <w:t>he committed the offences. In</w:t>
      </w:r>
      <w:r w:rsidRPr="004A3983">
        <w:t xml:space="preserve"> November 2006 the NSW</w:t>
      </w:r>
      <w:r w:rsidR="005F52DF" w:rsidRPr="004A3983">
        <w:t xml:space="preserve"> </w:t>
      </w:r>
      <w:r w:rsidRPr="004A3983">
        <w:t>P</w:t>
      </w:r>
      <w:r w:rsidR="005F52DF" w:rsidRPr="004A3983">
        <w:t xml:space="preserve">olice </w:t>
      </w:r>
      <w:r w:rsidRPr="004A3983">
        <w:t>F</w:t>
      </w:r>
      <w:r w:rsidR="005F52DF" w:rsidRPr="004A3983">
        <w:t xml:space="preserve">orce determined </w:t>
      </w:r>
      <w:r w:rsidRPr="004A3983">
        <w:t xml:space="preserve">Mr DD </w:t>
      </w:r>
      <w:r w:rsidR="005F52DF" w:rsidRPr="004A3983">
        <w:t xml:space="preserve">was a registrable person and placed him </w:t>
      </w:r>
      <w:r w:rsidRPr="004A3983">
        <w:t>on the Register.</w:t>
      </w:r>
      <w:r w:rsidR="0094583B" w:rsidRPr="004A3983">
        <w:t xml:space="preserve"> </w:t>
      </w:r>
    </w:p>
    <w:p w14:paraId="1E485B29" w14:textId="5E57AEE3" w:rsidR="004A2AEB" w:rsidRPr="004A3983" w:rsidRDefault="004A2AEB" w:rsidP="00062C0B">
      <w:pPr>
        <w:pStyle w:val="CaseStudyText"/>
        <w:spacing w:after="160"/>
        <w:ind w:right="-2"/>
      </w:pPr>
      <w:r w:rsidRPr="004A3983">
        <w:t xml:space="preserve">Between June 2010 and March 2016 Mr DD was charged, convicted and sentenced for three separate offences of failing to report under s 17 of the CPOR Act. As a result of these charges he spent a total of 413 days in custody. </w:t>
      </w:r>
    </w:p>
    <w:p w14:paraId="58DDF4B5" w14:textId="18B32DFA" w:rsidR="004A2AEB" w:rsidRPr="004A3983" w:rsidRDefault="004A2AEB" w:rsidP="00062C0B">
      <w:pPr>
        <w:pStyle w:val="CaseStudyText"/>
        <w:spacing w:after="160"/>
        <w:ind w:right="-2"/>
      </w:pPr>
      <w:r w:rsidRPr="004A3983">
        <w:t>In July 2016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reviewed Mr DD’s</w:t>
      </w:r>
      <w:r w:rsidR="00C357B4" w:rsidRPr="004A3983">
        <w:t xml:space="preserve"> </w:t>
      </w:r>
      <w:r w:rsidR="00993A10" w:rsidRPr="004A3983">
        <w:t xml:space="preserve">Register </w:t>
      </w:r>
      <w:r w:rsidR="00C357B4" w:rsidRPr="004A3983">
        <w:t>case file</w:t>
      </w:r>
      <w:r w:rsidRPr="004A3983">
        <w:t>.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requested the Agreed Facts sheet from the court that convicted Mr DD in 2006.</w:t>
      </w:r>
      <w:r w:rsidR="00E30813" w:rsidRPr="004A3983">
        <w:t xml:space="preserve"> The Agreed Facts</w:t>
      </w:r>
      <w:r w:rsidRPr="004A3983">
        <w:t xml:space="preserve"> revealed that Mr DD had committed the two indecency offences ‘on the same day’ in a between dates period, and against the same victim. </w:t>
      </w:r>
      <w:r w:rsidR="001C1BE0" w:rsidRPr="004A3983">
        <w:t>The NSW Police Force realised that</w:t>
      </w:r>
      <w:r w:rsidRPr="004A3983">
        <w:t xml:space="preserve"> under the CPOR Act those offences should have been counted as a ‘single offence’ involving an act of indecency</w:t>
      </w:r>
      <w:r w:rsidR="001F5E00" w:rsidRPr="004A3983">
        <w:t>, with the consequence that</w:t>
      </w:r>
      <w:r w:rsidRPr="004A3983">
        <w:t xml:space="preserve"> Mr DD</w:t>
      </w:r>
      <w:r w:rsidR="001F5E00" w:rsidRPr="004A3983">
        <w:t xml:space="preserve"> </w:t>
      </w:r>
      <w:r w:rsidRPr="004A3983">
        <w:t>fell within the exception to registration in s 3A(2)(c)(i) of the CPOR Act</w:t>
      </w:r>
      <w:r w:rsidR="00C357B4" w:rsidRPr="004A3983">
        <w:t>,</w:t>
      </w:r>
      <w:r w:rsidRPr="004A3983">
        <w:t xml:space="preserve"> and should not have been put on the</w:t>
      </w:r>
      <w:r w:rsidR="00CB5C45">
        <w:t> </w:t>
      </w:r>
      <w:r w:rsidRPr="004A3983">
        <w:t>Register in 2006.</w:t>
      </w:r>
      <w:r w:rsidR="001F5E00" w:rsidRPr="004A3983">
        <w:rPr>
          <w:rStyle w:val="FootnoteReference"/>
          <w:rFonts w:cs="Arial"/>
          <w:sz w:val="20"/>
          <w:szCs w:val="20"/>
        </w:rPr>
        <w:footnoteReference w:id="636"/>
      </w:r>
      <w:r w:rsidR="001F5E00" w:rsidRPr="004A3983">
        <w:t xml:space="preserve"> </w:t>
      </w:r>
    </w:p>
    <w:p w14:paraId="5601A22A" w14:textId="2FBF5D69" w:rsidR="004A2AEB" w:rsidRPr="004A3983" w:rsidRDefault="004A2AEB" w:rsidP="00062C0B">
      <w:pPr>
        <w:pStyle w:val="CaseStudyText"/>
        <w:spacing w:after="160"/>
        <w:ind w:right="-2"/>
      </w:pPr>
      <w:r w:rsidRPr="004A3983">
        <w:t>As a result of this error, Mr DD</w:t>
      </w:r>
      <w:r w:rsidR="00F94766" w:rsidRPr="004A3983">
        <w:t xml:space="preserve"> had therefore been wrong</w:t>
      </w:r>
      <w:r w:rsidRPr="004A3983">
        <w:t>ly arrested and convicted under s 17 of the CPOR Act on three occasions, and spent a total of 413</w:t>
      </w:r>
      <w:r w:rsidR="00CB5C45">
        <w:t> </w:t>
      </w:r>
      <w:r w:rsidRPr="004A3983">
        <w:t xml:space="preserve">days in custody without lawful basis.  </w:t>
      </w:r>
    </w:p>
    <w:p w14:paraId="496527BA" w14:textId="0D8507E3" w:rsidR="004A2AEB" w:rsidRPr="004A3983" w:rsidRDefault="004A2AEB" w:rsidP="00062C0B">
      <w:pPr>
        <w:pStyle w:val="CaseStudyText"/>
        <w:spacing w:after="360"/>
        <w:ind w:right="-2"/>
      </w:pPr>
      <w:r w:rsidRPr="004A3983">
        <w:t>On 16 June 2017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requested that an application be made to the court to annul Mr DD’s three co</w:t>
      </w:r>
      <w:r w:rsidR="00F90237" w:rsidRPr="004A3983">
        <w:t xml:space="preserve">nvictions and sentences </w:t>
      </w:r>
      <w:r w:rsidR="00DD31EB" w:rsidRPr="004A3983">
        <w:t>under</w:t>
      </w:r>
      <w:r w:rsidR="00F02F2F" w:rsidRPr="004A3983">
        <w:t xml:space="preserve"> s </w:t>
      </w:r>
      <w:r w:rsidRPr="004A3983">
        <w:t>17 of the CPOR Act</w:t>
      </w:r>
      <w:r w:rsidR="00F90237" w:rsidRPr="004A3983">
        <w:t xml:space="preserve"> for failing to report</w:t>
      </w:r>
      <w:r w:rsidRPr="004A3983">
        <w:t xml:space="preserve">. </w:t>
      </w:r>
      <w:r w:rsidR="00DD31EB" w:rsidRPr="004A3983">
        <w:t>The</w:t>
      </w:r>
      <w:r w:rsidRPr="004A3983">
        <w:t xml:space="preserve"> application was made and the annulments </w:t>
      </w:r>
      <w:r w:rsidR="00425FAA" w:rsidRPr="004A3983">
        <w:t xml:space="preserve">were </w:t>
      </w:r>
      <w:r w:rsidRPr="004A3983">
        <w:t>granted.</w:t>
      </w:r>
      <w:r w:rsidR="0007441C" w:rsidRPr="004A3983">
        <w:t xml:space="preserve"> </w:t>
      </w:r>
    </w:p>
    <w:p w14:paraId="41F28B19" w14:textId="6DE86444" w:rsidR="00FF5D15" w:rsidRPr="004A3983" w:rsidRDefault="00316BBE" w:rsidP="00F84ADE">
      <w:pPr>
        <w:pStyle w:val="AppendixHeading2"/>
      </w:pPr>
      <w:bookmarkStart w:id="602" w:name="_Ref9929888"/>
      <w:bookmarkStart w:id="603" w:name="_Ref9929937"/>
      <w:bookmarkStart w:id="604" w:name="_Ref10038889"/>
      <w:bookmarkStart w:id="605" w:name="_Ref10041252"/>
      <w:bookmarkStart w:id="606" w:name="_Ref10043066"/>
      <w:bookmarkStart w:id="607" w:name="_Toc22627861"/>
      <w:r w:rsidRPr="004A3983">
        <w:t>Particular issues with child abuse material (CAM) offences</w:t>
      </w:r>
      <w:bookmarkEnd w:id="602"/>
      <w:bookmarkEnd w:id="603"/>
      <w:bookmarkEnd w:id="604"/>
      <w:bookmarkEnd w:id="605"/>
      <w:bookmarkEnd w:id="606"/>
      <w:bookmarkEnd w:id="607"/>
    </w:p>
    <w:p w14:paraId="647104E1" w14:textId="21CA3A3C" w:rsidR="0007441C" w:rsidRPr="004A3983" w:rsidRDefault="0007441C" w:rsidP="00062C0B">
      <w:pPr>
        <w:spacing w:after="160"/>
        <w:ind w:right="-2"/>
      </w:pPr>
      <w:r w:rsidRPr="004A3983">
        <w:t>One of the exceptions applies to juveniles who commit a ‘single offence’ of producing, disseminating or possessing child abuse material (the CAM exception).</w:t>
      </w:r>
      <w:r w:rsidRPr="004A3983">
        <w:rPr>
          <w:rStyle w:val="FootnoteReference"/>
        </w:rPr>
        <w:footnoteReference w:id="637"/>
      </w:r>
    </w:p>
    <w:p w14:paraId="2ED07E98" w14:textId="7859FE61" w:rsidR="0007441C" w:rsidRPr="004A3983" w:rsidRDefault="0007441C" w:rsidP="00062C0B">
      <w:pPr>
        <w:spacing w:after="160"/>
        <w:ind w:right="-2"/>
      </w:pPr>
      <w:r w:rsidRPr="004A3983">
        <w:t>There are a number of issues with the wording of this exception which make it particularly difficult for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to determine whether it will apply. This</w:t>
      </w:r>
      <w:r w:rsidR="00827202">
        <w:t> </w:t>
      </w:r>
      <w:r w:rsidRPr="004A3983">
        <w:t>is because the language used in the test for when multiple offences should be</w:t>
      </w:r>
      <w:r w:rsidR="006C7DDA" w:rsidRPr="004A3983">
        <w:t xml:space="preserve"> counted as a ‘single offence’</w:t>
      </w:r>
      <w:r w:rsidRPr="004A3983">
        <w:t xml:space="preserve"> can be very difficult to apply to CAM offences.  </w:t>
      </w:r>
    </w:p>
    <w:p w14:paraId="0F9546FE" w14:textId="77777777" w:rsidR="0007441C" w:rsidRPr="004A3983" w:rsidRDefault="0007441C" w:rsidP="00062C0B">
      <w:pPr>
        <w:spacing w:after="160"/>
        <w:ind w:right="-2"/>
      </w:pPr>
      <w:r w:rsidRPr="004A3983">
        <w:lastRenderedPageBreak/>
        <w:t>Section 3(3) requires multiple offences to be treated as arising from the same incident (and therefore counted as a ‘single offence’)</w:t>
      </w:r>
      <w:r w:rsidRPr="004A3983">
        <w:rPr>
          <w:rStyle w:val="FootnoteReference"/>
        </w:rPr>
        <w:footnoteReference w:id="638"/>
      </w:r>
      <w:r w:rsidRPr="004A3983">
        <w:t xml:space="preserve"> if they are ‘committed within a single period of 24 hours’, and are ‘committed against the same person’.</w:t>
      </w:r>
      <w:r w:rsidRPr="004A3983">
        <w:rPr>
          <w:rStyle w:val="FootnoteReference"/>
        </w:rPr>
        <w:footnoteReference w:id="639"/>
      </w:r>
    </w:p>
    <w:p w14:paraId="5DFA7F09" w14:textId="06F90394" w:rsidR="0007441C" w:rsidRPr="004A3983" w:rsidRDefault="00C4490A" w:rsidP="00F84ADE">
      <w:pPr>
        <w:pStyle w:val="AppendixHeading3"/>
      </w:pPr>
      <w:bookmarkStart w:id="608" w:name="_Toc9428462"/>
      <w:bookmarkStart w:id="609" w:name="_Toc12020414"/>
      <w:bookmarkStart w:id="610" w:name="_Toc14790580"/>
      <w:bookmarkStart w:id="611" w:name="_Toc15478463"/>
      <w:bookmarkStart w:id="612" w:name="_Toc22279530"/>
      <w:bookmarkStart w:id="613" w:name="_Toc22627862"/>
      <w:r w:rsidRPr="00F84ADE">
        <w:t>Identifying</w:t>
      </w:r>
      <w:r w:rsidRPr="004A3983">
        <w:t xml:space="preserve"> w</w:t>
      </w:r>
      <w:r w:rsidR="003C0DFF" w:rsidRPr="004A3983">
        <w:t>heth</w:t>
      </w:r>
      <w:r w:rsidR="00B15484" w:rsidRPr="004A3983">
        <w:t xml:space="preserve">er offences of possessing CAM </w:t>
      </w:r>
      <w:r w:rsidRPr="004A3983">
        <w:t>we</w:t>
      </w:r>
      <w:r w:rsidR="003C0DFF" w:rsidRPr="004A3983">
        <w:t>re ‘committed within’ 24 hours</w:t>
      </w:r>
      <w:bookmarkEnd w:id="608"/>
      <w:bookmarkEnd w:id="609"/>
      <w:bookmarkEnd w:id="610"/>
      <w:bookmarkEnd w:id="611"/>
      <w:bookmarkEnd w:id="612"/>
      <w:bookmarkEnd w:id="613"/>
    </w:p>
    <w:p w14:paraId="15ABB8F2" w14:textId="403E5C8D" w:rsidR="003C0DFF" w:rsidRPr="004A3983" w:rsidRDefault="003C0DFF" w:rsidP="00062C0B">
      <w:pPr>
        <w:spacing w:after="160"/>
        <w:ind w:right="-2"/>
      </w:pPr>
      <w:r w:rsidRPr="004A3983">
        <w:t>There is the potential for different interpretations of wh</w:t>
      </w:r>
      <w:r w:rsidR="00AA0B33" w:rsidRPr="004A3983">
        <w:t>en an offence of possession can be said to</w:t>
      </w:r>
      <w:r w:rsidRPr="004A3983">
        <w:t xml:space="preserve"> be ‘committed within’ 24 hours, because a person may </w:t>
      </w:r>
      <w:r w:rsidRPr="004A3983">
        <w:rPr>
          <w:b/>
        </w:rPr>
        <w:t>obtain</w:t>
      </w:r>
      <w:r w:rsidRPr="004A3983">
        <w:t xml:space="preserve"> CAM in a matter of seconds, but may </w:t>
      </w:r>
      <w:r w:rsidRPr="004A3983">
        <w:rPr>
          <w:b/>
        </w:rPr>
        <w:t>retain</w:t>
      </w:r>
      <w:r w:rsidRPr="004A3983">
        <w:t xml:space="preserve"> that material for months or years.</w:t>
      </w:r>
    </w:p>
    <w:p w14:paraId="55EA0217" w14:textId="18CCC4C9" w:rsidR="003C0DFF" w:rsidRPr="004A3983" w:rsidRDefault="003C0DFF" w:rsidP="00062C0B">
      <w:pPr>
        <w:spacing w:after="160"/>
        <w:ind w:right="-2"/>
      </w:pPr>
      <w:r w:rsidRPr="004A3983">
        <w:t>It can be argued that the offence of possession is ‘committed’ at the point the person obtains the material, because all the elements of the offence have been fulfilled at that point – ie the offence is complete as a matter of law.</w:t>
      </w:r>
      <w:r w:rsidR="00F969F3" w:rsidRPr="004A3983">
        <w:rPr>
          <w:rStyle w:val="FootnoteReference"/>
        </w:rPr>
        <w:footnoteReference w:id="640"/>
      </w:r>
      <w:r w:rsidRPr="004A3983">
        <w:t xml:space="preserve"> </w:t>
      </w:r>
    </w:p>
    <w:p w14:paraId="134F28E3" w14:textId="079EBEFE" w:rsidR="003C0DFF" w:rsidRPr="004A3983" w:rsidRDefault="003C0DFF" w:rsidP="00062C0B">
      <w:pPr>
        <w:spacing w:after="160"/>
        <w:ind w:right="-2"/>
      </w:pPr>
      <w:r w:rsidRPr="004A3983">
        <w:t>However, it can also be argued that the offence of possession continue</w:t>
      </w:r>
      <w:r w:rsidR="00672B92" w:rsidRPr="004A3983">
        <w:t>s</w:t>
      </w:r>
      <w:r w:rsidRPr="004A3983">
        <w:t xml:space="preserve"> for as long as the person has control over the material, and therefore the possession is only ‘committed’ once it has ended (ie complete as a matter of fact). </w:t>
      </w:r>
    </w:p>
    <w:p w14:paraId="5F602B6C" w14:textId="5D9C69A0" w:rsidR="003C0DFF" w:rsidRPr="004A3983" w:rsidRDefault="003C0DFF" w:rsidP="00062C0B">
      <w:pPr>
        <w:spacing w:after="160"/>
        <w:ind w:right="-2"/>
      </w:pPr>
      <w:r w:rsidRPr="004A3983">
        <w:t xml:space="preserve">Adopting this interpretation, if a person possesses the material for longer than 24 hours, then the possession was not ‘committed </w:t>
      </w:r>
      <w:r w:rsidRPr="004A3983">
        <w:rPr>
          <w:b/>
        </w:rPr>
        <w:t>within</w:t>
      </w:r>
      <w:r w:rsidRPr="004A3983">
        <w:t xml:space="preserve"> a single period of 24 hours’, because the possession did not </w:t>
      </w:r>
      <w:r w:rsidRPr="004A3983">
        <w:rPr>
          <w:b/>
        </w:rPr>
        <w:t>end</w:t>
      </w:r>
      <w:r w:rsidRPr="004A3983">
        <w:t xml:space="preserve"> within 24 hours. T</w:t>
      </w:r>
      <w:r w:rsidR="005817CB" w:rsidRPr="004A3983">
        <w:t>herefore, if a juvenile</w:t>
      </w:r>
      <w:r w:rsidRPr="004A3983">
        <w:t xml:space="preserve"> possesses the material for over 24 hours, that possession cannot be grouped with other possession offences into ‘a single offence’ for the purpose of the CAM exception.</w:t>
      </w:r>
    </w:p>
    <w:p w14:paraId="3F93C023" w14:textId="0CC59D5D" w:rsidR="003C0DFF" w:rsidRPr="004A3983" w:rsidRDefault="003C0DFF" w:rsidP="00062C0B">
      <w:pPr>
        <w:spacing w:after="160"/>
        <w:ind w:right="-2"/>
      </w:pPr>
      <w:r w:rsidRPr="004A3983">
        <w:t>The CPOR Act does not further define the term ‘committed’, and therefore does not guide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as to which of these interpretations should be adopted. This ambiguity in the Act could lead to inconsistencies in the assessment of whether the CAM exception applies (and in the determination of reporting periods, discussed in </w:t>
      </w:r>
      <w:r w:rsidR="00250133" w:rsidRPr="004A3983">
        <w:fldChar w:fldCharType="begin"/>
      </w:r>
      <w:r w:rsidR="00250133" w:rsidRPr="004A3983">
        <w:instrText xml:space="preserve"> REF _Ref10037414 \r \h  \* MERGEFORMAT </w:instrText>
      </w:r>
      <w:r w:rsidR="00250133" w:rsidRPr="004A3983">
        <w:fldChar w:fldCharType="separate"/>
      </w:r>
      <w:r w:rsidR="00022664">
        <w:rPr>
          <w:rFonts w:hint="cs"/>
          <w:cs/>
        </w:rPr>
        <w:t>‎</w:t>
      </w:r>
      <w:r w:rsidR="00022664">
        <w:t>5.3</w:t>
      </w:r>
      <w:r w:rsidR="00250133" w:rsidRPr="004A3983">
        <w:fldChar w:fldCharType="end"/>
      </w:r>
      <w:r w:rsidRPr="004A3983">
        <w:t xml:space="preserve"> below).</w:t>
      </w:r>
    </w:p>
    <w:p w14:paraId="60908B0C" w14:textId="506C34D4" w:rsidR="003C0DFF" w:rsidRPr="004A3983" w:rsidRDefault="003C0DFF" w:rsidP="00062C0B">
      <w:pPr>
        <w:spacing w:after="160"/>
        <w:ind w:right="-2"/>
      </w:pPr>
      <w:r w:rsidRPr="004A3983">
        <w:t>A further issue arises from an apparent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practice of listing the date and time that officers located the material in a person’s possession as the ‘time’ that the possession </w:t>
      </w:r>
      <w:r w:rsidR="00250133" w:rsidRPr="004A3983">
        <w:t xml:space="preserve">offence was committed. </w:t>
      </w:r>
      <w:r w:rsidRPr="004A3983">
        <w:t xml:space="preserve">If, in the course of one search, officers find more than one image, this </w:t>
      </w:r>
      <w:r w:rsidR="000D317D" w:rsidRPr="004A3983">
        <w:t xml:space="preserve">practice </w:t>
      </w:r>
      <w:r w:rsidRPr="004A3983">
        <w:t>can result in</w:t>
      </w:r>
      <w:r w:rsidR="000D317D" w:rsidRPr="004A3983">
        <w:t xml:space="preserve"> multiple charges of possession</w:t>
      </w:r>
      <w:r w:rsidRPr="004A3983">
        <w:t xml:space="preserve"> </w:t>
      </w:r>
      <w:r w:rsidR="000D317D" w:rsidRPr="004A3983">
        <w:t>being</w:t>
      </w:r>
      <w:r w:rsidRPr="004A3983">
        <w:t xml:space="preserve"> listed on the charge sheet as having occurred on the same day (or even in the same hour). </w:t>
      </w:r>
    </w:p>
    <w:p w14:paraId="5DEF701B" w14:textId="1A003C3A" w:rsidR="003C0DFF" w:rsidRPr="004A3983" w:rsidRDefault="003C0DFF" w:rsidP="00062C0B">
      <w:pPr>
        <w:spacing w:after="160"/>
        <w:ind w:right="-2"/>
      </w:pPr>
      <w:r w:rsidRPr="004A3983">
        <w:t>For exam</w:t>
      </w:r>
      <w:r w:rsidR="00250133" w:rsidRPr="004A3983">
        <w:t>ple, one of the Register case files</w:t>
      </w:r>
      <w:r w:rsidRPr="004A3983">
        <w:t xml:space="preserve"> reviewed by the Commission concerned Mr RR.</w:t>
      </w:r>
      <w:r w:rsidR="00CD5CB7" w:rsidRPr="004A3983">
        <w:rPr>
          <w:rStyle w:val="FootnoteReference"/>
        </w:rPr>
        <w:footnoteReference w:id="641"/>
      </w:r>
      <w:r w:rsidRPr="004A3983">
        <w:t xml:space="preserve"> On 29 June 2014 officers searched Mr RR’s laptop and a portable hard drive and found hundreds of CAM images. Mr RR</w:t>
      </w:r>
      <w:r w:rsidR="002E30E7" w:rsidRPr="004A3983">
        <w:t xml:space="preserve"> </w:t>
      </w:r>
      <w:r w:rsidRPr="004A3983">
        <w:t>admitted to police that he had downloaded the images ‘throughout the year’.</w:t>
      </w:r>
      <w:r w:rsidRPr="004A3983">
        <w:rPr>
          <w:rStyle w:val="FootnoteReference"/>
        </w:rPr>
        <w:t xml:space="preserve"> </w:t>
      </w:r>
      <w:r w:rsidRPr="004A3983">
        <w:t xml:space="preserve">He was charged with two counts of possession offences, one count relating to four images and two videos, the other count relating to 300 images. For both counts, the time of the offending listed on the </w:t>
      </w:r>
      <w:r w:rsidRPr="004A3983">
        <w:lastRenderedPageBreak/>
        <w:t>charge sheet was the same 35 minute period on 29 June 2014 (when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conducted the search). </w:t>
      </w:r>
    </w:p>
    <w:p w14:paraId="45AC9E57" w14:textId="37639A6F" w:rsidR="003C0DFF" w:rsidRPr="004A3983" w:rsidRDefault="003C0DFF" w:rsidP="00062C0B">
      <w:pPr>
        <w:spacing w:after="160"/>
        <w:ind w:right="-2"/>
      </w:pPr>
      <w:r w:rsidRPr="004A3983">
        <w:t>Mr RR’s case did not raise a quest</w:t>
      </w:r>
      <w:r w:rsidR="00246F99" w:rsidRPr="004A3983">
        <w:t>ion regarding the CAM exception. However</w:t>
      </w:r>
      <w:r w:rsidRPr="004A3983">
        <w:t xml:space="preserve"> it illustrates how, if the NSW</w:t>
      </w:r>
      <w:r w:rsidR="00F02F2F" w:rsidRPr="004A3983">
        <w:t xml:space="preserve"> </w:t>
      </w:r>
      <w:r w:rsidRPr="004A3983">
        <w:t>P</w:t>
      </w:r>
      <w:r w:rsidR="00F02F2F" w:rsidRPr="004A3983">
        <w:t xml:space="preserve">olice </w:t>
      </w:r>
      <w:r w:rsidRPr="004A3983">
        <w:t>F</w:t>
      </w:r>
      <w:r w:rsidR="00F02F2F" w:rsidRPr="004A3983">
        <w:t>orce</w:t>
      </w:r>
      <w:r w:rsidR="00246F99" w:rsidRPr="004A3983">
        <w:t xml:space="preserve"> relies upon the time that the CAM was located in a person’s possession </w:t>
      </w:r>
      <w:r w:rsidRPr="004A3983">
        <w:t>as being the time the offences were ‘committed’, the possession of hundreds of images, downloaded over the course of several months, may be treated as having been ‘committed within a single period of 24 hours’, and therefore as a ‘sing</w:t>
      </w:r>
      <w:r w:rsidR="003A6020" w:rsidRPr="004A3983">
        <w:t>le offence’ under the CPOR Act</w:t>
      </w:r>
      <w:r w:rsidRPr="004A3983">
        <w:t xml:space="preserve">.  </w:t>
      </w:r>
    </w:p>
    <w:p w14:paraId="0656433D" w14:textId="0DE892A7" w:rsidR="003C0DFF" w:rsidRPr="004A3983" w:rsidRDefault="0097778E" w:rsidP="00F84ADE">
      <w:pPr>
        <w:pStyle w:val="AppendixHeading3"/>
      </w:pPr>
      <w:bookmarkStart w:id="614" w:name="_Toc9428463"/>
      <w:bookmarkStart w:id="615" w:name="_Ref10102414"/>
      <w:bookmarkStart w:id="616" w:name="_Toc12020415"/>
      <w:bookmarkStart w:id="617" w:name="_Toc14790581"/>
      <w:bookmarkStart w:id="618" w:name="_Toc15478464"/>
      <w:bookmarkStart w:id="619" w:name="_Toc22279531"/>
      <w:bookmarkStart w:id="620" w:name="_Toc22627863"/>
      <w:r w:rsidRPr="004A3983">
        <w:t xml:space="preserve">Requirement to identify </w:t>
      </w:r>
      <w:r w:rsidR="00DA6637" w:rsidRPr="004A3983">
        <w:t xml:space="preserve">the </w:t>
      </w:r>
      <w:r w:rsidRPr="004A3983">
        <w:t>person CAM offences are ‘committed against’</w:t>
      </w:r>
      <w:bookmarkEnd w:id="614"/>
      <w:bookmarkEnd w:id="615"/>
      <w:bookmarkEnd w:id="616"/>
      <w:bookmarkEnd w:id="617"/>
      <w:bookmarkEnd w:id="618"/>
      <w:bookmarkEnd w:id="619"/>
      <w:bookmarkEnd w:id="620"/>
    </w:p>
    <w:p w14:paraId="269C0BE1" w14:textId="31C045AF" w:rsidR="0097778E" w:rsidRPr="004A3983" w:rsidRDefault="0097778E" w:rsidP="00062C0B">
      <w:pPr>
        <w:spacing w:after="160"/>
        <w:ind w:right="-2"/>
      </w:pPr>
      <w:r w:rsidRPr="004A3983">
        <w:t>A further issue for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when attempting to determine if the CAM exception should apply in the case of multiple CAM offences is how to interpret the requirement that the offences be ‘committed against the same person’. </w:t>
      </w:r>
    </w:p>
    <w:p w14:paraId="1B7FAEBD" w14:textId="2A5C2B50" w:rsidR="0097778E" w:rsidRPr="004A3983" w:rsidRDefault="0097778E" w:rsidP="00062C0B">
      <w:pPr>
        <w:spacing w:after="160"/>
        <w:ind w:right="-2"/>
      </w:pPr>
      <w:r w:rsidRPr="004A3983">
        <w:t xml:space="preserve">Under s 91H of the </w:t>
      </w:r>
      <w:r w:rsidRPr="004A3983">
        <w:rPr>
          <w:i/>
        </w:rPr>
        <w:t>Crimes Act 1900</w:t>
      </w:r>
      <w:r w:rsidRPr="004A3983">
        <w:t xml:space="preserve"> (NSW), the prosecution does not need to identify any person against whom the offence of production, dissemination or possession </w:t>
      </w:r>
      <w:r w:rsidR="0025530B" w:rsidRPr="004A3983">
        <w:t xml:space="preserve">of CAM </w:t>
      </w:r>
      <w:r w:rsidRPr="004A3983">
        <w:t xml:space="preserve">was ‘committed’ in order to secure a conviction. Those offences are proven once the prosecution has established that the defendant handled material that meets the definition of </w:t>
      </w:r>
      <w:r w:rsidR="00DE4729" w:rsidRPr="004A3983">
        <w:t>‘</w:t>
      </w:r>
      <w:r w:rsidRPr="004A3983">
        <w:t>child abuse material</w:t>
      </w:r>
      <w:r w:rsidR="00DE4729" w:rsidRPr="004A3983">
        <w:t>’</w:t>
      </w:r>
      <w:r w:rsidRPr="004A3983">
        <w:t>, in the relevant way.</w:t>
      </w:r>
      <w:r w:rsidRPr="004A3983">
        <w:rPr>
          <w:rStyle w:val="FootnoteReference"/>
        </w:rPr>
        <w:footnoteReference w:id="642"/>
      </w:r>
      <w:r w:rsidRPr="004A3983">
        <w:t xml:space="preserve">  </w:t>
      </w:r>
    </w:p>
    <w:p w14:paraId="76EA4C3A" w14:textId="72EAA0B2" w:rsidR="0097778E" w:rsidRPr="004A3983" w:rsidRDefault="0097778E" w:rsidP="00062C0B">
      <w:pPr>
        <w:spacing w:after="160"/>
        <w:ind w:right="-2"/>
      </w:pPr>
      <w:r w:rsidRPr="004A3983">
        <w:t>I</w:t>
      </w:r>
      <w:r w:rsidR="005817CB" w:rsidRPr="004A3983">
        <w:t>n April 2018 a juvenile</w:t>
      </w:r>
      <w:r w:rsidRPr="004A3983">
        <w:t xml:space="preserve"> applied to the Supreme Court for review of the decision by the NSW</w:t>
      </w:r>
      <w:r w:rsidR="00F02F2F" w:rsidRPr="004A3983">
        <w:t xml:space="preserve"> </w:t>
      </w:r>
      <w:r w:rsidRPr="004A3983">
        <w:t>P</w:t>
      </w:r>
      <w:r w:rsidR="00F02F2F" w:rsidRPr="004A3983">
        <w:t xml:space="preserve">olice </w:t>
      </w:r>
      <w:r w:rsidRPr="004A3983">
        <w:t>F</w:t>
      </w:r>
      <w:r w:rsidR="00F02F2F" w:rsidRPr="004A3983">
        <w:t>orce</w:t>
      </w:r>
      <w:r w:rsidRPr="004A3983">
        <w:t xml:space="preserve"> that he was a registrable person under the CPOR Act.</w:t>
      </w:r>
      <w:r w:rsidRPr="004A3983">
        <w:rPr>
          <w:rStyle w:val="FootnoteReference"/>
        </w:rPr>
        <w:footnoteReference w:id="643"/>
      </w:r>
      <w:r w:rsidRPr="004A3983">
        <w:t xml:space="preserve"> He had been convicted of one offence of possession of </w:t>
      </w:r>
      <w:r w:rsidR="00DE4729" w:rsidRPr="004A3983">
        <w:t>CAM</w:t>
      </w:r>
      <w:r w:rsidRPr="004A3983">
        <w:t xml:space="preserve"> (which pictured one victim) and one offence of disseminating that same material. The two offences had been committed on the same day. His legal representatives submitted that his offending met the requirements in s 3(3) and 3A(5) to be counted as a ‘single offence’, and therefore the</w:t>
      </w:r>
      <w:r w:rsidR="009120EF" w:rsidRPr="004A3983">
        <w:t xml:space="preserve"> exception to registration in s </w:t>
      </w:r>
      <w:r w:rsidRPr="004A3983">
        <w:t xml:space="preserve">3A(2)(c)(ii) applied to him. </w:t>
      </w:r>
    </w:p>
    <w:p w14:paraId="341FC152" w14:textId="2C6990C1" w:rsidR="0097778E" w:rsidRPr="004A3983" w:rsidRDefault="0097778E" w:rsidP="00062C0B">
      <w:pPr>
        <w:spacing w:after="160"/>
        <w:ind w:right="-2"/>
      </w:pPr>
      <w:r w:rsidRPr="004A3983">
        <w:t>The Court was required to consider how to apply the requirement in s 3(3) that offences be ‘committed against the same person’ to the plaintiff’s case.</w:t>
      </w:r>
    </w:p>
    <w:p w14:paraId="0B85566E" w14:textId="7170BC56" w:rsidR="0097778E" w:rsidRPr="004A3983" w:rsidRDefault="00DB53CC" w:rsidP="00062C0B">
      <w:pPr>
        <w:spacing w:after="160"/>
        <w:ind w:right="-2"/>
      </w:pPr>
      <w:r w:rsidRPr="004A3983">
        <w:t>Justice Latham</w:t>
      </w:r>
      <w:r w:rsidR="0097778E" w:rsidRPr="004A3983">
        <w:t xml:space="preserve"> accepted, based on the agreement of the parties, that the person that both the possession offence and the dissemination offence were ‘committed against’ for the purpose of s 3(3) was the girl pictured in the material.</w:t>
      </w:r>
      <w:r w:rsidR="0097778E" w:rsidRPr="004A3983">
        <w:rPr>
          <w:rStyle w:val="FootnoteReference"/>
        </w:rPr>
        <w:footnoteReference w:id="644"/>
      </w:r>
      <w:r w:rsidR="0097778E" w:rsidRPr="004A3983">
        <w:t xml:space="preserve"> Her Honour rejected the argument that the persons to whom the material was made available should also be counted as persons that the dissemination offence was ‘committed against’.</w:t>
      </w:r>
      <w:r w:rsidR="0097778E" w:rsidRPr="004A3983">
        <w:rPr>
          <w:rStyle w:val="FootnoteReference"/>
        </w:rPr>
        <w:footnoteReference w:id="645"/>
      </w:r>
    </w:p>
    <w:p w14:paraId="72F0F00D" w14:textId="0659293B" w:rsidR="0097778E" w:rsidRPr="004A3983" w:rsidRDefault="0097778E" w:rsidP="00062C0B">
      <w:pPr>
        <w:spacing w:after="160"/>
        <w:ind w:right="-2"/>
      </w:pPr>
      <w:r w:rsidRPr="004A3983">
        <w:t>Her Honour’s interpretation of s 3(3) creates practical difficulties for the NSW</w:t>
      </w:r>
      <w:r w:rsidR="00F02F2F" w:rsidRPr="004A3983">
        <w:t xml:space="preserve"> </w:t>
      </w:r>
      <w:r w:rsidRPr="004A3983">
        <w:t>P</w:t>
      </w:r>
      <w:r w:rsidR="00F02F2F" w:rsidRPr="004A3983">
        <w:t xml:space="preserve">olice </w:t>
      </w:r>
      <w:r w:rsidRPr="004A3983">
        <w:t>F</w:t>
      </w:r>
      <w:r w:rsidR="00F02F2F" w:rsidRPr="004A3983">
        <w:t>orce</w:t>
      </w:r>
      <w:r w:rsidRPr="004A3983">
        <w:t>. It means that s 3(3) requires the NSW</w:t>
      </w:r>
      <w:r w:rsidR="00F02F2F" w:rsidRPr="004A3983">
        <w:t xml:space="preserve"> Police Force</w:t>
      </w:r>
      <w:r w:rsidRPr="004A3983">
        <w:t xml:space="preserve"> to view the </w:t>
      </w:r>
      <w:r w:rsidR="005E1396" w:rsidRPr="004A3983">
        <w:t xml:space="preserve">relevant </w:t>
      </w:r>
      <w:r w:rsidRPr="004A3983">
        <w:lastRenderedPageBreak/>
        <w:t>images or videos and identify whether it is the same child that i</w:t>
      </w:r>
      <w:r w:rsidR="00C87079" w:rsidRPr="004A3983">
        <w:t xml:space="preserve">s depicted in each. If so, </w:t>
      </w:r>
      <w:r w:rsidRPr="004A3983">
        <w:t xml:space="preserve">the exception to registration may apply. </w:t>
      </w:r>
    </w:p>
    <w:p w14:paraId="55F5664B" w14:textId="7AAA830B" w:rsidR="0097778E" w:rsidRPr="004A3983" w:rsidRDefault="0097778E" w:rsidP="00062C0B">
      <w:pPr>
        <w:spacing w:after="160"/>
        <w:ind w:right="-2"/>
      </w:pPr>
      <w:r w:rsidRPr="004A3983">
        <w:t>During the consul</w:t>
      </w:r>
      <w:r w:rsidR="001E35B2" w:rsidRPr="004A3983">
        <w:t xml:space="preserve">tation with the Commission, </w:t>
      </w:r>
      <w:r w:rsidRPr="004A3983">
        <w:t>Registry officers stated that for the purposes of prosecuting CAM offences, the NSW</w:t>
      </w:r>
      <w:r w:rsidR="00195F0A" w:rsidRPr="004A3983">
        <w:t xml:space="preserve"> Police Force</w:t>
      </w:r>
      <w:r w:rsidRPr="004A3983">
        <w:t xml:space="preserve"> is moving away from reviewing each image carefully in order to grade it according to its relative level of seriousness. Instead the NSW</w:t>
      </w:r>
      <w:r w:rsidR="00195F0A" w:rsidRPr="004A3983">
        <w:t xml:space="preserve"> Police Force</w:t>
      </w:r>
      <w:r w:rsidRPr="004A3983">
        <w:t xml:space="preserve"> is moving towards adopting the Interpol Baseline classification scheme for such material. The officers informed the Commission that the adoption of this more simplified classification system will reduce the need for </w:t>
      </w:r>
      <w:r w:rsidR="005C31F4" w:rsidRPr="004A3983">
        <w:t xml:space="preserve">police </w:t>
      </w:r>
      <w:r w:rsidRPr="004A3983">
        <w:t xml:space="preserve">officers to view the material. </w:t>
      </w:r>
    </w:p>
    <w:p w14:paraId="4262229D" w14:textId="3D0DCB08" w:rsidR="0097778E" w:rsidRPr="004A3983" w:rsidRDefault="0097778E" w:rsidP="00062C0B">
      <w:pPr>
        <w:spacing w:after="160"/>
        <w:ind w:right="-2"/>
      </w:pPr>
      <w:r w:rsidRPr="004A3983">
        <w:t>This change in practice may therefore make it harder, or increase the workload involved, for the NSW</w:t>
      </w:r>
      <w:r w:rsidR="005C31F4" w:rsidRPr="004A3983">
        <w:t xml:space="preserve"> Police Force</w:t>
      </w:r>
      <w:r w:rsidRPr="004A3983">
        <w:t xml:space="preserve"> to apply s 3(3) of the CPOR Act. To determine if a person is registrable the NSW</w:t>
      </w:r>
      <w:r w:rsidR="005C31F4" w:rsidRPr="004A3983">
        <w:t xml:space="preserve"> Police Force</w:t>
      </w:r>
      <w:r w:rsidRPr="004A3983">
        <w:t xml:space="preserve"> may need to scrutinise the material in greater detail than was necessary for the purposes of the prosecution of the person.</w:t>
      </w:r>
    </w:p>
    <w:p w14:paraId="10D8FF01" w14:textId="14CF8048" w:rsidR="0097778E" w:rsidRPr="004A3983" w:rsidRDefault="00DA694C" w:rsidP="00F84ADE">
      <w:pPr>
        <w:pStyle w:val="AppendixHeading3"/>
      </w:pPr>
      <w:bookmarkStart w:id="621" w:name="_Toc9428464"/>
      <w:bookmarkStart w:id="622" w:name="_Toc12020416"/>
      <w:bookmarkStart w:id="623" w:name="_Toc14790582"/>
      <w:bookmarkStart w:id="624" w:name="_Toc15478465"/>
      <w:bookmarkStart w:id="625" w:name="_Toc22279532"/>
      <w:bookmarkStart w:id="626" w:name="_Toc22627864"/>
      <w:r w:rsidRPr="004A3983">
        <w:t xml:space="preserve">Whether </w:t>
      </w:r>
      <w:r w:rsidR="00795C05" w:rsidRPr="004A3983">
        <w:t xml:space="preserve">the </w:t>
      </w:r>
      <w:r w:rsidRPr="00F84ADE">
        <w:t>exception</w:t>
      </w:r>
      <w:r w:rsidRPr="004A3983">
        <w:t xml:space="preserve"> applies to a </w:t>
      </w:r>
      <w:r w:rsidR="00E15D34" w:rsidRPr="004A3983">
        <w:t xml:space="preserve">juvenile </w:t>
      </w:r>
      <w:r w:rsidRPr="004A3983">
        <w:t xml:space="preserve">convicted of ‘accessing’ </w:t>
      </w:r>
      <w:bookmarkEnd w:id="621"/>
      <w:bookmarkEnd w:id="622"/>
      <w:bookmarkEnd w:id="623"/>
      <w:bookmarkEnd w:id="624"/>
      <w:r w:rsidR="00E15D34" w:rsidRPr="004A3983">
        <w:t>CAM</w:t>
      </w:r>
      <w:bookmarkEnd w:id="625"/>
      <w:bookmarkEnd w:id="626"/>
    </w:p>
    <w:p w14:paraId="5718F367" w14:textId="64AAB102" w:rsidR="00DA694C" w:rsidRPr="004A3983" w:rsidRDefault="00DA694C" w:rsidP="00062C0B">
      <w:pPr>
        <w:spacing w:after="160"/>
        <w:ind w:right="-2"/>
      </w:pPr>
      <w:r w:rsidRPr="004A3983">
        <w:t xml:space="preserve">The CAM exception applies to a </w:t>
      </w:r>
      <w:r w:rsidR="00965E95" w:rsidRPr="004A3983">
        <w:t xml:space="preserve">juvenile </w:t>
      </w:r>
      <w:r w:rsidRPr="004A3983">
        <w:t xml:space="preserve">who commits ‘a single offence under s 91H of the </w:t>
      </w:r>
      <w:r w:rsidRPr="004A3983">
        <w:rPr>
          <w:i/>
        </w:rPr>
        <w:t>Crimes Act 1900</w:t>
      </w:r>
      <w:r w:rsidRPr="004A3983">
        <w:t xml:space="preserve"> or an offence of producing, disseminating, or possessing child abuse material (in whatever terms expressed) under the laws of a foreign jurisdiction’.</w:t>
      </w:r>
      <w:r w:rsidRPr="004A3983">
        <w:rPr>
          <w:rStyle w:val="FootnoteReference"/>
        </w:rPr>
        <w:footnoteReference w:id="646"/>
      </w:r>
    </w:p>
    <w:p w14:paraId="435BF833" w14:textId="09A3FE1B" w:rsidR="00DA694C" w:rsidRPr="004A3983" w:rsidRDefault="00DA694C" w:rsidP="00062C0B">
      <w:pPr>
        <w:spacing w:after="160"/>
        <w:ind w:right="-2"/>
      </w:pPr>
      <w:r w:rsidRPr="004A3983">
        <w:t xml:space="preserve">It is not clear from this wording whether the CAM exception applies to </w:t>
      </w:r>
      <w:r w:rsidR="008822EC" w:rsidRPr="004A3983">
        <w:t xml:space="preserve">a juvenile </w:t>
      </w:r>
      <w:r w:rsidRPr="004A3983">
        <w:t xml:space="preserve">convicted of </w:t>
      </w:r>
      <w:r w:rsidRPr="004A3983">
        <w:rPr>
          <w:b/>
        </w:rPr>
        <w:t>accessing</w:t>
      </w:r>
      <w:r w:rsidRPr="004A3983">
        <w:t xml:space="preserve"> </w:t>
      </w:r>
      <w:r w:rsidR="00965E95" w:rsidRPr="004A3983">
        <w:t>CAM</w:t>
      </w:r>
      <w:r w:rsidRPr="004A3983">
        <w:t xml:space="preserve"> under s 474.22 of the Commonwealth Code.</w:t>
      </w:r>
      <w:r w:rsidRPr="004A3983">
        <w:rPr>
          <w:rStyle w:val="FootnoteReference"/>
        </w:rPr>
        <w:footnoteReference w:id="647"/>
      </w:r>
      <w:r w:rsidRPr="004A3983">
        <w:t xml:space="preserve"> </w:t>
      </w:r>
    </w:p>
    <w:p w14:paraId="4C85F1B8" w14:textId="73476C77" w:rsidR="00DA694C" w:rsidRPr="004A3983" w:rsidRDefault="00DA694C" w:rsidP="00062C0B">
      <w:pPr>
        <w:spacing w:after="160"/>
        <w:ind w:right="-2"/>
      </w:pPr>
      <w:r w:rsidRPr="004A3983">
        <w:t xml:space="preserve">‘Accessing’ child abuse under s 474.22 is an offence separate from ‘possessing’ </w:t>
      </w:r>
      <w:r w:rsidR="00965E95" w:rsidRPr="004A3983">
        <w:t>CAM</w:t>
      </w:r>
      <w:r w:rsidRPr="004A3983">
        <w:t xml:space="preserve"> in s 474.23.</w:t>
      </w:r>
      <w:r w:rsidRPr="004A3983">
        <w:rPr>
          <w:rStyle w:val="FootnoteReference"/>
        </w:rPr>
        <w:footnoteReference w:id="648"/>
      </w:r>
      <w:r w:rsidRPr="004A3983">
        <w:t xml:space="preserve"> The offence of possession requires a copy of the data or material to be under the person’s control, for example saved on their computer.</w:t>
      </w:r>
      <w:r w:rsidRPr="004A3983">
        <w:rPr>
          <w:rStyle w:val="FootnoteReference"/>
        </w:rPr>
        <w:footnoteReference w:id="649"/>
      </w:r>
      <w:r w:rsidRPr="004A3983">
        <w:t xml:space="preserve"> If a person only views or live streams </w:t>
      </w:r>
      <w:r w:rsidR="00D26A9A" w:rsidRPr="004A3983">
        <w:t>the</w:t>
      </w:r>
      <w:r w:rsidRPr="004A3983">
        <w:t xml:space="preserve"> material online, but does not download a copy of the material, they may have ‘accessed’ the material, but have not ‘possessed’ it.</w:t>
      </w:r>
    </w:p>
    <w:p w14:paraId="3F37C8C8" w14:textId="71D6560E" w:rsidR="00DA694C" w:rsidRPr="004A3983" w:rsidRDefault="00DA694C" w:rsidP="00062C0B">
      <w:pPr>
        <w:spacing w:after="160"/>
        <w:ind w:right="-2"/>
      </w:pPr>
      <w:r w:rsidRPr="004A3983">
        <w:t xml:space="preserve">It would be open to argue that the CAM exception cannot apply to a juvenile convicted of a single offence under s 474.22, because accessing </w:t>
      </w:r>
      <w:r w:rsidR="00391ADA" w:rsidRPr="004A3983">
        <w:t>CAM</w:t>
      </w:r>
      <w:r w:rsidRPr="004A3983">
        <w:t xml:space="preserve"> is a distinct concept from possessing </w:t>
      </w:r>
      <w:r w:rsidR="00391ADA" w:rsidRPr="004A3983">
        <w:t>CAM</w:t>
      </w:r>
      <w:r w:rsidRPr="004A3983">
        <w:t>, and therefore the former is not included in</w:t>
      </w:r>
      <w:r w:rsidR="00547917" w:rsidRPr="004A3983">
        <w:t xml:space="preserve"> the wording ‘</w:t>
      </w:r>
      <w:r w:rsidRPr="004A3983">
        <w:t>an offence of producing</w:t>
      </w:r>
      <w:r w:rsidR="002929E6" w:rsidRPr="004A3983">
        <w:t>,</w:t>
      </w:r>
      <w:r w:rsidRPr="004A3983">
        <w:t xml:space="preserve"> disseminating or possessing child abuse materia</w:t>
      </w:r>
      <w:r w:rsidR="00547917" w:rsidRPr="004A3983">
        <w:t>l (in whatever terms expressed)’</w:t>
      </w:r>
      <w:r w:rsidRPr="004A3983">
        <w:t xml:space="preserve">. </w:t>
      </w:r>
    </w:p>
    <w:p w14:paraId="5A1E7D7E" w14:textId="540A615F" w:rsidR="00DA694C" w:rsidRPr="004A3983" w:rsidRDefault="00DA694C" w:rsidP="00062C0B">
      <w:pPr>
        <w:spacing w:after="160"/>
        <w:ind w:right="-2"/>
      </w:pPr>
      <w:r w:rsidRPr="004A3983">
        <w:lastRenderedPageBreak/>
        <w:t xml:space="preserve">This ambiguity in the CAM exception may lead to inconsistent decisions regarding whether juveniles who view </w:t>
      </w:r>
      <w:r w:rsidR="00011503" w:rsidRPr="004A3983">
        <w:t>CAM</w:t>
      </w:r>
      <w:r w:rsidRPr="004A3983">
        <w:t xml:space="preserve"> must be put on the Register. Given the excepti</w:t>
      </w:r>
      <w:r w:rsidR="008822EC" w:rsidRPr="004A3983">
        <w:t>on applies to juveniles</w:t>
      </w:r>
      <w:r w:rsidRPr="004A3983">
        <w:t xml:space="preserve"> convicted of possessing CAM, it would seem anomalous from a policy perspective that it would </w:t>
      </w:r>
      <w:r w:rsidR="008822EC" w:rsidRPr="004A3983">
        <w:t>not apply to a juvenile</w:t>
      </w:r>
      <w:r w:rsidRPr="004A3983">
        <w:t xml:space="preserve"> convicted of accessing CAM.</w:t>
      </w:r>
    </w:p>
    <w:p w14:paraId="1EF6DED3" w14:textId="45DC1C6B" w:rsidR="00DA694C" w:rsidRPr="004A3983" w:rsidRDefault="00720A68" w:rsidP="00F84ADE">
      <w:pPr>
        <w:pStyle w:val="AppendixHeading2"/>
      </w:pPr>
      <w:bookmarkStart w:id="627" w:name="_Toc22627865"/>
      <w:r w:rsidRPr="004A3983">
        <w:t xml:space="preserve">Need for </w:t>
      </w:r>
      <w:r w:rsidRPr="00F84ADE">
        <w:t>reform</w:t>
      </w:r>
      <w:r w:rsidRPr="004A3983">
        <w:t xml:space="preserve"> of s</w:t>
      </w:r>
      <w:r w:rsidR="008940DC" w:rsidRPr="004A3983">
        <w:t>ections</w:t>
      </w:r>
      <w:r w:rsidRPr="004A3983">
        <w:t xml:space="preserve"> 3A(2)(c)</w:t>
      </w:r>
      <w:r w:rsidR="008940DC" w:rsidRPr="004A3983">
        <w:t>,</w:t>
      </w:r>
      <w:r w:rsidR="006A01D4" w:rsidRPr="004A3983">
        <w:t xml:space="preserve"> </w:t>
      </w:r>
      <w:r w:rsidR="008940DC" w:rsidRPr="004A3983">
        <w:t>3A(5) and</w:t>
      </w:r>
      <w:r w:rsidRPr="004A3983">
        <w:t xml:space="preserve"> 3(3)</w:t>
      </w:r>
      <w:r w:rsidR="008940DC" w:rsidRPr="004A3983">
        <w:t xml:space="preserve"> of the CPOR Act</w:t>
      </w:r>
      <w:bookmarkEnd w:id="627"/>
    </w:p>
    <w:p w14:paraId="20514DAA" w14:textId="3A544DCE" w:rsidR="00720A68" w:rsidRPr="004A3983" w:rsidRDefault="00720A68" w:rsidP="00062C0B">
      <w:pPr>
        <w:spacing w:after="160"/>
        <w:ind w:right="-2"/>
      </w:pPr>
      <w:r w:rsidRPr="004A3983">
        <w:t xml:space="preserve">The current wording of the exceptions to registration </w:t>
      </w:r>
      <w:r w:rsidR="006A01D4" w:rsidRPr="004A3983">
        <w:t xml:space="preserve">in </w:t>
      </w:r>
      <w:r w:rsidRPr="004A3983">
        <w:t xml:space="preserve">s 3A(2)(c) for </w:t>
      </w:r>
      <w:r w:rsidR="008822EC" w:rsidRPr="004A3983">
        <w:t>juvenile</w:t>
      </w:r>
      <w:r w:rsidRPr="004A3983">
        <w:t>s who commit certain ‘single offences’, combined with the definitions in</w:t>
      </w:r>
      <w:r w:rsidR="006A01D4" w:rsidRPr="004A3983">
        <w:t xml:space="preserve"> </w:t>
      </w:r>
      <w:r w:rsidRPr="004A3983">
        <w:t>s</w:t>
      </w:r>
      <w:r w:rsidR="00DA1218" w:rsidRPr="004A3983">
        <w:t> </w:t>
      </w:r>
      <w:r w:rsidRPr="004A3983">
        <w:t xml:space="preserve">3A(5) and </w:t>
      </w:r>
      <w:r w:rsidR="006A01D4" w:rsidRPr="004A3983">
        <w:t xml:space="preserve">s </w:t>
      </w:r>
      <w:r w:rsidRPr="004A3983">
        <w:t>3(3), create significant difficulties for the NSW</w:t>
      </w:r>
      <w:r w:rsidR="005C31F4" w:rsidRPr="004A3983">
        <w:t xml:space="preserve"> Police Force</w:t>
      </w:r>
      <w:r w:rsidRPr="004A3983">
        <w:t xml:space="preserve">. </w:t>
      </w:r>
    </w:p>
    <w:p w14:paraId="7EF113B1" w14:textId="756ADF38" w:rsidR="00720A68" w:rsidRPr="004A3983" w:rsidRDefault="00720A68" w:rsidP="00062C0B">
      <w:pPr>
        <w:spacing w:after="160"/>
        <w:ind w:right="-2"/>
      </w:pPr>
      <w:r w:rsidRPr="004A3983">
        <w:t xml:space="preserve">These provisions have been drafted based on certain assumptions about the information that will be known by the person who is responsible for determining whether the exceptions apply. In particular, it is assumed that the person applying those provisions will know precisely when the </w:t>
      </w:r>
      <w:r w:rsidR="002929E6" w:rsidRPr="004A3983">
        <w:t>person</w:t>
      </w:r>
      <w:r w:rsidRPr="004A3983">
        <w:t xml:space="preserve"> committed each of his or her offences. </w:t>
      </w:r>
    </w:p>
    <w:p w14:paraId="2B5B0C44" w14:textId="2E226B7D" w:rsidR="00720A68" w:rsidRPr="004A3983" w:rsidRDefault="00720A68" w:rsidP="00062C0B">
      <w:pPr>
        <w:spacing w:after="160"/>
        <w:ind w:right="-2"/>
      </w:pPr>
      <w:r w:rsidRPr="004A3983">
        <w:t>The well-established prosecution practice of using ‘between dates’ charges on indictments for child sex offences means that the specific date</w:t>
      </w:r>
      <w:r w:rsidR="00A32A67" w:rsidRPr="004A3983">
        <w:t xml:space="preserve"> (let alone time)</w:t>
      </w:r>
      <w:r w:rsidRPr="004A3983">
        <w:t xml:space="preserve"> an offence occurred may not be established during proceedings. This detail may not be known by the arresting officer, the prosecutor, or the court when passing sentence.</w:t>
      </w:r>
    </w:p>
    <w:p w14:paraId="143AE0D6" w14:textId="75C43599" w:rsidR="00720A68" w:rsidRPr="004A3983" w:rsidRDefault="00720A68" w:rsidP="00062C0B">
      <w:pPr>
        <w:spacing w:after="160"/>
        <w:ind w:right="-2"/>
      </w:pPr>
      <w:r w:rsidRPr="004A3983">
        <w:t>It is not practical for the CPOR Act to require the NSW</w:t>
      </w:r>
      <w:r w:rsidR="005C31F4" w:rsidRPr="004A3983">
        <w:t xml:space="preserve"> Police Force</w:t>
      </w:r>
      <w:r w:rsidRPr="004A3983">
        <w:t xml:space="preserve"> to determine whether the offending ‘was committed within a single 24 hour period’ to apply the exceptions, when this level of detail about the offending may not have been required to secure a conviction. </w:t>
      </w:r>
    </w:p>
    <w:p w14:paraId="1B21F0A5" w14:textId="532C2F3E" w:rsidR="00720A68" w:rsidRPr="004A3983" w:rsidRDefault="00720A68" w:rsidP="00062C0B">
      <w:pPr>
        <w:spacing w:after="160"/>
        <w:ind w:right="-2"/>
      </w:pPr>
      <w:r w:rsidRPr="004A3983">
        <w:t xml:space="preserve">Reform is also necessary to resolve the significant difficulties that arise when attempting to apply the language of s 3(3) to CAM offences. It may be that a separate provision is needed to address how such offences should be counted (both for the purposes of applying the exceptions and calculating reporting periods, discussed further below). </w:t>
      </w:r>
    </w:p>
    <w:p w14:paraId="0019ACEE" w14:textId="314D94F7" w:rsidR="00720A68" w:rsidRPr="004A3983" w:rsidRDefault="00720A68" w:rsidP="00062C0B">
      <w:pPr>
        <w:spacing w:after="160"/>
        <w:ind w:right="-2"/>
      </w:pPr>
      <w:r w:rsidRPr="004A3983">
        <w:t xml:space="preserve">On 1 December 2018 a new provision (s 3C) was inserted into the CPOR Act. This provision gives the court sentencing a juvenile </w:t>
      </w:r>
      <w:r w:rsidR="00FD6317" w:rsidRPr="004A3983">
        <w:t>for a ‘sexual</w:t>
      </w:r>
      <w:r w:rsidRPr="004A3983">
        <w:t xml:space="preserve"> offence</w:t>
      </w:r>
      <w:r w:rsidR="00FD6317" w:rsidRPr="004A3983">
        <w:t>’</w:t>
      </w:r>
      <w:r w:rsidRPr="004A3983">
        <w:t xml:space="preserve"> the discretion to exempt the </w:t>
      </w:r>
      <w:r w:rsidR="00D63FDB" w:rsidRPr="004A3983">
        <w:t>person</w:t>
      </w:r>
      <w:r w:rsidRPr="004A3983">
        <w:t xml:space="preserve"> from being registrable under the Act, if:</w:t>
      </w:r>
    </w:p>
    <w:p w14:paraId="740BE8C5" w14:textId="0C70D58C" w:rsidR="00720A68" w:rsidRPr="004A3983" w:rsidRDefault="00720A68" w:rsidP="00CB5C45">
      <w:pPr>
        <w:pStyle w:val="ListBullet"/>
      </w:pPr>
      <w:r w:rsidRPr="004A3983">
        <w:t>the vic</w:t>
      </w:r>
      <w:r w:rsidR="00492241" w:rsidRPr="004A3983">
        <w:t xml:space="preserve">tim of the offence was under the age of 18 </w:t>
      </w:r>
      <w:r w:rsidRPr="004A3983">
        <w:t>at the time of the offending</w:t>
      </w:r>
      <w:r w:rsidR="00D65407" w:rsidRPr="004A3983">
        <w:t>;</w:t>
      </w:r>
    </w:p>
    <w:p w14:paraId="07EDC442" w14:textId="04FF08E0" w:rsidR="00720A68" w:rsidRPr="004A3983" w:rsidRDefault="00720A68" w:rsidP="00CB5C45">
      <w:pPr>
        <w:pStyle w:val="ListBullet"/>
      </w:pPr>
      <w:r w:rsidRPr="004A3983">
        <w:t>the court did not impose a sentence of full-time detention, or a control order (unless suspended) on the offender for the offence</w:t>
      </w:r>
      <w:r w:rsidR="00D65407" w:rsidRPr="004A3983">
        <w:t>;</w:t>
      </w:r>
    </w:p>
    <w:p w14:paraId="478ECE73" w14:textId="77777777" w:rsidR="00720A68" w:rsidRPr="004A3983" w:rsidRDefault="00720A68" w:rsidP="00CB5C45">
      <w:pPr>
        <w:pStyle w:val="ListBullet"/>
      </w:pPr>
      <w:r w:rsidRPr="004A3983">
        <w:t>the offender has not been previously convicted of a Class 1 or Class 2 offence, and</w:t>
      </w:r>
    </w:p>
    <w:p w14:paraId="3BB37A94" w14:textId="495952F8" w:rsidR="00720A68" w:rsidRPr="004A3983" w:rsidRDefault="00720A68" w:rsidP="00CB5C45">
      <w:pPr>
        <w:pStyle w:val="ListBullet"/>
      </w:pPr>
      <w:r w:rsidRPr="004A3983">
        <w:t>the court is satisfied that the offender does not pose a risk to the lives or sexual safety of one or more children, or children generally.</w:t>
      </w:r>
      <w:r w:rsidRPr="004A3983">
        <w:rPr>
          <w:rStyle w:val="FootnoteReference"/>
        </w:rPr>
        <w:footnoteReference w:id="650"/>
      </w:r>
      <w:r w:rsidRPr="004A3983">
        <w:t xml:space="preserve">  </w:t>
      </w:r>
    </w:p>
    <w:p w14:paraId="1165BB2A" w14:textId="4C413349" w:rsidR="00720A68" w:rsidRPr="004A3983" w:rsidRDefault="00720A68" w:rsidP="00062C0B">
      <w:pPr>
        <w:spacing w:after="160"/>
        <w:ind w:right="-2"/>
      </w:pPr>
      <w:r w:rsidRPr="004A3983">
        <w:lastRenderedPageBreak/>
        <w:t>This new discretion sits alongside the automatic exceptions to registration in s 3A(2)(c) of the Act.</w:t>
      </w:r>
      <w:r w:rsidRPr="004A3983">
        <w:rPr>
          <w:rStyle w:val="FootnoteReference"/>
        </w:rPr>
        <w:footnoteReference w:id="651"/>
      </w:r>
      <w:r w:rsidRPr="004A3983">
        <w:t xml:space="preserve"> It therefore does not remove the need for the NSW</w:t>
      </w:r>
      <w:r w:rsidR="005C31F4" w:rsidRPr="004A3983">
        <w:t xml:space="preserve"> Police Force</w:t>
      </w:r>
      <w:r w:rsidRPr="004A3983">
        <w:t xml:space="preserve"> to apply those exceptions (although its existence may in practice reduce the number of occasions on which it needs to do so).</w:t>
      </w:r>
    </w:p>
    <w:p w14:paraId="0C980CA0" w14:textId="3F55AC37" w:rsidR="00720A68" w:rsidRPr="004A3983" w:rsidRDefault="00720A68" w:rsidP="00062C0B">
      <w:pPr>
        <w:spacing w:after="160"/>
        <w:ind w:right="-2"/>
        <w:rPr>
          <w:b/>
          <w:u w:val="single"/>
        </w:rPr>
      </w:pPr>
      <w:r w:rsidRPr="004A3983">
        <w:rPr>
          <w:b/>
          <w:u w:val="single"/>
        </w:rPr>
        <w:t xml:space="preserve">Conclusions following consultation with </w:t>
      </w:r>
      <w:r w:rsidR="00E266B3" w:rsidRPr="004A3983">
        <w:rPr>
          <w:b/>
          <w:u w:val="single"/>
        </w:rPr>
        <w:t>the NSW Police Force</w:t>
      </w:r>
      <w:r w:rsidRPr="004A3983">
        <w:rPr>
          <w:b/>
          <w:u w:val="single"/>
        </w:rPr>
        <w:t>:</w:t>
      </w:r>
    </w:p>
    <w:p w14:paraId="03A6D07F" w14:textId="6653A5CC" w:rsidR="00720A68" w:rsidRPr="004A3983" w:rsidRDefault="00720A68" w:rsidP="00062C0B">
      <w:pPr>
        <w:spacing w:after="160"/>
        <w:ind w:right="-2"/>
        <w:rPr>
          <w:b/>
        </w:rPr>
      </w:pPr>
      <w:r w:rsidRPr="004A3983">
        <w:rPr>
          <w:b/>
        </w:rPr>
        <w:t>The exceptions in s 3A(2)(c), and the definitions in s 3A(5) and s 3(3) need to be reviewed, to remove ambiguity and ensure that they are workable.</w:t>
      </w:r>
    </w:p>
    <w:p w14:paraId="62A00491" w14:textId="5CB4E2B1" w:rsidR="00720A68" w:rsidRPr="004A3983" w:rsidRDefault="00720A68" w:rsidP="00062C0B">
      <w:pPr>
        <w:spacing w:after="160"/>
        <w:ind w:right="-2"/>
        <w:rPr>
          <w:b/>
        </w:rPr>
      </w:pPr>
      <w:r w:rsidRPr="004A3983">
        <w:rPr>
          <w:b/>
        </w:rPr>
        <w:t xml:space="preserve">One </w:t>
      </w:r>
      <w:r w:rsidR="00CA178E" w:rsidRPr="004A3983">
        <w:rPr>
          <w:b/>
        </w:rPr>
        <w:t xml:space="preserve">possible </w:t>
      </w:r>
      <w:r w:rsidRPr="004A3983">
        <w:rPr>
          <w:b/>
        </w:rPr>
        <w:t>solution to cons</w:t>
      </w:r>
      <w:r w:rsidR="0027407F" w:rsidRPr="004A3983">
        <w:rPr>
          <w:b/>
        </w:rPr>
        <w:t xml:space="preserve">ider is </w:t>
      </w:r>
      <w:r w:rsidR="008F17D1" w:rsidRPr="004A3983">
        <w:rPr>
          <w:b/>
        </w:rPr>
        <w:t>amending</w:t>
      </w:r>
      <w:r w:rsidR="0027407F" w:rsidRPr="004A3983">
        <w:rPr>
          <w:b/>
        </w:rPr>
        <w:t xml:space="preserve"> </w:t>
      </w:r>
      <w:r w:rsidRPr="004A3983">
        <w:rPr>
          <w:b/>
        </w:rPr>
        <w:t xml:space="preserve">s 3C </w:t>
      </w:r>
      <w:r w:rsidR="00261D0A" w:rsidRPr="004A3983">
        <w:rPr>
          <w:b/>
        </w:rPr>
        <w:t>to effectively require</w:t>
      </w:r>
      <w:r w:rsidRPr="004A3983">
        <w:rPr>
          <w:b/>
        </w:rPr>
        <w:t xml:space="preserve"> the judg</w:t>
      </w:r>
      <w:r w:rsidR="008822EC" w:rsidRPr="004A3983">
        <w:rPr>
          <w:b/>
        </w:rPr>
        <w:t>e sentencing a juvenile</w:t>
      </w:r>
      <w:r w:rsidRPr="004A3983">
        <w:rPr>
          <w:b/>
        </w:rPr>
        <w:t xml:space="preserve"> for any of the regist</w:t>
      </w:r>
      <w:r w:rsidR="003358B8" w:rsidRPr="004A3983">
        <w:rPr>
          <w:b/>
        </w:rPr>
        <w:t xml:space="preserve">rable offences </w:t>
      </w:r>
      <w:r w:rsidR="00B53476" w:rsidRPr="004A3983">
        <w:rPr>
          <w:b/>
        </w:rPr>
        <w:t xml:space="preserve">currently </w:t>
      </w:r>
      <w:r w:rsidR="003358B8" w:rsidRPr="004A3983">
        <w:rPr>
          <w:b/>
        </w:rPr>
        <w:t>mentioned</w:t>
      </w:r>
      <w:r w:rsidR="00261D0A" w:rsidRPr="004A3983">
        <w:rPr>
          <w:b/>
        </w:rPr>
        <w:t xml:space="preserve"> in s 3A(2)(c)</w:t>
      </w:r>
      <w:r w:rsidRPr="004A3983">
        <w:rPr>
          <w:b/>
        </w:rPr>
        <w:t xml:space="preserve"> to determine whether that </w:t>
      </w:r>
      <w:r w:rsidR="00716F9B" w:rsidRPr="004A3983">
        <w:rPr>
          <w:b/>
        </w:rPr>
        <w:t>juvenile</w:t>
      </w:r>
      <w:r w:rsidR="00556434" w:rsidRPr="004A3983">
        <w:rPr>
          <w:b/>
        </w:rPr>
        <w:t xml:space="preserve"> should be registrable </w:t>
      </w:r>
      <w:r w:rsidRPr="004A3983">
        <w:rPr>
          <w:b/>
        </w:rPr>
        <w:t>if they have not p</w:t>
      </w:r>
      <w:r w:rsidR="00CC26F8" w:rsidRPr="004A3983">
        <w:rPr>
          <w:b/>
        </w:rPr>
        <w:t>reviously been sentenced for a registrable offence</w:t>
      </w:r>
      <w:r w:rsidRPr="004A3983">
        <w:rPr>
          <w:b/>
        </w:rPr>
        <w:t>. The automatic exceptions in s 3A(2)(c) could then be removed.</w:t>
      </w:r>
    </w:p>
    <w:p w14:paraId="73601BEB" w14:textId="77777777" w:rsidR="00C61A19" w:rsidRPr="004A3983" w:rsidRDefault="00720A68" w:rsidP="00062C0B">
      <w:pPr>
        <w:spacing w:after="160"/>
        <w:ind w:right="-2"/>
        <w:rPr>
          <w:b/>
        </w:rPr>
      </w:pPr>
      <w:r w:rsidRPr="004A3983">
        <w:rPr>
          <w:b/>
        </w:rPr>
        <w:t xml:space="preserve">If the exceptions are retained, the definition in s 3(3) of when offences should be taken as ‘arising out of the same incident’ needs to be changed so that it does not require a determination of whether the offences were ‘committed within a single 24 hour period’. </w:t>
      </w:r>
    </w:p>
    <w:p w14:paraId="27C3BBAE" w14:textId="2959F825" w:rsidR="00720A68" w:rsidRPr="004A3983" w:rsidRDefault="00DF16BD" w:rsidP="00062C0B">
      <w:pPr>
        <w:spacing w:after="160"/>
        <w:ind w:right="-2"/>
        <w:rPr>
          <w:b/>
        </w:rPr>
      </w:pPr>
      <w:r w:rsidRPr="004A3983">
        <w:rPr>
          <w:b/>
        </w:rPr>
        <w:t>Section</w:t>
      </w:r>
      <w:r w:rsidR="00720A68" w:rsidRPr="004A3983">
        <w:rPr>
          <w:b/>
        </w:rPr>
        <w:t xml:space="preserve"> 3(3) </w:t>
      </w:r>
      <w:r w:rsidRPr="004A3983">
        <w:rPr>
          <w:b/>
        </w:rPr>
        <w:t xml:space="preserve">also needs </w:t>
      </w:r>
      <w:r w:rsidR="00720A68" w:rsidRPr="004A3983">
        <w:rPr>
          <w:b/>
        </w:rPr>
        <w:t>to</w:t>
      </w:r>
      <w:r w:rsidRPr="004A3983">
        <w:rPr>
          <w:b/>
        </w:rPr>
        <w:t xml:space="preserve"> </w:t>
      </w:r>
      <w:r w:rsidR="00FA0B47" w:rsidRPr="004A3983">
        <w:rPr>
          <w:b/>
        </w:rPr>
        <w:t>amended so that it is clear how it should be applied when determining</w:t>
      </w:r>
      <w:r w:rsidRPr="004A3983">
        <w:rPr>
          <w:b/>
        </w:rPr>
        <w:t xml:space="preserve"> whether</w:t>
      </w:r>
      <w:r w:rsidR="00720A68" w:rsidRPr="004A3983">
        <w:rPr>
          <w:b/>
        </w:rPr>
        <w:t xml:space="preserve"> </w:t>
      </w:r>
      <w:r w:rsidR="00A76CF4" w:rsidRPr="004A3983">
        <w:rPr>
          <w:b/>
        </w:rPr>
        <w:t xml:space="preserve">multiple </w:t>
      </w:r>
      <w:r w:rsidR="00720A68" w:rsidRPr="004A3983">
        <w:rPr>
          <w:b/>
        </w:rPr>
        <w:t>child abuse material offences</w:t>
      </w:r>
      <w:r w:rsidR="00A76CF4" w:rsidRPr="004A3983">
        <w:rPr>
          <w:b/>
        </w:rPr>
        <w:t xml:space="preserve"> should be counted as ‘arising out of the same incident’/’a single offence’</w:t>
      </w:r>
      <w:r w:rsidR="00720A68" w:rsidRPr="004A3983">
        <w:rPr>
          <w:b/>
        </w:rPr>
        <w:t>.</w:t>
      </w:r>
      <w:r w:rsidR="003751DC" w:rsidRPr="004A3983">
        <w:rPr>
          <w:b/>
        </w:rPr>
        <w:t xml:space="preserve"> Reference to the person the offences were ‘committed against’ is problematic in this context.</w:t>
      </w:r>
      <w:r w:rsidR="00720A68" w:rsidRPr="004A3983">
        <w:rPr>
          <w:b/>
        </w:rPr>
        <w:t xml:space="preserve"> </w:t>
      </w:r>
    </w:p>
    <w:p w14:paraId="78A2EF81" w14:textId="1C6010F7" w:rsidR="00720A68" w:rsidRPr="004A3983" w:rsidRDefault="00720A68" w:rsidP="00062C0B">
      <w:pPr>
        <w:spacing w:after="160"/>
        <w:ind w:right="-2"/>
      </w:pPr>
      <w:r w:rsidRPr="004A3983">
        <w:rPr>
          <w:b/>
        </w:rPr>
        <w:t xml:space="preserve">Consideration should be given as to whether the wording in the </w:t>
      </w:r>
      <w:r w:rsidRPr="004A3983">
        <w:rPr>
          <w:b/>
          <w:i/>
        </w:rPr>
        <w:t>Child Sex Offenders Registration Act 2006</w:t>
      </w:r>
      <w:r w:rsidRPr="004A3983">
        <w:rPr>
          <w:b/>
        </w:rPr>
        <w:t xml:space="preserve"> (SA) would be useful to adopt: s 4(2) of that Act defines offences as arising from the ‘same incident’ if:</w:t>
      </w:r>
    </w:p>
    <w:p w14:paraId="1DCB1171" w14:textId="77777777" w:rsidR="00720A68" w:rsidRPr="00CB5C45" w:rsidRDefault="00720A68" w:rsidP="00CB5C45">
      <w:pPr>
        <w:pStyle w:val="ListBullet"/>
        <w:rPr>
          <w:rStyle w:val="Bold"/>
        </w:rPr>
      </w:pPr>
      <w:r w:rsidRPr="00CB5C45">
        <w:rPr>
          <w:rStyle w:val="Bold"/>
        </w:rPr>
        <w:t>they are committed within a single period of 24 hours, and against the same person, or</w:t>
      </w:r>
    </w:p>
    <w:p w14:paraId="598C841C" w14:textId="15B90A8E" w:rsidR="00720A68" w:rsidRPr="00CB5C45" w:rsidRDefault="00720A68" w:rsidP="00CB5C45">
      <w:pPr>
        <w:pStyle w:val="ListBullet"/>
        <w:rPr>
          <w:rStyle w:val="Bold"/>
        </w:rPr>
      </w:pPr>
      <w:r w:rsidRPr="00CB5C45">
        <w:rPr>
          <w:rStyle w:val="Bold"/>
        </w:rPr>
        <w:t>they are the result of a single act or omission of the offender (whether committed against the same person or not).</w:t>
      </w:r>
    </w:p>
    <w:p w14:paraId="7EB51895" w14:textId="3B4530F2" w:rsidR="00720A68" w:rsidRPr="004A3983" w:rsidRDefault="00720A68" w:rsidP="00062C0B">
      <w:pPr>
        <w:spacing w:after="160"/>
        <w:ind w:right="-2"/>
        <w:rPr>
          <w:b/>
        </w:rPr>
      </w:pPr>
      <w:r w:rsidRPr="004A3983">
        <w:rPr>
          <w:b/>
        </w:rPr>
        <w:t xml:space="preserve">Further, </w:t>
      </w:r>
      <w:r w:rsidR="00F959D2" w:rsidRPr="004A3983">
        <w:rPr>
          <w:b/>
        </w:rPr>
        <w:t xml:space="preserve">if retained </w:t>
      </w:r>
      <w:r w:rsidRPr="004A3983">
        <w:rPr>
          <w:b/>
        </w:rPr>
        <w:t xml:space="preserve">the exception in s 3A(2)(c)(ii) of the CPOR Act should be amended to </w:t>
      </w:r>
      <w:r w:rsidR="00C61A19" w:rsidRPr="004A3983">
        <w:rPr>
          <w:b/>
        </w:rPr>
        <w:t xml:space="preserve">specify whether it </w:t>
      </w:r>
      <w:r w:rsidRPr="004A3983">
        <w:rPr>
          <w:b/>
        </w:rPr>
        <w:t>include</w:t>
      </w:r>
      <w:r w:rsidR="00C61A19" w:rsidRPr="004A3983">
        <w:rPr>
          <w:b/>
        </w:rPr>
        <w:t>s</w:t>
      </w:r>
      <w:r w:rsidRPr="004A3983">
        <w:rPr>
          <w:b/>
        </w:rPr>
        <w:t xml:space="preserve"> a single offence of accessing or using child abuse material under s 474.22 of the Commonwealth Code.</w:t>
      </w:r>
    </w:p>
    <w:p w14:paraId="7F883F88" w14:textId="77777777" w:rsidR="00E93B57" w:rsidRPr="004A3983" w:rsidRDefault="00E93B57" w:rsidP="00F84ADE">
      <w:pPr>
        <w:pStyle w:val="AppendixHeading1"/>
      </w:pPr>
      <w:bookmarkStart w:id="628" w:name="_Toc8908747"/>
      <w:bookmarkStart w:id="629" w:name="_Ref9428606"/>
      <w:bookmarkStart w:id="630" w:name="_Ref9930011"/>
      <w:bookmarkStart w:id="631" w:name="_Ref10024366"/>
      <w:bookmarkStart w:id="632" w:name="_Toc22627866"/>
      <w:r w:rsidRPr="004A3983">
        <w:t xml:space="preserve">Calculating the </w:t>
      </w:r>
      <w:r w:rsidRPr="00F84ADE">
        <w:t>person’s</w:t>
      </w:r>
      <w:r w:rsidRPr="004A3983">
        <w:t xml:space="preserve"> reporting period</w:t>
      </w:r>
      <w:bookmarkEnd w:id="628"/>
      <w:bookmarkEnd w:id="629"/>
      <w:bookmarkEnd w:id="630"/>
      <w:bookmarkEnd w:id="631"/>
      <w:bookmarkEnd w:id="632"/>
    </w:p>
    <w:p w14:paraId="00361154" w14:textId="47BF6A91" w:rsidR="00FE1B60" w:rsidRPr="004A3983" w:rsidRDefault="00FE1B60" w:rsidP="00F44E36">
      <w:pPr>
        <w:spacing w:after="160"/>
        <w:ind w:right="-2"/>
      </w:pPr>
      <w:r w:rsidRPr="004A3983">
        <w:t>Once the NSW</w:t>
      </w:r>
      <w:r w:rsidR="005C31F4" w:rsidRPr="004A3983">
        <w:t xml:space="preserve"> Police Force</w:t>
      </w:r>
      <w:r w:rsidRPr="004A3983">
        <w:t xml:space="preserve"> has determined that a person is registrable, it needs to calculate his or her reporting period, using the following formulas in s 14A of the CPOR Act:</w:t>
      </w:r>
    </w:p>
    <w:p w14:paraId="354380A8" w14:textId="444E0408" w:rsidR="00FE1B60" w:rsidRPr="00593D70" w:rsidRDefault="00FE1B60" w:rsidP="00593D70">
      <w:pPr>
        <w:pStyle w:val="Multilist"/>
      </w:pPr>
      <w:r w:rsidRPr="00593D70">
        <w:t>A registrable person must continue to comply with the reporting obligations   imposed by this Part for:</w:t>
      </w:r>
    </w:p>
    <w:p w14:paraId="79AB8F43" w14:textId="5D8AAEEA" w:rsidR="00FE1B60" w:rsidRPr="00593D70" w:rsidRDefault="00FE1B60" w:rsidP="00677139">
      <w:pPr>
        <w:pStyle w:val="Multilist"/>
        <w:numPr>
          <w:ilvl w:val="1"/>
          <w:numId w:val="25"/>
        </w:numPr>
      </w:pPr>
      <w:r w:rsidRPr="00593D70">
        <w:t>8 years, if the person has only ever been found guilty of a single Class 2 offence, or</w:t>
      </w:r>
    </w:p>
    <w:p w14:paraId="45A3EA96" w14:textId="3E9D1047" w:rsidR="00FE1B60" w:rsidRPr="00593D70" w:rsidRDefault="00FE1B60" w:rsidP="00677139">
      <w:pPr>
        <w:pStyle w:val="Multilist"/>
        <w:numPr>
          <w:ilvl w:val="1"/>
          <w:numId w:val="25"/>
        </w:numPr>
      </w:pPr>
      <w:r w:rsidRPr="00593D70">
        <w:lastRenderedPageBreak/>
        <w:t>15 years, if the person:</w:t>
      </w:r>
    </w:p>
    <w:p w14:paraId="3C6B500A" w14:textId="712D64D7" w:rsidR="00FE1B60" w:rsidRPr="00593D70" w:rsidRDefault="00FE1B60" w:rsidP="00677139">
      <w:pPr>
        <w:pStyle w:val="Multilist"/>
        <w:numPr>
          <w:ilvl w:val="2"/>
          <w:numId w:val="25"/>
        </w:numPr>
      </w:pPr>
      <w:r w:rsidRPr="00593D70">
        <w:t>has only ever been found guilty of a single Class 1 offence, or</w:t>
      </w:r>
    </w:p>
    <w:p w14:paraId="7BEA5769" w14:textId="3C20F619" w:rsidR="00FE1B60" w:rsidRPr="00593D70" w:rsidRDefault="00FE1B60" w:rsidP="00677139">
      <w:pPr>
        <w:pStyle w:val="Multilist"/>
        <w:numPr>
          <w:ilvl w:val="2"/>
          <w:numId w:val="25"/>
        </w:numPr>
      </w:pPr>
      <w:r w:rsidRPr="00593D70">
        <w:t>has ever been found guilty of more than a single registrable offence but</w:t>
      </w:r>
      <w:r w:rsidR="005442E2">
        <w:t> </w:t>
      </w:r>
      <w:r w:rsidRPr="00593D70">
        <w:t>is not covered by paragraph (c), or</w:t>
      </w:r>
    </w:p>
    <w:p w14:paraId="682857CB" w14:textId="3C146D66" w:rsidR="00FE1B60" w:rsidRPr="00593D70" w:rsidRDefault="00FE1B60" w:rsidP="00677139">
      <w:pPr>
        <w:pStyle w:val="Multilist"/>
        <w:numPr>
          <w:ilvl w:val="1"/>
          <w:numId w:val="25"/>
        </w:numPr>
      </w:pPr>
      <w:r w:rsidRPr="00593D70">
        <w:t>the remainder of the person’s life, if the person is a registrable person in respect of:</w:t>
      </w:r>
    </w:p>
    <w:p w14:paraId="6EBD024D" w14:textId="346C2E2B" w:rsidR="00FE1B60" w:rsidRPr="00593D70" w:rsidRDefault="00FE1B60" w:rsidP="00677139">
      <w:pPr>
        <w:pStyle w:val="Multilist"/>
        <w:numPr>
          <w:ilvl w:val="2"/>
          <w:numId w:val="25"/>
        </w:numPr>
      </w:pPr>
      <w:r w:rsidRPr="00593D70">
        <w:t>a Class 1 offence and the person subsequently commits and is found guilty of another registrable offence, or</w:t>
      </w:r>
    </w:p>
    <w:p w14:paraId="640E31F7" w14:textId="4167F18D" w:rsidR="00FE1B60" w:rsidRPr="00593D70" w:rsidRDefault="00FE1B60" w:rsidP="00677139">
      <w:pPr>
        <w:pStyle w:val="Multilist"/>
        <w:numPr>
          <w:ilvl w:val="2"/>
          <w:numId w:val="25"/>
        </w:numPr>
      </w:pPr>
      <w:r w:rsidRPr="00593D70">
        <w:t>a Class 2 offence and the person subsequently commits and is found guilty of a Class 1 offence, or</w:t>
      </w:r>
    </w:p>
    <w:p w14:paraId="0F9FC373" w14:textId="243F4ED0" w:rsidR="00FE1B60" w:rsidRPr="00593D70" w:rsidRDefault="00FE1B60" w:rsidP="00677139">
      <w:pPr>
        <w:pStyle w:val="Multilist"/>
        <w:numPr>
          <w:ilvl w:val="2"/>
          <w:numId w:val="25"/>
        </w:numPr>
      </w:pPr>
      <w:r w:rsidRPr="00593D70">
        <w:t>a Class 2 offence and the person subsequently commits and is found guilty of another Class 2 offence and has ever been found guilty of 3 or more Class 2 offences.</w:t>
      </w:r>
    </w:p>
    <w:p w14:paraId="7F19C9C5" w14:textId="36900757" w:rsidR="00FE1B60" w:rsidRPr="00593D70" w:rsidRDefault="00FE1B60" w:rsidP="00593D70">
      <w:pPr>
        <w:pStyle w:val="Multilist"/>
      </w:pPr>
      <w:r w:rsidRPr="00593D70">
        <w:t>Subsection (1) (c) does not apply if the registrable person was not given notice of the person’s reporting obligations under this Act or a corresponding Act before the person committed the subsequent offence.</w:t>
      </w:r>
    </w:p>
    <w:p w14:paraId="1B5E9736" w14:textId="22051E21" w:rsidR="00FE1B60" w:rsidRPr="00593D70" w:rsidRDefault="00FE1B60" w:rsidP="00593D70">
      <w:pPr>
        <w:pStyle w:val="Multilist"/>
      </w:pPr>
      <w:r w:rsidRPr="00593D70">
        <w:t>A reference in subsection (1) to an offence extends to an offence committed before the commencement of that subsection.</w:t>
      </w:r>
    </w:p>
    <w:p w14:paraId="16DBA3D9" w14:textId="074C2311" w:rsidR="00FE1B60" w:rsidRPr="00593D70" w:rsidRDefault="00FE1B60" w:rsidP="00593D70">
      <w:pPr>
        <w:pStyle w:val="Multilist"/>
      </w:pPr>
      <w:r w:rsidRPr="00593D70">
        <w:t>For the purposes of this section:</w:t>
      </w:r>
    </w:p>
    <w:p w14:paraId="03297C46" w14:textId="6D3511A3" w:rsidR="00FE1B60" w:rsidRPr="00593D70" w:rsidRDefault="00FE1B60" w:rsidP="00677139">
      <w:pPr>
        <w:pStyle w:val="Multilist"/>
        <w:numPr>
          <w:ilvl w:val="1"/>
          <w:numId w:val="25"/>
        </w:numPr>
      </w:pPr>
      <w:r w:rsidRPr="00593D70">
        <w:t>2 or more offences arising from the same incident are to be treated as a single offence, and</w:t>
      </w:r>
    </w:p>
    <w:p w14:paraId="699144FF" w14:textId="40CF4A46" w:rsidR="00FE1B60" w:rsidRPr="00593D70" w:rsidRDefault="00FE1B60" w:rsidP="00677139">
      <w:pPr>
        <w:pStyle w:val="Multilist"/>
        <w:numPr>
          <w:ilvl w:val="1"/>
          <w:numId w:val="25"/>
        </w:numPr>
      </w:pPr>
      <w:r w:rsidRPr="00593D70">
        <w:t>2 or more offences arising from the same incident are to be treated as a single Class 1 offence if at least one of those offences is a Class 1 offence.</w:t>
      </w:r>
    </w:p>
    <w:p w14:paraId="71A16A39" w14:textId="068AA883" w:rsidR="00FE1B60" w:rsidRPr="004A3983" w:rsidRDefault="00FE1B60" w:rsidP="00062C0B">
      <w:pPr>
        <w:spacing w:after="160"/>
        <w:ind w:right="-2"/>
      </w:pPr>
      <w:r w:rsidRPr="004A3983">
        <w:t xml:space="preserve">If the registrable person was </w:t>
      </w:r>
      <w:r w:rsidR="00E1445C" w:rsidRPr="004A3983">
        <w:t>under the age of 18</w:t>
      </w:r>
      <w:r w:rsidRPr="004A3983">
        <w:t xml:space="preserve"> at the time he or she committed each registrable offence, then his or her reporting period will be half that listed in the above formulas (or in the case of life-time reporting, 7.5 years).</w:t>
      </w:r>
      <w:r w:rsidRPr="004A3983">
        <w:rPr>
          <w:rStyle w:val="FootnoteReference"/>
        </w:rPr>
        <w:footnoteReference w:id="652"/>
      </w:r>
    </w:p>
    <w:p w14:paraId="5874FA53" w14:textId="280C71FF" w:rsidR="00FE1B60" w:rsidRPr="004A3983" w:rsidRDefault="00FE1B60" w:rsidP="00062C0B">
      <w:pPr>
        <w:spacing w:after="160"/>
        <w:ind w:right="-2"/>
      </w:pPr>
      <w:r w:rsidRPr="004A3983">
        <w:t xml:space="preserve">Determining which of these formulas </w:t>
      </w:r>
      <w:r w:rsidR="005F5D71" w:rsidRPr="004A3983">
        <w:t>applies to a particular registrable person</w:t>
      </w:r>
      <w:r w:rsidRPr="004A3983">
        <w:t xml:space="preserve"> is a complex task. </w:t>
      </w:r>
      <w:r w:rsidR="003275B9" w:rsidRPr="004A3983">
        <w:t>In</w:t>
      </w:r>
      <w:r w:rsidR="00E20CD9" w:rsidRPr="004A3983">
        <w:t xml:space="preserve"> the NSW Police Force Workforce Intelligence Unit’s</w:t>
      </w:r>
      <w:r w:rsidR="003275B9" w:rsidRPr="004A3983">
        <w:t xml:space="preserve"> analysis of the Registry’s workload </w:t>
      </w:r>
      <w:r w:rsidR="00E20CD9" w:rsidRPr="004A3983">
        <w:t xml:space="preserve">in 2017 </w:t>
      </w:r>
      <w:r w:rsidR="003275B9" w:rsidRPr="004A3983">
        <w:t xml:space="preserve">(the Register Staffing Review), </w:t>
      </w:r>
      <w:r w:rsidR="00E20CD9" w:rsidRPr="004A3983">
        <w:t xml:space="preserve">that Unit </w:t>
      </w:r>
      <w:r w:rsidRPr="004A3983">
        <w:t>stated that:</w:t>
      </w:r>
    </w:p>
    <w:p w14:paraId="1AB43877" w14:textId="77777777" w:rsidR="00FE1B60" w:rsidRPr="004A3983" w:rsidRDefault="00FE1B60" w:rsidP="008F34A3">
      <w:pPr>
        <w:pStyle w:val="Quotesmall1cm"/>
      </w:pPr>
      <w:r w:rsidRPr="004A3983">
        <w:t xml:space="preserve">In many cases it is not possible to either flowchart the calculation process, or use matrices, to consistently evaluate reporting periods. It requires an in-depth understanding of the </w:t>
      </w:r>
      <w:r w:rsidRPr="004A3983">
        <w:rPr>
          <w:i/>
        </w:rPr>
        <w:t>Child Protection (Offenders Registration) Act</w:t>
      </w:r>
      <w:r w:rsidRPr="004A3983">
        <w:t>, other legislation, and the circumstances surrounding the case</w:t>
      </w:r>
      <w:r w:rsidRPr="004A3983">
        <w:rPr>
          <w:rFonts w:cs="ArialMT"/>
        </w:rPr>
        <w:t>.</w:t>
      </w:r>
      <w:r w:rsidRPr="004A3983">
        <w:rPr>
          <w:rStyle w:val="FootnoteReference"/>
          <w:rFonts w:cs="ArialMT"/>
        </w:rPr>
        <w:footnoteReference w:id="653"/>
      </w:r>
      <w:r w:rsidRPr="004A3983">
        <w:t xml:space="preserve"> </w:t>
      </w:r>
    </w:p>
    <w:p w14:paraId="0EE6FFCE" w14:textId="464087F6" w:rsidR="00FE1B60" w:rsidRPr="004A3983" w:rsidRDefault="00FE1B60" w:rsidP="00062C0B">
      <w:pPr>
        <w:spacing w:after="160"/>
        <w:ind w:right="-2"/>
      </w:pPr>
      <w:r w:rsidRPr="004A3983">
        <w:t>For the NSW</w:t>
      </w:r>
      <w:r w:rsidR="005C31F4" w:rsidRPr="004A3983">
        <w:t xml:space="preserve"> Police Force</w:t>
      </w:r>
      <w:r w:rsidRPr="004A3983">
        <w:t xml:space="preserve"> to correctly apply the formulas in s 14A, it must:</w:t>
      </w:r>
    </w:p>
    <w:p w14:paraId="4EF03BC1" w14:textId="76F338AA" w:rsidR="00FE1B60" w:rsidRPr="004A3983" w:rsidRDefault="00FE1B60" w:rsidP="00DB65FA">
      <w:pPr>
        <w:pStyle w:val="ListBullet"/>
      </w:pPr>
      <w:r w:rsidRPr="004A3983">
        <w:t>review the entire criminal history of the offender, including offences prior to</w:t>
      </w:r>
      <w:r w:rsidR="00DB65FA">
        <w:t> </w:t>
      </w:r>
      <w:r w:rsidRPr="004A3983">
        <w:t>the commencement of the Register, to identify potentially registrable offences</w:t>
      </w:r>
      <w:r w:rsidR="009E6D8B" w:rsidRPr="004A3983">
        <w:t>;</w:t>
      </w:r>
    </w:p>
    <w:p w14:paraId="7131449C" w14:textId="64D5917C" w:rsidR="00FE1B60" w:rsidRPr="004A3983" w:rsidRDefault="00FE1B60" w:rsidP="00DB65FA">
      <w:pPr>
        <w:pStyle w:val="ListBullet"/>
      </w:pPr>
      <w:r w:rsidRPr="004A3983">
        <w:lastRenderedPageBreak/>
        <w:t>tally up how many r</w:t>
      </w:r>
      <w:r w:rsidR="001B3369" w:rsidRPr="004A3983">
        <w:t>egistrable offences the person</w:t>
      </w:r>
      <w:r w:rsidRPr="004A3983">
        <w:t xml:space="preserve"> has been </w:t>
      </w:r>
      <w:r w:rsidR="001B3369" w:rsidRPr="004A3983">
        <w:t>found guilty</w:t>
      </w:r>
      <w:r w:rsidRPr="004A3983">
        <w:t xml:space="preserve"> of in their life, in any jurisdiction (including determining whether multiple offences of the same kind should be counted as a ‘single offence’ because they arose ‘out of the same incident’)</w:t>
      </w:r>
      <w:r w:rsidR="009E6D8B" w:rsidRPr="004A3983">
        <w:t>;</w:t>
      </w:r>
    </w:p>
    <w:p w14:paraId="0A220B49" w14:textId="5EA5E095" w:rsidR="00FE1B60" w:rsidRPr="004A3983" w:rsidRDefault="00FE1B60" w:rsidP="00DB65FA">
      <w:pPr>
        <w:pStyle w:val="ListBullet"/>
      </w:pPr>
      <w:r w:rsidRPr="004A3983">
        <w:t>classify whether each of those offences is a Class 1 or Class 2 offence</w:t>
      </w:r>
      <w:r w:rsidR="009E6D8B" w:rsidRPr="004A3983">
        <w:t>;</w:t>
      </w:r>
    </w:p>
    <w:p w14:paraId="5717B7AD" w14:textId="46C4E602" w:rsidR="00FE1B60" w:rsidRPr="004A3983" w:rsidRDefault="00FE1B60" w:rsidP="00DB65FA">
      <w:pPr>
        <w:pStyle w:val="ListBullet"/>
      </w:pPr>
      <w:r w:rsidRPr="004A3983">
        <w:t xml:space="preserve">determine whether the person was </w:t>
      </w:r>
      <w:r w:rsidR="00A25BFB" w:rsidRPr="004A3983">
        <w:t>under the age of 18</w:t>
      </w:r>
      <w:r w:rsidRPr="004A3983">
        <w:t xml:space="preserve"> when they committed each registrable offence</w:t>
      </w:r>
      <w:r w:rsidR="009E6D8B" w:rsidRPr="004A3983">
        <w:t>, and</w:t>
      </w:r>
    </w:p>
    <w:p w14:paraId="43EE3E9D" w14:textId="77777777" w:rsidR="00FE1B60" w:rsidRPr="004A3983" w:rsidRDefault="00FE1B60" w:rsidP="00DB65FA">
      <w:pPr>
        <w:pStyle w:val="ListBullet"/>
      </w:pPr>
      <w:r w:rsidRPr="004A3983">
        <w:t>identify whether the offender committed further registrable offences while on the Register (as offending subsequent to registration may increase the person’s reporting period to life).</w:t>
      </w:r>
      <w:r w:rsidRPr="004A3983">
        <w:rPr>
          <w:rStyle w:val="FootnoteReference"/>
        </w:rPr>
        <w:footnoteReference w:id="654"/>
      </w:r>
    </w:p>
    <w:p w14:paraId="25E4F3EA" w14:textId="2EB3FEB6" w:rsidR="00FE1B60" w:rsidRPr="004A3983" w:rsidRDefault="00FE1B60" w:rsidP="00062C0B">
      <w:pPr>
        <w:spacing w:after="160"/>
        <w:ind w:right="-2"/>
      </w:pPr>
      <w:r w:rsidRPr="004A3983">
        <w:t>The difficulties that the NSW</w:t>
      </w:r>
      <w:r w:rsidR="00C3547C" w:rsidRPr="004A3983">
        <w:t xml:space="preserve"> Police Force</w:t>
      </w:r>
      <w:r w:rsidRPr="004A3983">
        <w:t xml:space="preserve"> experiences in identifying all registrable offences</w:t>
      </w:r>
      <w:r w:rsidR="00DF42EF" w:rsidRPr="004A3983">
        <w:t>,</w:t>
      </w:r>
      <w:r w:rsidR="00DF42EF" w:rsidRPr="004A3983">
        <w:rPr>
          <w:rStyle w:val="FootnoteReference"/>
        </w:rPr>
        <w:footnoteReference w:id="655"/>
      </w:r>
      <w:r w:rsidRPr="004A3983">
        <w:t xml:space="preserve"> and determining when multiple offences should be grouped and treated as a ‘single offence’</w:t>
      </w:r>
      <w:r w:rsidR="00DF42EF" w:rsidRPr="004A3983">
        <w:t>,</w:t>
      </w:r>
      <w:r w:rsidR="00DF42EF" w:rsidRPr="004A3983">
        <w:rPr>
          <w:rStyle w:val="FootnoteReference"/>
        </w:rPr>
        <w:footnoteReference w:id="656"/>
      </w:r>
      <w:r w:rsidRPr="004A3983">
        <w:t xml:space="preserve"> also affect the reporting period calculation process. The result is a legislative minefield.</w:t>
      </w:r>
    </w:p>
    <w:p w14:paraId="5B6E1A8B" w14:textId="0BD9FEB6" w:rsidR="00FE1B60" w:rsidRPr="004A3983" w:rsidRDefault="00FE1B60" w:rsidP="00062C0B">
      <w:pPr>
        <w:spacing w:after="160"/>
        <w:ind w:right="-2"/>
      </w:pPr>
      <w:r w:rsidRPr="004A3983">
        <w:t xml:space="preserve">Correctly calculating a person’s reporting period also requires access to a lot of detail about the person’s criminal history. The </w:t>
      </w:r>
      <w:r w:rsidR="009D312B" w:rsidRPr="004A3983">
        <w:t>Workforce Intelligence Unit</w:t>
      </w:r>
      <w:r w:rsidRPr="004A3983">
        <w:t xml:space="preserve"> noted that:</w:t>
      </w:r>
    </w:p>
    <w:p w14:paraId="29FD2BBA" w14:textId="7F3B6E0B" w:rsidR="00FE1B60" w:rsidRPr="004A3983" w:rsidRDefault="00FE1B60" w:rsidP="00DB65FA">
      <w:pPr>
        <w:pStyle w:val="Quotesmall1cm"/>
      </w:pPr>
      <w:r w:rsidRPr="004A3983">
        <w:t>Any documents relevant to the case, such as criminal history, custodial history, police fact sheets, agreed fact sheets, are required to make a determination as to the reporting period</w:t>
      </w:r>
      <w:r w:rsidR="0081362D" w:rsidRPr="004A3983">
        <w:t xml:space="preserve"> </w:t>
      </w:r>
      <w:r w:rsidRPr="004A3983">
        <w:t>.</w:t>
      </w:r>
      <w:r w:rsidR="0081362D" w:rsidRPr="004A3983">
        <w:t>.</w:t>
      </w:r>
      <w:r w:rsidRPr="004A3983">
        <w:t>. Some historical matters require agreed facts and judges comments; in some cases the indictments may be enough on their own. Plea arrangements complicate matters. In the past, decisions have been made on insufficient facts due to procedural short cutting (e.g. using the original police facts sheet rather than agreed facts sheet). Clarification with the Officer in Charge is often required, which becomes problematic if they are absent from duty for any period, has retired or left NSWPF. Even where all the information is available, agreed facts or otherwise, this may be extensive and take considerable time to adequately review.</w:t>
      </w:r>
      <w:r w:rsidRPr="004A3983">
        <w:rPr>
          <w:rStyle w:val="FootnoteReference"/>
        </w:rPr>
        <w:footnoteReference w:id="657"/>
      </w:r>
    </w:p>
    <w:p w14:paraId="70834141" w14:textId="0BFC7619" w:rsidR="00FE1B60" w:rsidRPr="004A3983" w:rsidRDefault="00FE1B60" w:rsidP="00062C0B">
      <w:pPr>
        <w:spacing w:after="160"/>
        <w:ind w:right="-2"/>
      </w:pPr>
      <w:r w:rsidRPr="004A3983">
        <w:t>The complexity of calculating reporting periods is demonstrated by the fact that a ‘Reporting Matrix’ which the NSW</w:t>
      </w:r>
      <w:r w:rsidR="00C3547C" w:rsidRPr="004A3983">
        <w:t xml:space="preserve"> Police Force</w:t>
      </w:r>
      <w:r w:rsidRPr="004A3983">
        <w:t xml:space="preserve"> had developed and used for several years prior to 2016 to calculate reporting periods ‘to assist in reducing the subjectivity of individual interpretation’ was ‘found to be in error itself.’</w:t>
      </w:r>
      <w:r w:rsidRPr="004A3983">
        <w:rPr>
          <w:rStyle w:val="FootnoteReference"/>
        </w:rPr>
        <w:footnoteReference w:id="658"/>
      </w:r>
    </w:p>
    <w:p w14:paraId="766B4DC6" w14:textId="4FE4A62D" w:rsidR="00FE1B60" w:rsidRPr="004A3983" w:rsidRDefault="00FE1B60" w:rsidP="00062C0B">
      <w:pPr>
        <w:spacing w:after="160"/>
        <w:ind w:right="-2"/>
      </w:pPr>
      <w:r w:rsidRPr="004A3983">
        <w:t>The difficulties are further</w:t>
      </w:r>
      <w:r w:rsidR="0010277E" w:rsidRPr="004A3983">
        <w:t xml:space="preserve"> demonstrated by the results of</w:t>
      </w:r>
      <w:r w:rsidR="00DF42EF" w:rsidRPr="004A3983">
        <w:t xml:space="preserve"> a</w:t>
      </w:r>
      <w:r w:rsidRPr="004A3983">
        <w:t xml:space="preserve"> review of Register case files </w:t>
      </w:r>
      <w:r w:rsidR="006D4BFE" w:rsidRPr="004A3983">
        <w:t>conducted</w:t>
      </w:r>
      <w:r w:rsidRPr="004A3983">
        <w:t xml:space="preserve"> by the NSW Police Force </w:t>
      </w:r>
      <w:r w:rsidR="006D4BFE" w:rsidRPr="004A3983">
        <w:t>between</w:t>
      </w:r>
      <w:r w:rsidRPr="004A3983">
        <w:t xml:space="preserve"> July 2016 and October 2018 (</w:t>
      </w:r>
      <w:r w:rsidR="0010277E" w:rsidRPr="004A3983">
        <w:t>the CPR case review, discussed in</w:t>
      </w:r>
      <w:r w:rsidRPr="004A3983">
        <w:t xml:space="preserve"> Chapter </w:t>
      </w:r>
      <w:r w:rsidR="009D312B" w:rsidRPr="004A3983">
        <w:fldChar w:fldCharType="begin"/>
      </w:r>
      <w:r w:rsidR="009D312B" w:rsidRPr="004A3983">
        <w:instrText xml:space="preserve"> REF _Ref9430195 \r \h </w:instrText>
      </w:r>
      <w:r w:rsidR="00DF42EF" w:rsidRPr="004A3983">
        <w:instrText xml:space="preserve"> \* MERGEFORMAT </w:instrText>
      </w:r>
      <w:r w:rsidR="009D312B" w:rsidRPr="004A3983">
        <w:fldChar w:fldCharType="separate"/>
      </w:r>
      <w:r w:rsidR="00022664">
        <w:rPr>
          <w:rFonts w:hint="cs"/>
          <w:cs/>
        </w:rPr>
        <w:t>‎</w:t>
      </w:r>
      <w:r w:rsidR="00022664">
        <w:t>3</w:t>
      </w:r>
      <w:r w:rsidR="009D312B" w:rsidRPr="004A3983">
        <w:fldChar w:fldCharType="end"/>
      </w:r>
      <w:r w:rsidRPr="004A3983">
        <w:t xml:space="preserve">). The review team identified 629 Register </w:t>
      </w:r>
      <w:r w:rsidR="00BA54CA" w:rsidRPr="004A3983">
        <w:lastRenderedPageBreak/>
        <w:t xml:space="preserve">case </w:t>
      </w:r>
      <w:r w:rsidR="00D83778" w:rsidRPr="004A3983">
        <w:t>files in which errors had</w:t>
      </w:r>
      <w:r w:rsidRPr="004A3983">
        <w:t xml:space="preserve"> been made in calculating the </w:t>
      </w:r>
      <w:r w:rsidR="007C0535" w:rsidRPr="004A3983">
        <w:t xml:space="preserve">person’s </w:t>
      </w:r>
      <w:r w:rsidRPr="004A3983">
        <w:t>reporting period</w:t>
      </w:r>
      <w:r w:rsidR="00906793" w:rsidRPr="004A3983">
        <w:t xml:space="preserve"> under the CPOR Act</w:t>
      </w:r>
      <w:r w:rsidRPr="004A3983">
        <w:t>.</w:t>
      </w:r>
      <w:r w:rsidRPr="004A3983">
        <w:rPr>
          <w:rStyle w:val="FootnoteReference"/>
        </w:rPr>
        <w:footnoteReference w:id="659"/>
      </w:r>
      <w:r w:rsidRPr="004A3983">
        <w:t xml:space="preserve"> </w:t>
      </w:r>
    </w:p>
    <w:p w14:paraId="27AF3569" w14:textId="30C85589" w:rsidR="00720A68" w:rsidRPr="004A3983" w:rsidRDefault="0011735A" w:rsidP="00F84ADE">
      <w:pPr>
        <w:pStyle w:val="AppendixHeading2"/>
      </w:pPr>
      <w:bookmarkStart w:id="633" w:name="_Ref9929895"/>
      <w:bookmarkStart w:id="634" w:name="_Toc22627867"/>
      <w:r w:rsidRPr="004A3983">
        <w:t>Identifying</w:t>
      </w:r>
      <w:r w:rsidR="00FE1B60" w:rsidRPr="004A3983">
        <w:t xml:space="preserve"> </w:t>
      </w:r>
      <w:r w:rsidR="00FF340A" w:rsidRPr="004A3983">
        <w:t xml:space="preserve">the </w:t>
      </w:r>
      <w:r w:rsidR="00FE1B60" w:rsidRPr="004A3983">
        <w:t xml:space="preserve">age of </w:t>
      </w:r>
      <w:r w:rsidR="00FF340A" w:rsidRPr="004A3983">
        <w:t xml:space="preserve">the </w:t>
      </w:r>
      <w:r w:rsidR="00FE1B60" w:rsidRPr="00F84ADE">
        <w:t>offender</w:t>
      </w:r>
      <w:r w:rsidR="00FE1B60" w:rsidRPr="004A3983">
        <w:t xml:space="preserve"> on </w:t>
      </w:r>
      <w:r w:rsidR="00FF340A" w:rsidRPr="004A3983">
        <w:t xml:space="preserve">the </w:t>
      </w:r>
      <w:r w:rsidR="00FE1B60" w:rsidRPr="004A3983">
        <w:t>date of offending</w:t>
      </w:r>
      <w:bookmarkEnd w:id="633"/>
      <w:bookmarkEnd w:id="634"/>
    </w:p>
    <w:p w14:paraId="6A569832" w14:textId="7F145DD5" w:rsidR="00FE1B60" w:rsidRPr="004A3983" w:rsidRDefault="00FE1B60" w:rsidP="00062C0B">
      <w:pPr>
        <w:spacing w:after="160"/>
        <w:ind w:right="-2"/>
      </w:pPr>
      <w:r w:rsidRPr="004A3983">
        <w:t>I</w:t>
      </w:r>
      <w:r w:rsidR="00061C23" w:rsidRPr="004A3983">
        <w:t>f a person</w:t>
      </w:r>
      <w:r w:rsidRPr="004A3983">
        <w:t xml:space="preserve"> was under 18 at </w:t>
      </w:r>
      <w:r w:rsidR="00061C23" w:rsidRPr="004A3983">
        <w:t>the time he or she committed a registrable offence</w:t>
      </w:r>
      <w:r w:rsidRPr="004A3983">
        <w:t xml:space="preserve">, he or she will be given a much shorter reporting period than if he or she </w:t>
      </w:r>
      <w:r w:rsidR="00061C23" w:rsidRPr="004A3983">
        <w:t xml:space="preserve">had </w:t>
      </w:r>
      <w:r w:rsidRPr="004A3983">
        <w:t>offended as an adult.</w:t>
      </w:r>
      <w:r w:rsidRPr="004A3983">
        <w:rPr>
          <w:rStyle w:val="FootnoteReference"/>
        </w:rPr>
        <w:footnoteReference w:id="660"/>
      </w:r>
      <w:r w:rsidRPr="004A3983">
        <w:t xml:space="preserve"> The NSW</w:t>
      </w:r>
      <w:r w:rsidR="00C3547C" w:rsidRPr="004A3983">
        <w:t xml:space="preserve"> Police Force</w:t>
      </w:r>
      <w:r w:rsidRPr="004A3983">
        <w:t xml:space="preserve"> therefore needs to be able to identify exactly when the </w:t>
      </w:r>
      <w:r w:rsidR="00583109" w:rsidRPr="004A3983">
        <w:t xml:space="preserve">person </w:t>
      </w:r>
      <w:r w:rsidRPr="004A3983">
        <w:t xml:space="preserve">committed each registrable offence, to calculate the reporting period correctly. </w:t>
      </w:r>
      <w:r w:rsidR="007019F2" w:rsidRPr="004A3983">
        <w:t xml:space="preserve">As discussed in part </w:t>
      </w:r>
      <w:r w:rsidR="007019F2" w:rsidRPr="004A3983">
        <w:fldChar w:fldCharType="begin"/>
      </w:r>
      <w:r w:rsidR="007019F2" w:rsidRPr="004A3983">
        <w:instrText xml:space="preserve"> REF _Ref10039581 \r \h  \* MERGEFORMAT </w:instrText>
      </w:r>
      <w:r w:rsidR="007019F2" w:rsidRPr="004A3983">
        <w:fldChar w:fldCharType="separate"/>
      </w:r>
      <w:r w:rsidR="00022664">
        <w:rPr>
          <w:rFonts w:hint="cs"/>
          <w:cs/>
        </w:rPr>
        <w:t>‎</w:t>
      </w:r>
      <w:r w:rsidR="00022664">
        <w:t>4.1</w:t>
      </w:r>
      <w:r w:rsidR="007019F2" w:rsidRPr="004A3983">
        <w:fldChar w:fldCharType="end"/>
      </w:r>
      <w:r w:rsidRPr="004A3983">
        <w:t>, this can be very difficult when the person was convicted on a ‘between dates’ charge.</w:t>
      </w:r>
    </w:p>
    <w:p w14:paraId="171999BF" w14:textId="4731FDB9" w:rsidR="00FE1B60" w:rsidRPr="004A3983" w:rsidRDefault="00FE1B60" w:rsidP="00062C0B">
      <w:pPr>
        <w:spacing w:after="160"/>
        <w:ind w:right="-2"/>
      </w:pPr>
      <w:r w:rsidRPr="004A3983">
        <w:t>As Example 3 demonstrates, a d</w:t>
      </w:r>
      <w:r w:rsidR="00861418" w:rsidRPr="004A3983">
        <w:t>ifference of less than five</w:t>
      </w:r>
      <w:r w:rsidR="002A1417" w:rsidRPr="004A3983">
        <w:t xml:space="preserve"> days for</w:t>
      </w:r>
      <w:r w:rsidRPr="004A3983">
        <w:t xml:space="preserve"> the date of offending can result in a person being registrable for 7.5 years, or 15 years. This example also demonstrates the serious consequences that can result if a reporting period is calculated incorrectly.</w:t>
      </w:r>
    </w:p>
    <w:p w14:paraId="1E66448F" w14:textId="05A60D73" w:rsidR="00FE1B60" w:rsidRPr="004A3983" w:rsidRDefault="00FE1B60" w:rsidP="008F34A3">
      <w:pPr>
        <w:pStyle w:val="ExampleHeading"/>
      </w:pPr>
      <w:bookmarkStart w:id="635" w:name="_Toc10711475"/>
      <w:bookmarkStart w:id="636" w:name="_Toc21957546"/>
      <w:bookmarkStart w:id="637" w:name="_Toc22280913"/>
      <w:r w:rsidRPr="004A3983">
        <w:t>Example 3:</w:t>
      </w:r>
      <w:bookmarkEnd w:id="635"/>
      <w:bookmarkEnd w:id="636"/>
      <w:bookmarkEnd w:id="637"/>
      <w:r w:rsidRPr="004A3983">
        <w:t xml:space="preserve"> </w:t>
      </w:r>
    </w:p>
    <w:p w14:paraId="11CFCD21" w14:textId="2C03C73D" w:rsidR="00FE1B60" w:rsidRPr="004A3983" w:rsidRDefault="00FE1B60" w:rsidP="00062C0B">
      <w:pPr>
        <w:pStyle w:val="CaseStudyText"/>
        <w:spacing w:after="160"/>
        <w:ind w:right="-2"/>
      </w:pPr>
      <w:r w:rsidRPr="004A3983">
        <w:t>In February 2001 Mr CC</w:t>
      </w:r>
      <w:r w:rsidRPr="004A3983">
        <w:rPr>
          <w:rStyle w:val="FootnoteReference"/>
          <w:sz w:val="20"/>
          <w:szCs w:val="20"/>
        </w:rPr>
        <w:footnoteReference w:id="661"/>
      </w:r>
      <w:r w:rsidRPr="004A3983">
        <w:t xml:space="preserve"> was convicted and sentenced for one count of attempted sexual intercourse with a child under 10, which Mr CC committed when he was 13 or 14 years old, and one count of aggravated sexual assault against a victim under 16 years of age, which Mr CC committed just four days short of his 18th birthday.</w:t>
      </w:r>
      <w:r w:rsidRPr="004A3983">
        <w:rPr>
          <w:rStyle w:val="FootnoteReference"/>
          <w:rFonts w:cs="Arial"/>
          <w:sz w:val="20"/>
          <w:szCs w:val="20"/>
        </w:rPr>
        <w:footnoteReference w:id="662"/>
      </w:r>
    </w:p>
    <w:p w14:paraId="69302545" w14:textId="573958FB" w:rsidR="00FE1B60" w:rsidRPr="004A3983" w:rsidRDefault="00FE1B60" w:rsidP="00062C0B">
      <w:pPr>
        <w:pStyle w:val="CaseStudyText"/>
        <w:spacing w:after="160"/>
        <w:ind w:right="-2"/>
        <w:rPr>
          <w:rFonts w:cs="Arial"/>
        </w:rPr>
      </w:pPr>
      <w:r w:rsidRPr="004A3983">
        <w:rPr>
          <w:rFonts w:cs="Arial"/>
        </w:rPr>
        <w:t>The NSW</w:t>
      </w:r>
      <w:r w:rsidR="00C3547C" w:rsidRPr="004A3983">
        <w:t xml:space="preserve"> Police Force</w:t>
      </w:r>
      <w:r w:rsidRPr="004A3983">
        <w:rPr>
          <w:rFonts w:cs="Arial"/>
        </w:rPr>
        <w:t xml:space="preserve"> determined that he was </w:t>
      </w:r>
      <w:r w:rsidR="008D57FA" w:rsidRPr="004A3983">
        <w:rPr>
          <w:rFonts w:cs="Arial"/>
        </w:rPr>
        <w:t xml:space="preserve">a </w:t>
      </w:r>
      <w:r w:rsidRPr="004A3983">
        <w:rPr>
          <w:rFonts w:cs="Arial"/>
        </w:rPr>
        <w:t>registrable</w:t>
      </w:r>
      <w:r w:rsidR="008D57FA" w:rsidRPr="004A3983">
        <w:rPr>
          <w:rFonts w:cs="Arial"/>
        </w:rPr>
        <w:t xml:space="preserve"> person</w:t>
      </w:r>
      <w:r w:rsidRPr="004A3983">
        <w:rPr>
          <w:rFonts w:cs="Arial"/>
        </w:rPr>
        <w:t xml:space="preserve"> under the CPOR Act, but applied the wrong formula for calculating his reporting period. It </w:t>
      </w:r>
      <w:r w:rsidR="008D57FA" w:rsidRPr="004A3983">
        <w:rPr>
          <w:rFonts w:cs="Arial"/>
        </w:rPr>
        <w:t>determined that his reporting period was</w:t>
      </w:r>
      <w:r w:rsidRPr="004A3983">
        <w:rPr>
          <w:rFonts w:cs="Arial"/>
        </w:rPr>
        <w:t xml:space="preserve"> 15 years (the period for a person who committed two Class 1 offences as an adult). However, as Mr CC was under 18 at the time of committing both the offences, the correct reporting period for him was 7.5 years.</w:t>
      </w:r>
    </w:p>
    <w:p w14:paraId="249A27C3" w14:textId="7B9A3411" w:rsidR="00FE1B60" w:rsidRPr="004A3983" w:rsidRDefault="00FE1B60" w:rsidP="00062C0B">
      <w:pPr>
        <w:pStyle w:val="CaseStudyText"/>
        <w:spacing w:after="160"/>
        <w:ind w:right="-2"/>
        <w:rPr>
          <w:rFonts w:cs="Arial"/>
        </w:rPr>
      </w:pPr>
      <w:r w:rsidRPr="004A3983">
        <w:rPr>
          <w:rFonts w:cs="Arial"/>
        </w:rPr>
        <w:t>Mr CC’s reporting obligations under the CPOR Act ended in 2008.</w:t>
      </w:r>
    </w:p>
    <w:p w14:paraId="57D048DB" w14:textId="1347E8A0" w:rsidR="00FE1B60" w:rsidRPr="004A3983" w:rsidRDefault="00FE1B60" w:rsidP="00062C0B">
      <w:pPr>
        <w:pStyle w:val="CaseStudyText"/>
        <w:spacing w:after="160"/>
        <w:ind w:right="-2"/>
        <w:rPr>
          <w:rFonts w:cs="Arial"/>
        </w:rPr>
      </w:pPr>
      <w:r w:rsidRPr="004A3983">
        <w:rPr>
          <w:rFonts w:cs="Arial"/>
        </w:rPr>
        <w:t xml:space="preserve">However, as a consequence of </w:t>
      </w:r>
      <w:r w:rsidR="0044605D" w:rsidRPr="004A3983">
        <w:rPr>
          <w:rFonts w:cs="Arial"/>
        </w:rPr>
        <w:t xml:space="preserve">error made by </w:t>
      </w:r>
      <w:r w:rsidRPr="004A3983">
        <w:rPr>
          <w:rFonts w:cs="Arial"/>
        </w:rPr>
        <w:t>the NSW</w:t>
      </w:r>
      <w:r w:rsidR="00C3547C" w:rsidRPr="004A3983">
        <w:t xml:space="preserve"> Police Force</w:t>
      </w:r>
      <w:r w:rsidRPr="004A3983">
        <w:rPr>
          <w:rFonts w:cs="Arial"/>
        </w:rPr>
        <w:t xml:space="preserve"> in calculating his reporting period, Mr CC was charged, convicted and sentenced for offences under the CPOR Act on multiple occasions after 2008. Between January 2010 and April 2016 h</w:t>
      </w:r>
      <w:r w:rsidR="0044605D" w:rsidRPr="004A3983">
        <w:rPr>
          <w:rFonts w:cs="Arial"/>
        </w:rPr>
        <w:t>e was wrongl</w:t>
      </w:r>
      <w:r w:rsidR="00DB3EE8" w:rsidRPr="004A3983">
        <w:rPr>
          <w:rFonts w:cs="Arial"/>
        </w:rPr>
        <w:t>y convicted for six</w:t>
      </w:r>
      <w:r w:rsidRPr="004A3983">
        <w:rPr>
          <w:rFonts w:cs="Arial"/>
        </w:rPr>
        <w:t xml:space="preserve"> different offenc</w:t>
      </w:r>
      <w:r w:rsidR="0044605D" w:rsidRPr="004A3983">
        <w:rPr>
          <w:rFonts w:cs="Arial"/>
        </w:rPr>
        <w:t>es of failing</w:t>
      </w:r>
      <w:r w:rsidRPr="004A3983">
        <w:rPr>
          <w:rFonts w:cs="Arial"/>
        </w:rPr>
        <w:t xml:space="preserve"> to comply with reporting obligations</w:t>
      </w:r>
      <w:r w:rsidR="0044605D" w:rsidRPr="004A3983">
        <w:rPr>
          <w:rFonts w:cs="Arial"/>
        </w:rPr>
        <w:t>,</w:t>
      </w:r>
      <w:r w:rsidRPr="004A3983">
        <w:rPr>
          <w:rFonts w:cs="Arial"/>
        </w:rPr>
        <w:t xml:space="preserve"> under s 17 of the CPOR Act. He was also convicted and </w:t>
      </w:r>
      <w:r w:rsidRPr="004A3983">
        <w:rPr>
          <w:rFonts w:cs="Arial"/>
        </w:rPr>
        <w:lastRenderedPageBreak/>
        <w:t xml:space="preserve">sentenced for an offence of providing misleading information, contrary to s 18 of that Act, and for resisting arrest (for one of the failure to </w:t>
      </w:r>
      <w:r w:rsidR="00770710" w:rsidRPr="004A3983">
        <w:rPr>
          <w:rFonts w:cs="Arial"/>
        </w:rPr>
        <w:t>report</w:t>
      </w:r>
      <w:r w:rsidRPr="004A3983">
        <w:rPr>
          <w:rFonts w:cs="Arial"/>
        </w:rPr>
        <w:t xml:space="preserve"> charges). </w:t>
      </w:r>
    </w:p>
    <w:p w14:paraId="319D838A" w14:textId="78B6CDB0" w:rsidR="00FE1B60" w:rsidRPr="004A3983" w:rsidRDefault="00FE1B60" w:rsidP="00062C0B">
      <w:pPr>
        <w:pStyle w:val="CaseStudyText"/>
        <w:spacing w:after="160"/>
        <w:ind w:right="-2"/>
        <w:rPr>
          <w:rFonts w:cs="Arial"/>
        </w:rPr>
      </w:pPr>
      <w:r w:rsidRPr="004A3983">
        <w:rPr>
          <w:rFonts w:cs="Arial"/>
        </w:rPr>
        <w:t xml:space="preserve">As a result of these </w:t>
      </w:r>
      <w:r w:rsidR="00EC217D" w:rsidRPr="004A3983">
        <w:rPr>
          <w:rFonts w:cs="Arial"/>
        </w:rPr>
        <w:t xml:space="preserve">wrongful convictions, he spent in total </w:t>
      </w:r>
      <w:r w:rsidRPr="004A3983">
        <w:rPr>
          <w:rFonts w:cs="Arial"/>
        </w:rPr>
        <w:t>over 540 days in custody.</w:t>
      </w:r>
    </w:p>
    <w:p w14:paraId="68E1A9C0" w14:textId="24FAA08D" w:rsidR="00FE1B60" w:rsidRPr="004A3983" w:rsidRDefault="00FE1B60" w:rsidP="00062C0B">
      <w:pPr>
        <w:pStyle w:val="CaseStudyText"/>
        <w:spacing w:after="160"/>
        <w:ind w:right="-2"/>
        <w:rPr>
          <w:rFonts w:cs="Arial"/>
        </w:rPr>
      </w:pPr>
      <w:r w:rsidRPr="004A3983">
        <w:rPr>
          <w:rFonts w:cs="Arial"/>
        </w:rPr>
        <w:t>In May 2016 legal representatives for Mr CC, and the NSW</w:t>
      </w:r>
      <w:r w:rsidR="00C3547C" w:rsidRPr="004A3983">
        <w:t xml:space="preserve"> Police Force</w:t>
      </w:r>
      <w:r w:rsidRPr="004A3983">
        <w:rPr>
          <w:rFonts w:cs="Arial"/>
        </w:rPr>
        <w:t>, became aware that an error may have been made</w:t>
      </w:r>
      <w:r w:rsidR="000F3953" w:rsidRPr="004A3983">
        <w:rPr>
          <w:rFonts w:cs="Arial"/>
        </w:rPr>
        <w:t xml:space="preserve"> </w:t>
      </w:r>
      <w:r w:rsidR="004C4F30" w:rsidRPr="004A3983">
        <w:rPr>
          <w:rFonts w:cs="Arial"/>
        </w:rPr>
        <w:t>by the NSW Police Force when</w:t>
      </w:r>
      <w:r w:rsidR="000F3953" w:rsidRPr="004A3983">
        <w:rPr>
          <w:rFonts w:cs="Arial"/>
        </w:rPr>
        <w:t xml:space="preserve"> calculating</w:t>
      </w:r>
      <w:r w:rsidRPr="004A3983">
        <w:rPr>
          <w:rFonts w:cs="Arial"/>
        </w:rPr>
        <w:t xml:space="preserve"> Mr CC’s reporting period. </w:t>
      </w:r>
    </w:p>
    <w:p w14:paraId="343A27CF" w14:textId="1AE001C3" w:rsidR="00FE1B60" w:rsidRPr="004A3983" w:rsidRDefault="00FE1B60" w:rsidP="00062C0B">
      <w:pPr>
        <w:pStyle w:val="CaseStudyText"/>
        <w:spacing w:after="160"/>
        <w:ind w:right="-2"/>
        <w:rPr>
          <w:rFonts w:cs="Arial"/>
        </w:rPr>
      </w:pPr>
      <w:r w:rsidRPr="004A3983">
        <w:rPr>
          <w:rFonts w:cs="Arial"/>
        </w:rPr>
        <w:t xml:space="preserve">On 11 August 2016 the Registry sought advice from </w:t>
      </w:r>
      <w:r w:rsidR="00412BAB" w:rsidRPr="004A3983">
        <w:rPr>
          <w:rFonts w:cs="Arial"/>
        </w:rPr>
        <w:t xml:space="preserve">the </w:t>
      </w:r>
      <w:r w:rsidRPr="004A3983">
        <w:rPr>
          <w:rFonts w:cs="Arial"/>
        </w:rPr>
        <w:t xml:space="preserve">Office of </w:t>
      </w:r>
      <w:r w:rsidR="00412BAB" w:rsidRPr="004A3983">
        <w:rPr>
          <w:rFonts w:cs="Arial"/>
        </w:rPr>
        <w:t xml:space="preserve">the </w:t>
      </w:r>
      <w:r w:rsidRPr="004A3983">
        <w:rPr>
          <w:rFonts w:cs="Arial"/>
        </w:rPr>
        <w:t>General Counsel regarding the annulment of convictions and</w:t>
      </w:r>
      <w:r w:rsidR="00DB3EE8" w:rsidRPr="004A3983">
        <w:rPr>
          <w:rFonts w:cs="Arial"/>
        </w:rPr>
        <w:t xml:space="preserve"> sentences imposed on Mr</w:t>
      </w:r>
      <w:r w:rsidRPr="004A3983">
        <w:rPr>
          <w:rFonts w:cs="Arial"/>
        </w:rPr>
        <w:t xml:space="preserve"> CC, noting that a ‘fundamental error’ had been made in calculating his reporting period. </w:t>
      </w:r>
    </w:p>
    <w:p w14:paraId="7E6EC6E1" w14:textId="1850E75F" w:rsidR="00FE1B60" w:rsidRPr="004A3983" w:rsidRDefault="00C258AB" w:rsidP="00062C0B">
      <w:pPr>
        <w:pStyle w:val="CaseStudyText"/>
        <w:spacing w:after="360"/>
        <w:ind w:right="-2"/>
      </w:pPr>
      <w:r w:rsidRPr="004A3983">
        <w:rPr>
          <w:rFonts w:cs="Arial"/>
        </w:rPr>
        <w:t xml:space="preserve">In </w:t>
      </w:r>
      <w:r w:rsidR="00FE1B60" w:rsidRPr="004A3983">
        <w:rPr>
          <w:rFonts w:cs="Arial"/>
        </w:rPr>
        <w:t xml:space="preserve">April 2018 representatives for Mr CC filed a Statement of Claim in the Supreme Court, seeking damages from the State of </w:t>
      </w:r>
      <w:r w:rsidR="008C665C" w:rsidRPr="004A3983">
        <w:rPr>
          <w:rFonts w:cs="Arial"/>
        </w:rPr>
        <w:t>New South Wales</w:t>
      </w:r>
      <w:r w:rsidR="00FE1B60" w:rsidRPr="004A3983">
        <w:rPr>
          <w:rFonts w:cs="Arial"/>
        </w:rPr>
        <w:t xml:space="preserve"> for wrongful imprisonment for a total of 545 days.</w:t>
      </w:r>
      <w:r w:rsidR="00973919" w:rsidRPr="004A3983">
        <w:rPr>
          <w:rFonts w:cs="Arial"/>
        </w:rPr>
        <w:t xml:space="preserve"> </w:t>
      </w:r>
      <w:r w:rsidRPr="004A3983">
        <w:rPr>
          <w:rFonts w:cs="Arial"/>
        </w:rPr>
        <w:t xml:space="preserve">In </w:t>
      </w:r>
      <w:r w:rsidR="009C0E25" w:rsidRPr="004A3983">
        <w:rPr>
          <w:rFonts w:cs="Arial"/>
        </w:rPr>
        <w:t>November 2018 a D</w:t>
      </w:r>
      <w:r w:rsidR="00FE1B60" w:rsidRPr="004A3983">
        <w:rPr>
          <w:rFonts w:cs="Arial"/>
        </w:rPr>
        <w:t xml:space="preserve">efence was filed, in which the State of </w:t>
      </w:r>
      <w:r w:rsidR="008C665C" w:rsidRPr="004A3983">
        <w:rPr>
          <w:rFonts w:cs="Arial"/>
        </w:rPr>
        <w:t>New South Wales</w:t>
      </w:r>
      <w:r w:rsidR="00FE1B60" w:rsidRPr="004A3983">
        <w:rPr>
          <w:rFonts w:cs="Arial"/>
        </w:rPr>
        <w:t xml:space="preserve"> admitted that an error had been made in calculating Mr CC’s reporting period, but denied any liability. </w:t>
      </w:r>
      <w:r w:rsidR="00FE1B60" w:rsidRPr="004A3983">
        <w:t>It appears that the matter was settled</w:t>
      </w:r>
      <w:r w:rsidRPr="004A3983">
        <w:t xml:space="preserve"> in December 2018</w:t>
      </w:r>
      <w:r w:rsidR="00FE1B60" w:rsidRPr="004A3983">
        <w:t>.</w:t>
      </w:r>
      <w:r w:rsidR="00FE1B60" w:rsidRPr="004A3983">
        <w:rPr>
          <w:rStyle w:val="FootnoteReference"/>
        </w:rPr>
        <w:footnoteReference w:id="663"/>
      </w:r>
    </w:p>
    <w:p w14:paraId="0FB1E23E" w14:textId="11F084EC" w:rsidR="000F6FE9" w:rsidRPr="004A3983" w:rsidRDefault="000F6FE9" w:rsidP="00F84ADE">
      <w:pPr>
        <w:pStyle w:val="AppendixHeading2"/>
        <w:rPr>
          <w:rFonts w:cs="Arial"/>
        </w:rPr>
      </w:pPr>
      <w:bookmarkStart w:id="638" w:name="_Toc22627868"/>
      <w:r w:rsidRPr="004A3983">
        <w:t xml:space="preserve">Grouping of </w:t>
      </w:r>
      <w:r w:rsidRPr="00F84ADE">
        <w:t>multiple</w:t>
      </w:r>
      <w:r w:rsidRPr="004A3983">
        <w:t xml:space="preserve"> offences</w:t>
      </w:r>
      <w:bookmarkEnd w:id="638"/>
    </w:p>
    <w:p w14:paraId="47675CC0" w14:textId="2196E34C" w:rsidR="00102EB9" w:rsidRPr="004A3983" w:rsidRDefault="00102EB9" w:rsidP="00062C0B">
      <w:pPr>
        <w:spacing w:after="160"/>
        <w:ind w:right="-2"/>
      </w:pPr>
      <w:r w:rsidRPr="004A3983">
        <w:t xml:space="preserve">The difficulties discussed in </w:t>
      </w:r>
      <w:r w:rsidR="00136FCB" w:rsidRPr="004A3983">
        <w:t>parts</w:t>
      </w:r>
      <w:r w:rsidR="00EC4574" w:rsidRPr="004A3983">
        <w:t xml:space="preserve"> </w:t>
      </w:r>
      <w:r w:rsidR="008C3428" w:rsidRPr="004A3983">
        <w:fldChar w:fldCharType="begin"/>
      </w:r>
      <w:r w:rsidR="008C3428" w:rsidRPr="004A3983">
        <w:instrText xml:space="preserve"> REF _Ref10041238 \r \h </w:instrText>
      </w:r>
      <w:r w:rsidR="00A84C0B" w:rsidRPr="004A3983">
        <w:instrText xml:space="preserve"> \* MERGEFORMAT </w:instrText>
      </w:r>
      <w:r w:rsidR="008C3428" w:rsidRPr="004A3983">
        <w:fldChar w:fldCharType="separate"/>
      </w:r>
      <w:r w:rsidR="00022664">
        <w:rPr>
          <w:rFonts w:hint="cs"/>
          <w:cs/>
        </w:rPr>
        <w:t>‎</w:t>
      </w:r>
      <w:r w:rsidR="00022664">
        <w:t>4.1.2</w:t>
      </w:r>
      <w:r w:rsidR="008C3428" w:rsidRPr="004A3983">
        <w:fldChar w:fldCharType="end"/>
      </w:r>
      <w:r w:rsidR="008C3428" w:rsidRPr="004A3983">
        <w:t xml:space="preserve"> and </w:t>
      </w:r>
      <w:r w:rsidR="008C3428" w:rsidRPr="004A3983">
        <w:fldChar w:fldCharType="begin"/>
      </w:r>
      <w:r w:rsidR="008C3428" w:rsidRPr="004A3983">
        <w:instrText xml:space="preserve"> REF _Ref10041252 \r \h </w:instrText>
      </w:r>
      <w:r w:rsidR="00A84C0B" w:rsidRPr="004A3983">
        <w:instrText xml:space="preserve"> \* MERGEFORMAT </w:instrText>
      </w:r>
      <w:r w:rsidR="008C3428" w:rsidRPr="004A3983">
        <w:fldChar w:fldCharType="separate"/>
      </w:r>
      <w:r w:rsidR="00022664">
        <w:rPr>
          <w:rFonts w:hint="cs"/>
          <w:cs/>
        </w:rPr>
        <w:t>‎</w:t>
      </w:r>
      <w:r w:rsidR="00022664">
        <w:t>4.2</w:t>
      </w:r>
      <w:r w:rsidR="008C3428" w:rsidRPr="004A3983">
        <w:fldChar w:fldCharType="end"/>
      </w:r>
      <w:r w:rsidRPr="004A3983">
        <w:t xml:space="preserve"> above</w:t>
      </w:r>
      <w:r w:rsidR="00814A90" w:rsidRPr="004A3983">
        <w:t>,</w:t>
      </w:r>
      <w:r w:rsidRPr="004A3983">
        <w:t xml:space="preserve"> </w:t>
      </w:r>
      <w:r w:rsidR="00814A90" w:rsidRPr="004A3983">
        <w:t xml:space="preserve">regarding </w:t>
      </w:r>
      <w:r w:rsidRPr="004A3983">
        <w:t>determining when to treat multiple offences as ‘arising from the same incident’, also affect the calculation</w:t>
      </w:r>
      <w:r w:rsidR="00814A90" w:rsidRPr="004A3983">
        <w:t xml:space="preserve"> of reporting periods. The </w:t>
      </w:r>
      <w:r w:rsidRPr="004A3983">
        <w:t xml:space="preserve">test in s 3(3) </w:t>
      </w:r>
      <w:r w:rsidR="00814A90" w:rsidRPr="004A3983">
        <w:t xml:space="preserve">for when to count multiple offences as a ‘single’ offence </w:t>
      </w:r>
      <w:r w:rsidR="00830A05" w:rsidRPr="004A3983">
        <w:t xml:space="preserve">which </w:t>
      </w:r>
      <w:r w:rsidR="0094368D" w:rsidRPr="004A3983">
        <w:t xml:space="preserve">must be applied when </w:t>
      </w:r>
      <w:r w:rsidRPr="004A3983">
        <w:t>determining if</w:t>
      </w:r>
      <w:r w:rsidR="0094368D" w:rsidRPr="004A3983">
        <w:t xml:space="preserve"> an</w:t>
      </w:r>
      <w:r w:rsidRPr="004A3983">
        <w:t xml:space="preserve"> </w:t>
      </w:r>
      <w:r w:rsidR="0094368D" w:rsidRPr="004A3983">
        <w:t>exception</w:t>
      </w:r>
      <w:r w:rsidR="00814A90" w:rsidRPr="004A3983">
        <w:t xml:space="preserve"> to registration</w:t>
      </w:r>
      <w:r w:rsidR="0094368D" w:rsidRPr="004A3983">
        <w:t xml:space="preserve"> </w:t>
      </w:r>
      <w:r w:rsidR="00510526" w:rsidRPr="004A3983">
        <w:t>is enlivened,</w:t>
      </w:r>
      <w:r w:rsidRPr="004A3983">
        <w:t xml:space="preserve"> </w:t>
      </w:r>
      <w:r w:rsidR="0094368D" w:rsidRPr="004A3983">
        <w:t xml:space="preserve">must </w:t>
      </w:r>
      <w:r w:rsidR="00510526" w:rsidRPr="004A3983">
        <w:t xml:space="preserve">also </w:t>
      </w:r>
      <w:r w:rsidR="0094368D" w:rsidRPr="004A3983">
        <w:t>be applied</w:t>
      </w:r>
      <w:r w:rsidRPr="004A3983">
        <w:t xml:space="preserve"> when counting offences for the purpose of calculating reporting periods.</w:t>
      </w:r>
      <w:r w:rsidRPr="004A3983">
        <w:rPr>
          <w:rStyle w:val="FootnoteTextChar"/>
          <w:vertAlign w:val="superscript"/>
        </w:rPr>
        <w:footnoteReference w:id="664"/>
      </w:r>
      <w:r w:rsidRPr="004A3983">
        <w:rPr>
          <w:vertAlign w:val="superscript"/>
        </w:rPr>
        <w:t xml:space="preserve"> </w:t>
      </w:r>
    </w:p>
    <w:p w14:paraId="774C820E" w14:textId="45B33DCC" w:rsidR="00102EB9" w:rsidRPr="004A3983" w:rsidRDefault="00102EB9" w:rsidP="008F34A3">
      <w:pPr>
        <w:pStyle w:val="ExampleHeading"/>
      </w:pPr>
      <w:bookmarkStart w:id="639" w:name="_Toc10711476"/>
      <w:bookmarkStart w:id="640" w:name="_Toc21957547"/>
      <w:bookmarkStart w:id="641" w:name="_Toc22280914"/>
      <w:r w:rsidRPr="004A3983">
        <w:t>Example 4:</w:t>
      </w:r>
      <w:bookmarkEnd w:id="639"/>
      <w:bookmarkEnd w:id="640"/>
      <w:bookmarkEnd w:id="641"/>
      <w:r w:rsidRPr="004A3983">
        <w:t xml:space="preserve"> </w:t>
      </w:r>
    </w:p>
    <w:p w14:paraId="4D263D7C" w14:textId="666CA184" w:rsidR="00102EB9" w:rsidRPr="004A3983" w:rsidRDefault="00102EB9" w:rsidP="00062C0B">
      <w:pPr>
        <w:pStyle w:val="CaseStudyText"/>
        <w:spacing w:after="160"/>
        <w:ind w:right="-2"/>
      </w:pPr>
      <w:r w:rsidRPr="004A3983">
        <w:t>In March 2008 Mr MM</w:t>
      </w:r>
      <w:r w:rsidRPr="004A3983">
        <w:rPr>
          <w:rStyle w:val="FootnoteReference"/>
          <w:rFonts w:cs="Arial"/>
          <w:sz w:val="20"/>
          <w:szCs w:val="20"/>
        </w:rPr>
        <w:footnoteReference w:id="665"/>
      </w:r>
      <w:r w:rsidRPr="004A3983">
        <w:t xml:space="preserve"> was convicted of two counts</w:t>
      </w:r>
      <w:r w:rsidR="00CD6308" w:rsidRPr="004A3983">
        <w:t xml:space="preserve"> of aggravated indecent assault</w:t>
      </w:r>
      <w:r w:rsidRPr="004A3983">
        <w:t xml:space="preserve"> against a person under 16 years</w:t>
      </w:r>
      <w:r w:rsidR="00370ABD" w:rsidRPr="004A3983">
        <w:t>, and was ultimately sentenced to eight months’ imprisonment, with a three month non parole period</w:t>
      </w:r>
      <w:r w:rsidRPr="004A3983">
        <w:t>. He was released from custody in August 2008, and the NSW</w:t>
      </w:r>
      <w:r w:rsidR="001A22F4" w:rsidRPr="004A3983">
        <w:t xml:space="preserve"> </w:t>
      </w:r>
      <w:r w:rsidRPr="004A3983">
        <w:t>P</w:t>
      </w:r>
      <w:r w:rsidR="001A22F4" w:rsidRPr="004A3983">
        <w:t xml:space="preserve">olice </w:t>
      </w:r>
      <w:r w:rsidRPr="004A3983">
        <w:t>F</w:t>
      </w:r>
      <w:r w:rsidR="001A22F4" w:rsidRPr="004A3983">
        <w:t>orce</w:t>
      </w:r>
      <w:r w:rsidRPr="004A3983">
        <w:t xml:space="preserve"> notified Mr MM that his reporting p</w:t>
      </w:r>
      <w:r w:rsidR="00C17EA3" w:rsidRPr="004A3983">
        <w:t>eriod was eight</w:t>
      </w:r>
      <w:r w:rsidRPr="004A3983">
        <w:t xml:space="preserve"> years.   </w:t>
      </w:r>
    </w:p>
    <w:p w14:paraId="709535CA" w14:textId="71777CF6" w:rsidR="00102EB9" w:rsidRPr="004A3983" w:rsidRDefault="00102EB9" w:rsidP="00062C0B">
      <w:pPr>
        <w:pStyle w:val="CaseStudyText"/>
        <w:spacing w:after="160"/>
        <w:ind w:right="-2"/>
      </w:pPr>
      <w:r w:rsidRPr="004A3983">
        <w:t xml:space="preserve">In about May 2016, just months prior to when Mr MM’s reporting obligations </w:t>
      </w:r>
      <w:r w:rsidR="00CD6308" w:rsidRPr="004A3983">
        <w:t>as recorded by the NSW Police Force</w:t>
      </w:r>
      <w:r w:rsidRPr="004A3983">
        <w:t xml:space="preserve"> </w:t>
      </w:r>
      <w:r w:rsidR="00CD6308" w:rsidRPr="004A3983">
        <w:t>were due to expire</w:t>
      </w:r>
      <w:r w:rsidRPr="004A3983">
        <w:t>, the NSW</w:t>
      </w:r>
      <w:r w:rsidR="00C3547C" w:rsidRPr="004A3983">
        <w:t xml:space="preserve"> Police Force</w:t>
      </w:r>
      <w:r w:rsidRPr="004A3983">
        <w:t xml:space="preserve"> reviewed his file and determined that </w:t>
      </w:r>
      <w:r w:rsidR="00CD6308" w:rsidRPr="004A3983">
        <w:t xml:space="preserve">it had </w:t>
      </w:r>
      <w:r w:rsidRPr="004A3983">
        <w:t>incorrectly calculated</w:t>
      </w:r>
      <w:r w:rsidR="00CD6308" w:rsidRPr="004A3983">
        <w:t xml:space="preserve"> his reporting period</w:t>
      </w:r>
      <w:r w:rsidRPr="004A3983">
        <w:t>.</w:t>
      </w:r>
      <w:r w:rsidRPr="004A3983">
        <w:rPr>
          <w:rStyle w:val="FootnoteReference"/>
          <w:rFonts w:cs="Arial"/>
          <w:sz w:val="20"/>
          <w:szCs w:val="20"/>
        </w:rPr>
        <w:t xml:space="preserve"> </w:t>
      </w:r>
      <w:r w:rsidRPr="004A3983">
        <w:t xml:space="preserve">The </w:t>
      </w:r>
      <w:r w:rsidR="00C921EF" w:rsidRPr="004A3983">
        <w:t xml:space="preserve">NSW Police Force appeared to have counted his </w:t>
      </w:r>
      <w:r w:rsidRPr="004A3983">
        <w:t xml:space="preserve">two </w:t>
      </w:r>
      <w:r w:rsidR="00C921EF" w:rsidRPr="004A3983">
        <w:t xml:space="preserve">convictions for </w:t>
      </w:r>
      <w:r w:rsidRPr="004A3983">
        <w:t xml:space="preserve">offences in 2008 as a ‘single offence’ for the purpose of calculating his reporting period. However, while the two offences were committed with a 24 hour period, they were committed against different victims. Section 3(3) of the CPOR Act </w:t>
      </w:r>
      <w:r w:rsidRPr="004A3983">
        <w:lastRenderedPageBreak/>
        <w:t>therefore did not apply, and Mr MM</w:t>
      </w:r>
      <w:r w:rsidR="00C921EF" w:rsidRPr="004A3983">
        <w:t>’s</w:t>
      </w:r>
      <w:r w:rsidRPr="004A3983">
        <w:t xml:space="preserve"> </w:t>
      </w:r>
      <w:r w:rsidR="00C921EF" w:rsidRPr="004A3983">
        <w:t>reporting period was therefore</w:t>
      </w:r>
      <w:r w:rsidRPr="004A3983">
        <w:t xml:space="preserve"> 15 years, for two Class 2 offences.</w:t>
      </w:r>
      <w:r w:rsidR="0050656C" w:rsidRPr="004A3983">
        <w:t xml:space="preserve"> </w:t>
      </w:r>
    </w:p>
    <w:p w14:paraId="09123A9D" w14:textId="39465F4C" w:rsidR="00102EB9" w:rsidRPr="004A3983" w:rsidRDefault="00102EB9" w:rsidP="00062C0B">
      <w:pPr>
        <w:pStyle w:val="CaseStudyText"/>
        <w:spacing w:after="360"/>
        <w:ind w:right="-2"/>
      </w:pPr>
      <w:r w:rsidRPr="004A3983">
        <w:t>On 9 July 2016 the NSW</w:t>
      </w:r>
      <w:r w:rsidR="00C3547C" w:rsidRPr="004A3983">
        <w:t xml:space="preserve"> Police Force</w:t>
      </w:r>
      <w:r w:rsidRPr="004A3983">
        <w:t xml:space="preserve"> wrote to Mr MM, informing him that </w:t>
      </w:r>
      <w:r w:rsidR="00DD7A1C" w:rsidRPr="004A3983">
        <w:t xml:space="preserve">his reporting period had been </w:t>
      </w:r>
      <w:r w:rsidRPr="004A3983">
        <w:t>inc</w:t>
      </w:r>
      <w:r w:rsidR="00DD7A1C" w:rsidRPr="004A3983">
        <w:t xml:space="preserve">orrectly </w:t>
      </w:r>
      <w:r w:rsidR="009C0D1D" w:rsidRPr="004A3983">
        <w:t>calculated</w:t>
      </w:r>
      <w:r w:rsidRPr="004A3983">
        <w:t xml:space="preserve"> in 2008, and that because he had been found guilty of two separate Class 2 offences, his reporting obligations under the CPOR Act would continue until 5</w:t>
      </w:r>
      <w:r w:rsidRPr="004A3983">
        <w:rPr>
          <w:vertAlign w:val="superscript"/>
        </w:rPr>
        <w:t xml:space="preserve"> </w:t>
      </w:r>
      <w:r w:rsidRPr="004A3983">
        <w:t>June 2023.</w:t>
      </w:r>
    </w:p>
    <w:p w14:paraId="1B5F476B" w14:textId="72FEDBCA" w:rsidR="00102EB9" w:rsidRPr="004A3983" w:rsidRDefault="00102EB9" w:rsidP="008F34A3">
      <w:pPr>
        <w:pStyle w:val="ExampleHeading"/>
      </w:pPr>
      <w:bookmarkStart w:id="642" w:name="_Toc10711477"/>
      <w:bookmarkStart w:id="643" w:name="_Toc21957548"/>
      <w:bookmarkStart w:id="644" w:name="_Toc22280915"/>
      <w:r w:rsidRPr="004A3983">
        <w:t xml:space="preserve">Example </w:t>
      </w:r>
      <w:r w:rsidR="00780B15" w:rsidRPr="004A3983">
        <w:t>5:</w:t>
      </w:r>
      <w:bookmarkEnd w:id="642"/>
      <w:bookmarkEnd w:id="643"/>
      <w:bookmarkEnd w:id="644"/>
    </w:p>
    <w:p w14:paraId="092D362B" w14:textId="68AC890C" w:rsidR="00102EB9" w:rsidRPr="004A3983" w:rsidRDefault="00102EB9" w:rsidP="00062C0B">
      <w:pPr>
        <w:pStyle w:val="CaseStudyText"/>
        <w:spacing w:after="160"/>
        <w:ind w:right="-2"/>
      </w:pPr>
      <w:r w:rsidRPr="004A3983">
        <w:t>In August 2008 Mr VV</w:t>
      </w:r>
      <w:r w:rsidR="00780B15" w:rsidRPr="004A3983">
        <w:rPr>
          <w:rStyle w:val="FootnoteReference"/>
          <w:sz w:val="20"/>
          <w:szCs w:val="20"/>
        </w:rPr>
        <w:footnoteReference w:id="666"/>
      </w:r>
      <w:r w:rsidRPr="004A3983">
        <w:t xml:space="preserve"> was convicted of two counts of indecent assault against a child under the age of 10 years</w:t>
      </w:r>
      <w:r w:rsidR="00CB099A" w:rsidRPr="004A3983">
        <w:t>, and was given a suspended sentence</w:t>
      </w:r>
      <w:r w:rsidRPr="004A3983">
        <w:t xml:space="preserve">. </w:t>
      </w:r>
    </w:p>
    <w:p w14:paraId="2811458F" w14:textId="28A1007B" w:rsidR="00102EB9" w:rsidRPr="004A3983" w:rsidRDefault="00102EB9" w:rsidP="00062C0B">
      <w:pPr>
        <w:pStyle w:val="CaseStudyText"/>
        <w:spacing w:after="160"/>
        <w:ind w:right="-2"/>
      </w:pPr>
      <w:r w:rsidRPr="004A3983">
        <w:t>It appears that the NSW</w:t>
      </w:r>
      <w:r w:rsidR="00C3547C" w:rsidRPr="004A3983">
        <w:t xml:space="preserve"> Police Force</w:t>
      </w:r>
      <w:r w:rsidRPr="004A3983">
        <w:t xml:space="preserve"> originally </w:t>
      </w:r>
      <w:r w:rsidR="00B51094" w:rsidRPr="004A3983">
        <w:t>calculated</w:t>
      </w:r>
      <w:r w:rsidRPr="004A3983">
        <w:t xml:space="preserve"> Mr VV</w:t>
      </w:r>
      <w:r w:rsidR="002B7F96" w:rsidRPr="004A3983">
        <w:t>’s reporting period to be</w:t>
      </w:r>
      <w:r w:rsidR="00182A34" w:rsidRPr="004A3983">
        <w:t xml:space="preserve"> eight</w:t>
      </w:r>
      <w:r w:rsidRPr="004A3983">
        <w:t xml:space="preserve"> years. However, Mr VV had committed two</w:t>
      </w:r>
      <w:r w:rsidR="00B51094" w:rsidRPr="004A3983">
        <w:t xml:space="preserve"> Class 2 offences;</w:t>
      </w:r>
      <w:r w:rsidR="00A812C7" w:rsidRPr="004A3983">
        <w:t xml:space="preserve"> although</w:t>
      </w:r>
      <w:r w:rsidRPr="004A3983">
        <w:t xml:space="preserve"> both offences had been committed against the same victim, they had been committed on two separate days, two weeks apart.</w:t>
      </w:r>
      <w:r w:rsidR="00182A34" w:rsidRPr="004A3983">
        <w:t xml:space="preserve"> These offences</w:t>
      </w:r>
      <w:r w:rsidRPr="004A3983">
        <w:t xml:space="preserve"> therefore did not meet the requirements in s 3(3) to be counted as a ‘single offence’ under s 14(4)(a). As he had committed two Class 2 offences, his correct reporting period was 15 years.</w:t>
      </w:r>
      <w:r w:rsidRPr="004A3983">
        <w:rPr>
          <w:rStyle w:val="FootnoteReference"/>
          <w:sz w:val="20"/>
          <w:szCs w:val="20"/>
        </w:rPr>
        <w:footnoteReference w:id="667"/>
      </w:r>
    </w:p>
    <w:p w14:paraId="39A638A5" w14:textId="02E0385C" w:rsidR="00102EB9" w:rsidRPr="004A3983" w:rsidRDefault="00102EB9" w:rsidP="00062C0B">
      <w:pPr>
        <w:pStyle w:val="CaseStudyText"/>
        <w:spacing w:after="360"/>
        <w:ind w:right="-2"/>
      </w:pPr>
      <w:r w:rsidRPr="004A3983">
        <w:t xml:space="preserve">In around June 2016, a few months prior to when </w:t>
      </w:r>
      <w:r w:rsidR="00B51094" w:rsidRPr="004A3983">
        <w:t>the</w:t>
      </w:r>
      <w:r w:rsidR="00CC41B2" w:rsidRPr="004A3983">
        <w:t xml:space="preserve"> r</w:t>
      </w:r>
      <w:r w:rsidR="00E57D17" w:rsidRPr="004A3983">
        <w:t>eporting period the</w:t>
      </w:r>
      <w:r w:rsidR="00CC41B2" w:rsidRPr="004A3983">
        <w:t xml:space="preserve"> </w:t>
      </w:r>
      <w:r w:rsidR="00E57D17" w:rsidRPr="004A3983">
        <w:t xml:space="preserve">NSW Police Force </w:t>
      </w:r>
      <w:r w:rsidR="00B51094" w:rsidRPr="004A3983">
        <w:t xml:space="preserve">had recorded for Mr VV </w:t>
      </w:r>
      <w:r w:rsidRPr="004A3983">
        <w:t>was due to expire, the NSW</w:t>
      </w:r>
      <w:r w:rsidR="00CC41B2" w:rsidRPr="004A3983">
        <w:t xml:space="preserve"> </w:t>
      </w:r>
      <w:r w:rsidRPr="004A3983">
        <w:t>P</w:t>
      </w:r>
      <w:r w:rsidR="00CC41B2" w:rsidRPr="004A3983">
        <w:t xml:space="preserve">olice </w:t>
      </w:r>
      <w:r w:rsidRPr="004A3983">
        <w:t>F</w:t>
      </w:r>
      <w:r w:rsidR="00CC41B2" w:rsidRPr="004A3983">
        <w:t>orce</w:t>
      </w:r>
      <w:r w:rsidRPr="004A3983">
        <w:t xml:space="preserve"> reviewed </w:t>
      </w:r>
      <w:r w:rsidR="00B51094" w:rsidRPr="004A3983">
        <w:t>his</w:t>
      </w:r>
      <w:r w:rsidRPr="004A3983">
        <w:t xml:space="preserve"> case and discovered the error. It recalculated his reporting period as</w:t>
      </w:r>
      <w:r w:rsidR="002E1093" w:rsidRPr="004A3983">
        <w:t xml:space="preserve"> ending in</w:t>
      </w:r>
      <w:r w:rsidRPr="004A3983">
        <w:t xml:space="preserve"> August 2023, and drafted a letter to send to Mr VV</w:t>
      </w:r>
      <w:r w:rsidR="002E1093" w:rsidRPr="004A3983">
        <w:t xml:space="preserve"> advising </w:t>
      </w:r>
      <w:r w:rsidR="00DA4550" w:rsidRPr="004A3983">
        <w:t xml:space="preserve">him </w:t>
      </w:r>
      <w:r w:rsidR="002E1093" w:rsidRPr="004A3983">
        <w:t>of the error and the</w:t>
      </w:r>
      <w:r w:rsidRPr="004A3983">
        <w:t xml:space="preserve"> new </w:t>
      </w:r>
      <w:r w:rsidR="002E1093" w:rsidRPr="004A3983">
        <w:t>date his reporting obligations would end</w:t>
      </w:r>
      <w:r w:rsidRPr="004A3983">
        <w:t>.</w:t>
      </w:r>
    </w:p>
    <w:p w14:paraId="4F344B0B" w14:textId="3C868683" w:rsidR="00102EB9" w:rsidRPr="004A3983" w:rsidRDefault="00481FA9" w:rsidP="00F84ADE">
      <w:pPr>
        <w:pStyle w:val="AppendixHeading2"/>
      </w:pPr>
      <w:bookmarkStart w:id="645" w:name="_Ref9929929"/>
      <w:bookmarkStart w:id="646" w:name="_Ref9929943"/>
      <w:bookmarkStart w:id="647" w:name="_Ref10037328"/>
      <w:bookmarkStart w:id="648" w:name="_Ref10037414"/>
      <w:bookmarkStart w:id="649" w:name="_Toc22627869"/>
      <w:r w:rsidRPr="004A3983">
        <w:t xml:space="preserve">Particular issues </w:t>
      </w:r>
      <w:r w:rsidRPr="00F84ADE">
        <w:t>with</w:t>
      </w:r>
      <w:r w:rsidRPr="004A3983">
        <w:t xml:space="preserve"> counting </w:t>
      </w:r>
      <w:r w:rsidR="005B5C68" w:rsidRPr="004A3983">
        <w:t>CAM</w:t>
      </w:r>
      <w:r w:rsidRPr="004A3983">
        <w:t xml:space="preserve"> offences</w:t>
      </w:r>
      <w:bookmarkEnd w:id="645"/>
      <w:bookmarkEnd w:id="646"/>
      <w:bookmarkEnd w:id="647"/>
      <w:bookmarkEnd w:id="648"/>
      <w:bookmarkEnd w:id="649"/>
    </w:p>
    <w:p w14:paraId="4044FD20" w14:textId="4A17BBE5" w:rsidR="00481FA9" w:rsidRPr="004A3983" w:rsidRDefault="00481FA9" w:rsidP="00062C0B">
      <w:pPr>
        <w:spacing w:after="160"/>
        <w:ind w:right="-2"/>
      </w:pPr>
      <w:r w:rsidRPr="004A3983">
        <w:t>Calculating reporting periods for persons convicted of CAM offences is particularly difficult, given the need to apply the test in s 3(3) for grouping offences ‘arisin</w:t>
      </w:r>
      <w:r w:rsidR="005B5C68" w:rsidRPr="004A3983">
        <w:t xml:space="preserve">g out of the same incident’ </w:t>
      </w:r>
      <w:r w:rsidR="00566E39" w:rsidRPr="004A3983">
        <w:t>to those offences</w:t>
      </w:r>
      <w:r w:rsidR="00F03D64" w:rsidRPr="004A3983">
        <w:t>. As</w:t>
      </w:r>
      <w:r w:rsidR="00566E39" w:rsidRPr="004A3983">
        <w:t xml:space="preserve"> </w:t>
      </w:r>
      <w:r w:rsidRPr="004A3983">
        <w:t xml:space="preserve">discussed in </w:t>
      </w:r>
      <w:r w:rsidR="00891CEC" w:rsidRPr="004A3983">
        <w:t xml:space="preserve">part </w:t>
      </w:r>
      <w:r w:rsidR="00891CEC" w:rsidRPr="004A3983">
        <w:fldChar w:fldCharType="begin"/>
      </w:r>
      <w:r w:rsidR="00891CEC" w:rsidRPr="004A3983">
        <w:instrText xml:space="preserve"> REF _Ref10043066 \r \h  \* MERGEFORMAT </w:instrText>
      </w:r>
      <w:r w:rsidR="00891CEC" w:rsidRPr="004A3983">
        <w:fldChar w:fldCharType="separate"/>
      </w:r>
      <w:r w:rsidR="00022664">
        <w:rPr>
          <w:rFonts w:hint="cs"/>
          <w:cs/>
        </w:rPr>
        <w:t>‎</w:t>
      </w:r>
      <w:r w:rsidR="00022664">
        <w:t>4.2</w:t>
      </w:r>
      <w:r w:rsidR="00891CEC" w:rsidRPr="004A3983">
        <w:fldChar w:fldCharType="end"/>
      </w:r>
      <w:r w:rsidR="00F03D64" w:rsidRPr="004A3983">
        <w:t>, this can be a very challenging exercise</w:t>
      </w:r>
      <w:r w:rsidRPr="004A3983">
        <w:t xml:space="preserve">. </w:t>
      </w:r>
    </w:p>
    <w:p w14:paraId="31AF822D" w14:textId="55D90D2C" w:rsidR="00481FA9" w:rsidRPr="004A3983" w:rsidRDefault="00F02C7C" w:rsidP="00062C0B">
      <w:pPr>
        <w:spacing w:after="160"/>
        <w:ind w:right="-2"/>
      </w:pPr>
      <w:r w:rsidRPr="004A3983">
        <w:t xml:space="preserve">The </w:t>
      </w:r>
      <w:r w:rsidR="00ED2747" w:rsidRPr="004A3983">
        <w:t xml:space="preserve">team that conducted the NSW Police Force </w:t>
      </w:r>
      <w:r w:rsidRPr="004A3983">
        <w:t>CPR case r</w:t>
      </w:r>
      <w:r w:rsidR="00481FA9" w:rsidRPr="004A3983">
        <w:t xml:space="preserve">eview reported </w:t>
      </w:r>
      <w:r w:rsidR="00ED2747" w:rsidRPr="004A3983">
        <w:t>in December 2017</w:t>
      </w:r>
      <w:r w:rsidR="00481FA9" w:rsidRPr="004A3983">
        <w:t xml:space="preserve"> there were 140 persons who had been put on the Register for possessing, disseminating or producing </w:t>
      </w:r>
      <w:r w:rsidR="00EA2B59" w:rsidRPr="004A3983">
        <w:t>CAM</w:t>
      </w:r>
      <w:r w:rsidR="00481FA9" w:rsidRPr="004A3983">
        <w:t>, but were recorded as having</w:t>
      </w:r>
      <w:r w:rsidR="00F52E10" w:rsidRPr="004A3983">
        <w:t xml:space="preserve"> finished their reporting obligations</w:t>
      </w:r>
      <w:r w:rsidR="00EA2B59" w:rsidRPr="004A3983">
        <w:t>. The r</w:t>
      </w:r>
      <w:r w:rsidR="00481FA9" w:rsidRPr="004A3983">
        <w:t xml:space="preserve">eview team found that </w:t>
      </w:r>
      <w:r w:rsidR="00E921D6" w:rsidRPr="004A3983">
        <w:t xml:space="preserve">for </w:t>
      </w:r>
      <w:r w:rsidR="00481FA9" w:rsidRPr="004A3983">
        <w:t xml:space="preserve">41 of those </w:t>
      </w:r>
      <w:r w:rsidR="00E35F25" w:rsidRPr="004A3983">
        <w:t>persons</w:t>
      </w:r>
      <w:r w:rsidR="002B2E07" w:rsidRPr="004A3983">
        <w:t>,</w:t>
      </w:r>
      <w:r w:rsidR="00481FA9" w:rsidRPr="004A3983">
        <w:t xml:space="preserve"> </w:t>
      </w:r>
      <w:r w:rsidR="002B2E07" w:rsidRPr="004A3983">
        <w:t>the NSW Police Force had</w:t>
      </w:r>
      <w:r w:rsidR="00E921D6" w:rsidRPr="004A3983">
        <w:t xml:space="preserve"> </w:t>
      </w:r>
      <w:r w:rsidR="00EA2B59" w:rsidRPr="004A3983">
        <w:t xml:space="preserve">calculated </w:t>
      </w:r>
      <w:r w:rsidR="00E921D6" w:rsidRPr="004A3983">
        <w:t>their reporting period</w:t>
      </w:r>
      <w:r w:rsidR="00912EA6" w:rsidRPr="004A3983">
        <w:t xml:space="preserve"> to be eight</w:t>
      </w:r>
      <w:r w:rsidR="00E921D6" w:rsidRPr="004A3983">
        <w:t xml:space="preserve"> years</w:t>
      </w:r>
      <w:r w:rsidR="00481FA9" w:rsidRPr="004A3983">
        <w:t xml:space="preserve">, when </w:t>
      </w:r>
      <w:r w:rsidR="00E921D6" w:rsidRPr="004A3983">
        <w:t>in fact their</w:t>
      </w:r>
      <w:r w:rsidR="00481FA9" w:rsidRPr="004A3983">
        <w:t xml:space="preserve"> reporting period</w:t>
      </w:r>
      <w:r w:rsidR="006C7CEA" w:rsidRPr="004A3983">
        <w:t>s</w:t>
      </w:r>
      <w:r w:rsidR="00481FA9" w:rsidRPr="004A3983">
        <w:t xml:space="preserve"> </w:t>
      </w:r>
      <w:r w:rsidR="00E921D6" w:rsidRPr="004A3983">
        <w:t xml:space="preserve">under the CPOR Act </w:t>
      </w:r>
      <w:r w:rsidR="00804794" w:rsidRPr="004A3983">
        <w:t>was</w:t>
      </w:r>
      <w:r w:rsidR="00481FA9" w:rsidRPr="004A3983">
        <w:t xml:space="preserve"> 15 years. Th</w:t>
      </w:r>
      <w:r w:rsidR="00E35F25" w:rsidRPr="004A3983">
        <w:t>e cases of th</w:t>
      </w:r>
      <w:r w:rsidR="00481FA9" w:rsidRPr="004A3983">
        <w:t xml:space="preserve">ose persons should </w:t>
      </w:r>
      <w:r w:rsidR="00FE3AE0" w:rsidRPr="004A3983">
        <w:t>not therefore have been finalised</w:t>
      </w:r>
      <w:r w:rsidR="00481FA9" w:rsidRPr="004A3983">
        <w:t>.</w:t>
      </w:r>
      <w:r w:rsidR="00481FA9" w:rsidRPr="004A3983">
        <w:rPr>
          <w:rStyle w:val="FootnoteReference"/>
        </w:rPr>
        <w:footnoteReference w:id="668"/>
      </w:r>
      <w:r w:rsidR="00481FA9" w:rsidRPr="004A3983">
        <w:t xml:space="preserve"> </w:t>
      </w:r>
    </w:p>
    <w:p w14:paraId="3521D21D" w14:textId="321260E5" w:rsidR="00481FA9" w:rsidRPr="004A3983" w:rsidRDefault="00A375F9" w:rsidP="00062C0B">
      <w:pPr>
        <w:spacing w:after="160"/>
        <w:ind w:right="-2"/>
      </w:pPr>
      <w:r w:rsidRPr="004A3983">
        <w:t>The CPR case r</w:t>
      </w:r>
      <w:r w:rsidR="00481FA9" w:rsidRPr="004A3983">
        <w:t xml:space="preserve">eview stated that a full review would be conducted </w:t>
      </w:r>
      <w:r w:rsidR="00A83C62" w:rsidRPr="004A3983">
        <w:t>of those 41 cases, including re</w:t>
      </w:r>
      <w:r w:rsidR="00481FA9" w:rsidRPr="004A3983">
        <w:t>opening of cases, and correction of reporting periods.</w:t>
      </w:r>
    </w:p>
    <w:p w14:paraId="6D866D3C" w14:textId="48FA3DBC" w:rsidR="00481FA9" w:rsidRPr="004A3983" w:rsidRDefault="00481FA9" w:rsidP="00062C0B">
      <w:pPr>
        <w:spacing w:after="160"/>
        <w:ind w:right="-2"/>
      </w:pPr>
      <w:r w:rsidRPr="004A3983">
        <w:lastRenderedPageBreak/>
        <w:t>The difficulties involved in interpreting and applying s 3(3) so as to correctly group CAM offences for the purpose of calculating reportin</w:t>
      </w:r>
      <w:r w:rsidR="007F22B9" w:rsidRPr="004A3983">
        <w:t>g periods are illustrated by</w:t>
      </w:r>
      <w:r w:rsidRPr="004A3983">
        <w:t xml:space="preserve"> </w:t>
      </w:r>
      <w:r w:rsidR="0030288A" w:rsidRPr="004A3983">
        <w:t>Example</w:t>
      </w:r>
      <w:r w:rsidRPr="004A3983">
        <w:t>s 6 and 7.</w:t>
      </w:r>
    </w:p>
    <w:p w14:paraId="514DB4CB" w14:textId="0D4ACEEE" w:rsidR="00481FA9" w:rsidRPr="004A3983" w:rsidRDefault="00481FA9" w:rsidP="008F34A3">
      <w:pPr>
        <w:pStyle w:val="ExampleHeading"/>
      </w:pPr>
      <w:bookmarkStart w:id="650" w:name="_Toc10711478"/>
      <w:bookmarkStart w:id="651" w:name="_Toc21957549"/>
      <w:bookmarkStart w:id="652" w:name="_Toc22280916"/>
      <w:r w:rsidRPr="004A3983">
        <w:t>Example 6:</w:t>
      </w:r>
      <w:bookmarkEnd w:id="650"/>
      <w:bookmarkEnd w:id="651"/>
      <w:bookmarkEnd w:id="652"/>
      <w:r w:rsidRPr="004A3983">
        <w:t xml:space="preserve"> </w:t>
      </w:r>
    </w:p>
    <w:p w14:paraId="2D1DA47E" w14:textId="37C37891" w:rsidR="00481FA9" w:rsidRPr="004A3983" w:rsidRDefault="00481FA9" w:rsidP="00062C0B">
      <w:pPr>
        <w:pStyle w:val="CaseStudyText"/>
        <w:spacing w:after="160"/>
        <w:ind w:right="-2"/>
      </w:pPr>
      <w:r w:rsidRPr="004A3983">
        <w:t>In May 2004 Mr WW</w:t>
      </w:r>
      <w:r w:rsidRPr="004A3983">
        <w:rPr>
          <w:rStyle w:val="FootnoteReference"/>
          <w:sz w:val="20"/>
          <w:szCs w:val="20"/>
        </w:rPr>
        <w:footnoteReference w:id="669"/>
      </w:r>
      <w:r w:rsidRPr="004A3983">
        <w:t xml:space="preserve"> was convicted of six offences of possessing child pornography, and was given a $2000 fine and a 12 month suspended sentence.</w:t>
      </w:r>
      <w:r w:rsidR="00F4614B" w:rsidRPr="004A3983">
        <w:t xml:space="preserve"> </w:t>
      </w:r>
    </w:p>
    <w:p w14:paraId="653C39F5" w14:textId="4348AD37" w:rsidR="00481FA9" w:rsidRPr="004A3983" w:rsidRDefault="00481FA9" w:rsidP="00062C0B">
      <w:pPr>
        <w:pStyle w:val="CaseStudyText"/>
        <w:spacing w:after="160"/>
        <w:ind w:right="-2"/>
        <w:rPr>
          <w:vertAlign w:val="superscript"/>
        </w:rPr>
      </w:pPr>
      <w:r w:rsidRPr="004A3983">
        <w:t>The NSW</w:t>
      </w:r>
      <w:r w:rsidR="00C3547C" w:rsidRPr="004A3983">
        <w:t xml:space="preserve"> Police Force</w:t>
      </w:r>
      <w:r w:rsidRPr="004A3983">
        <w:t xml:space="preserve"> determined Mr WW was </w:t>
      </w:r>
      <w:r w:rsidR="005C49B1" w:rsidRPr="004A3983">
        <w:t xml:space="preserve">a </w:t>
      </w:r>
      <w:r w:rsidRPr="004A3983">
        <w:t>registrable</w:t>
      </w:r>
      <w:r w:rsidR="005C49B1" w:rsidRPr="004A3983">
        <w:t xml:space="preserve"> person under the CPOR Act</w:t>
      </w:r>
      <w:r w:rsidRPr="004A3983">
        <w:t>, and calculated his</w:t>
      </w:r>
      <w:r w:rsidRPr="004A3983">
        <w:rPr>
          <w:rStyle w:val="FootnoteReference"/>
          <w:rFonts w:cs="Arial"/>
          <w:sz w:val="20"/>
          <w:szCs w:val="20"/>
        </w:rPr>
        <w:t xml:space="preserve"> </w:t>
      </w:r>
      <w:r w:rsidR="00876DD7" w:rsidRPr="004A3983">
        <w:t>reporting period to be</w:t>
      </w:r>
      <w:r w:rsidRPr="004A3983">
        <w:t xml:space="preserve"> 12 years (for multiple Class 2 offences), ending in 2016.</w:t>
      </w:r>
      <w:r w:rsidRPr="004A3983">
        <w:rPr>
          <w:rStyle w:val="FootnoteReference"/>
          <w:rFonts w:cs="Arial"/>
          <w:sz w:val="20"/>
          <w:szCs w:val="20"/>
        </w:rPr>
        <w:footnoteReference w:id="670"/>
      </w:r>
      <w:r w:rsidRPr="004A3983">
        <w:rPr>
          <w:rStyle w:val="FootnoteReference"/>
          <w:rFonts w:cs="Arial"/>
          <w:sz w:val="20"/>
          <w:szCs w:val="20"/>
        </w:rPr>
        <w:t xml:space="preserve"> </w:t>
      </w:r>
    </w:p>
    <w:p w14:paraId="52885115" w14:textId="507C36B5" w:rsidR="00481FA9" w:rsidRPr="004A3983" w:rsidRDefault="00481FA9" w:rsidP="00062C0B">
      <w:pPr>
        <w:pStyle w:val="CaseStudyText"/>
        <w:spacing w:after="160"/>
        <w:ind w:right="-2"/>
      </w:pPr>
      <w:r w:rsidRPr="004A3983">
        <w:t>In May 2016 the NSW</w:t>
      </w:r>
      <w:r w:rsidR="00C3547C" w:rsidRPr="004A3983">
        <w:t xml:space="preserve"> Police Force</w:t>
      </w:r>
      <w:r w:rsidRPr="004A3983">
        <w:t xml:space="preserve"> reviewed Mr WW</w:t>
      </w:r>
      <w:r w:rsidR="006070B9" w:rsidRPr="004A3983">
        <w:t>’s case</w:t>
      </w:r>
      <w:r w:rsidRPr="004A3983">
        <w:t xml:space="preserve"> and realised that the time of ‘possession’ listed for all </w:t>
      </w:r>
      <w:r w:rsidR="00876DD7" w:rsidRPr="004A3983">
        <w:t xml:space="preserve">of the offences for which he had been convicted </w:t>
      </w:r>
      <w:r w:rsidRPr="004A3983">
        <w:t>was the t</w:t>
      </w:r>
      <w:r w:rsidR="009A0D2A" w:rsidRPr="004A3983">
        <w:t xml:space="preserve">wo hour period during which </w:t>
      </w:r>
      <w:r w:rsidR="00A715E0" w:rsidRPr="004A3983">
        <w:t>police officers</w:t>
      </w:r>
      <w:r w:rsidRPr="004A3983">
        <w:t xml:space="preserve"> </w:t>
      </w:r>
      <w:r w:rsidR="00A715E0" w:rsidRPr="004A3983">
        <w:t xml:space="preserve">had </w:t>
      </w:r>
      <w:r w:rsidRPr="004A3983">
        <w:t>searched his computer in 2003. Therefore, based on the way the NSW</w:t>
      </w:r>
      <w:r w:rsidR="00C3547C" w:rsidRPr="004A3983">
        <w:t xml:space="preserve"> Police Force</w:t>
      </w:r>
      <w:r w:rsidRPr="004A3983">
        <w:t xml:space="preserve"> had particularised his charges, all of the offences had been ‘committed’ within a single 24 hour period. </w:t>
      </w:r>
    </w:p>
    <w:p w14:paraId="529B6DBE" w14:textId="3D0937E8" w:rsidR="00481FA9" w:rsidRPr="004A3983" w:rsidRDefault="00481FA9" w:rsidP="00062C0B">
      <w:pPr>
        <w:pStyle w:val="CaseStudyText"/>
        <w:spacing w:after="160"/>
        <w:ind w:right="-2"/>
      </w:pPr>
      <w:r w:rsidRPr="004A3983">
        <w:t>The NSW</w:t>
      </w:r>
      <w:r w:rsidR="00C3547C" w:rsidRPr="004A3983">
        <w:t xml:space="preserve"> Police Force</w:t>
      </w:r>
      <w:r w:rsidRPr="004A3983">
        <w:t xml:space="preserve"> appeared to conclude </w:t>
      </w:r>
      <w:r w:rsidR="00DB1343" w:rsidRPr="004A3983">
        <w:t xml:space="preserve">in 2016 </w:t>
      </w:r>
      <w:r w:rsidRPr="004A3983">
        <w:t xml:space="preserve">that all six of his offences </w:t>
      </w:r>
      <w:r w:rsidR="00882037" w:rsidRPr="004A3983">
        <w:t>met the test in</w:t>
      </w:r>
      <w:r w:rsidRPr="004A3983">
        <w:t xml:space="preserve"> s </w:t>
      </w:r>
      <w:r w:rsidR="00882037" w:rsidRPr="004A3983">
        <w:t>3(3) of the CPOR Act to be counted</w:t>
      </w:r>
      <w:r w:rsidRPr="004A3983">
        <w:t xml:space="preserve"> as ‘arising from the same incident’ for the purposes of calculating his reporting period. However, it is apparent from the charge sheets that there were multiple child</w:t>
      </w:r>
      <w:r w:rsidR="00F164F0" w:rsidRPr="004A3983">
        <w:t>ren depicted in the material that he had in his possession</w:t>
      </w:r>
      <w:r w:rsidRPr="004A3983">
        <w:t>. It appears therefore that the NSW</w:t>
      </w:r>
      <w:r w:rsidR="00C3547C" w:rsidRPr="004A3983">
        <w:t xml:space="preserve"> Police Force</w:t>
      </w:r>
      <w:r w:rsidRPr="004A3983">
        <w:t xml:space="preserve"> </w:t>
      </w:r>
      <w:r w:rsidR="00882037" w:rsidRPr="004A3983">
        <w:t xml:space="preserve">either </w:t>
      </w:r>
      <w:r w:rsidRPr="004A3983">
        <w:t xml:space="preserve">proceeded on the assumption that the requirement in s 3(3) that offences be ‘committed against the same person’ did not </w:t>
      </w:r>
      <w:r w:rsidR="00146E6C" w:rsidRPr="004A3983">
        <w:t xml:space="preserve">need to be satisfied </w:t>
      </w:r>
      <w:r w:rsidR="00882037" w:rsidRPr="004A3983">
        <w:t xml:space="preserve">(because it could have no application) </w:t>
      </w:r>
      <w:r w:rsidRPr="004A3983">
        <w:t>in the case of Mr WW’s possession offences</w:t>
      </w:r>
      <w:r w:rsidR="00882037" w:rsidRPr="004A3983">
        <w:t>, or erroneously concluded that it had been satisfied in his case</w:t>
      </w:r>
      <w:r w:rsidRPr="004A3983">
        <w:t>.</w:t>
      </w:r>
    </w:p>
    <w:p w14:paraId="2FCDE712" w14:textId="22B1A457" w:rsidR="00481FA9" w:rsidRPr="004A3983" w:rsidRDefault="00481FA9" w:rsidP="00062C0B">
      <w:pPr>
        <w:pStyle w:val="CaseStudyText"/>
        <w:spacing w:after="160"/>
        <w:ind w:right="-2"/>
      </w:pPr>
      <w:r w:rsidRPr="004A3983">
        <w:t>On this basis, the NSW</w:t>
      </w:r>
      <w:r w:rsidR="00C3547C" w:rsidRPr="004A3983">
        <w:t xml:space="preserve"> Police Force</w:t>
      </w:r>
      <w:r w:rsidRPr="004A3983">
        <w:t xml:space="preserve"> concluded in 2016 that </w:t>
      </w:r>
      <w:r w:rsidR="00220737" w:rsidRPr="004A3983">
        <w:t>s 3(3) applied to Mr</w:t>
      </w:r>
      <w:r w:rsidR="008F34A3">
        <w:t> </w:t>
      </w:r>
      <w:r w:rsidR="00220737" w:rsidRPr="004A3983">
        <w:t xml:space="preserve">WW’s possession offences, and therefore his </w:t>
      </w:r>
      <w:r w:rsidR="00CE459A" w:rsidRPr="004A3983">
        <w:t>reporting period</w:t>
      </w:r>
      <w:r w:rsidRPr="004A3983">
        <w:t xml:space="preserve"> </w:t>
      </w:r>
      <w:r w:rsidR="00CE459A" w:rsidRPr="004A3983">
        <w:t>under the CPOR Act had been</w:t>
      </w:r>
      <w:r w:rsidR="00804D24" w:rsidRPr="004A3983">
        <w:t xml:space="preserve"> eight</w:t>
      </w:r>
      <w:r w:rsidR="00CD3AF1" w:rsidRPr="004A3983">
        <w:t xml:space="preserve"> years,</w:t>
      </w:r>
      <w:r w:rsidRPr="004A3983">
        <w:t xml:space="preserve"> and his reporting period therefore had ended on 31</w:t>
      </w:r>
      <w:r w:rsidR="008F34A3">
        <w:t> </w:t>
      </w:r>
      <w:r w:rsidRPr="004A3983">
        <w:t>May</w:t>
      </w:r>
      <w:r w:rsidR="008F34A3">
        <w:t> </w:t>
      </w:r>
      <w:r w:rsidRPr="004A3983">
        <w:t xml:space="preserve">2012. </w:t>
      </w:r>
    </w:p>
    <w:p w14:paraId="0926573D" w14:textId="4D19F24D" w:rsidR="00481FA9" w:rsidRPr="004A3983" w:rsidRDefault="00481FA9" w:rsidP="00062C0B">
      <w:pPr>
        <w:pStyle w:val="CaseStudyText"/>
        <w:spacing w:after="160"/>
        <w:ind w:right="-2"/>
      </w:pPr>
      <w:r w:rsidRPr="004A3983">
        <w:t>However, in June 2018 Latham J handed down a decision of the Supreme Court in relation to the application of s 3(3) of the CPOR Act to CAM offences (</w:t>
      </w:r>
      <w:r w:rsidR="006005D0" w:rsidRPr="004A3983">
        <w:t>the</w:t>
      </w:r>
      <w:r w:rsidRPr="004A3983">
        <w:t xml:space="preserve"> case</w:t>
      </w:r>
      <w:r w:rsidR="00C017E4" w:rsidRPr="004A3983">
        <w:t xml:space="preserve"> </w:t>
      </w:r>
      <w:r w:rsidRPr="004A3983">
        <w:t>involved one offence of possession and one offence of dissemination of the same material</w:t>
      </w:r>
      <w:r w:rsidR="00FE2CB0" w:rsidRPr="004A3983">
        <w:t>, which pictured</w:t>
      </w:r>
      <w:r w:rsidRPr="004A3983">
        <w:t xml:space="preserve"> one girl). Her Honour concluded in that case that </w:t>
      </w:r>
      <w:r w:rsidR="007510A9" w:rsidRPr="004A3983">
        <w:t>the person that</w:t>
      </w:r>
      <w:r w:rsidRPr="004A3983">
        <w:t xml:space="preserve"> both the possession offence and the dissemination offence were ‘committed against’ for the purpose of s 3(3) was the girl pictured in the material.</w:t>
      </w:r>
      <w:r w:rsidRPr="004A3983">
        <w:rPr>
          <w:rStyle w:val="FootnoteReference"/>
          <w:rFonts w:cs="Arial"/>
          <w:sz w:val="20"/>
          <w:szCs w:val="20"/>
        </w:rPr>
        <w:footnoteReference w:id="671"/>
      </w:r>
      <w:r w:rsidRPr="004A3983">
        <w:t xml:space="preserve"> </w:t>
      </w:r>
    </w:p>
    <w:p w14:paraId="7B41F181" w14:textId="0C90746A" w:rsidR="00481FA9" w:rsidRPr="004A3983" w:rsidRDefault="00481FA9" w:rsidP="00062C0B">
      <w:pPr>
        <w:pStyle w:val="CaseStudyText"/>
        <w:spacing w:after="360"/>
        <w:ind w:right="-2"/>
      </w:pPr>
      <w:r w:rsidRPr="004A3983">
        <w:t xml:space="preserve">If this interpretation of s 3(3) is applied to Mr WW’s case, then in fact the </w:t>
      </w:r>
      <w:r w:rsidR="003B3089" w:rsidRPr="004A3983">
        <w:t>original decision by the NSW Police Force</w:t>
      </w:r>
      <w:r w:rsidR="00B8496C" w:rsidRPr="004A3983">
        <w:t xml:space="preserve"> </w:t>
      </w:r>
      <w:r w:rsidR="003B3089" w:rsidRPr="004A3983">
        <w:t xml:space="preserve">that Mr WW’s </w:t>
      </w:r>
      <w:r w:rsidRPr="004A3983">
        <w:t xml:space="preserve">reporting period </w:t>
      </w:r>
      <w:r w:rsidR="003B3089" w:rsidRPr="004A3983">
        <w:t xml:space="preserve">was 12 years </w:t>
      </w:r>
      <w:r w:rsidRPr="004A3983">
        <w:t xml:space="preserve">was correct, as the material </w:t>
      </w:r>
      <w:r w:rsidR="00415DA8" w:rsidRPr="004A3983">
        <w:t>he had possessed</w:t>
      </w:r>
      <w:r w:rsidRPr="004A3983">
        <w:t xml:space="preserve"> depicted multiple children. </w:t>
      </w:r>
      <w:r w:rsidRPr="004A3983">
        <w:lastRenderedPageBreak/>
        <w:t xml:space="preserve">Therefore his offences were not committed ‘against the same person’ </w:t>
      </w:r>
      <w:r w:rsidR="003B3089" w:rsidRPr="004A3983">
        <w:t>and so did not ‘aris[e]</w:t>
      </w:r>
      <w:r w:rsidRPr="004A3983">
        <w:t xml:space="preserve"> from the same incident’</w:t>
      </w:r>
      <w:r w:rsidR="00836E32" w:rsidRPr="004A3983">
        <w:t xml:space="preserve">, and </w:t>
      </w:r>
      <w:r w:rsidR="003B3089" w:rsidRPr="004A3983">
        <w:t xml:space="preserve">therefore </w:t>
      </w:r>
      <w:r w:rsidR="00836E32" w:rsidRPr="004A3983">
        <w:t>should have been counted as multiple offences when calculating his reporting period</w:t>
      </w:r>
      <w:r w:rsidRPr="004A3983">
        <w:t>.</w:t>
      </w:r>
    </w:p>
    <w:p w14:paraId="2BDAE297" w14:textId="3C4ED05D" w:rsidR="00481FA9" w:rsidRPr="004A3983" w:rsidRDefault="00481FA9" w:rsidP="008F34A3">
      <w:pPr>
        <w:pStyle w:val="ExampleHeading"/>
      </w:pPr>
      <w:bookmarkStart w:id="653" w:name="_Toc10711479"/>
      <w:bookmarkStart w:id="654" w:name="_Toc21957550"/>
      <w:bookmarkStart w:id="655" w:name="_Toc22280917"/>
      <w:r w:rsidRPr="004A3983">
        <w:t>Example 7:</w:t>
      </w:r>
      <w:bookmarkEnd w:id="653"/>
      <w:bookmarkEnd w:id="654"/>
      <w:bookmarkEnd w:id="655"/>
    </w:p>
    <w:p w14:paraId="07339719" w14:textId="14E2F46C" w:rsidR="00481FA9" w:rsidRPr="004A3983" w:rsidRDefault="00481FA9" w:rsidP="00062C0B">
      <w:pPr>
        <w:pStyle w:val="CaseStudyText"/>
        <w:spacing w:after="160"/>
        <w:ind w:right="-2"/>
      </w:pPr>
      <w:r w:rsidRPr="004A3983">
        <w:rPr>
          <w:rFonts w:cs="Arial"/>
        </w:rPr>
        <w:t>In 2008 Mr PP</w:t>
      </w:r>
      <w:r w:rsidRPr="004A3983">
        <w:rPr>
          <w:rStyle w:val="FootnoteReference"/>
          <w:rFonts w:cs="Arial"/>
          <w:sz w:val="20"/>
          <w:szCs w:val="20"/>
        </w:rPr>
        <w:footnoteReference w:id="672"/>
      </w:r>
      <w:r w:rsidRPr="004A3983">
        <w:rPr>
          <w:rFonts w:cs="Arial"/>
        </w:rPr>
        <w:t xml:space="preserve"> was convicted of </w:t>
      </w:r>
      <w:r w:rsidRPr="004A3983">
        <w:t>one count of producing child pornography and one count of possessing child pornography. Both offences related to the same video footage of a 14 year old girl, whi</w:t>
      </w:r>
      <w:r w:rsidR="001F4487" w:rsidRPr="004A3983">
        <w:t>ch Mr PP had taped on 1 May and kept until 11 May</w:t>
      </w:r>
      <w:r w:rsidR="00682A65" w:rsidRPr="004A3983">
        <w:t>,</w:t>
      </w:r>
      <w:r w:rsidRPr="004A3983">
        <w:t xml:space="preserve"> when the NSW</w:t>
      </w:r>
      <w:r w:rsidR="00C3547C" w:rsidRPr="004A3983">
        <w:t xml:space="preserve"> Police Force</w:t>
      </w:r>
      <w:r w:rsidRPr="004A3983">
        <w:t xml:space="preserve"> found it in his home. The date listed on the charge sheet for the prod</w:t>
      </w:r>
      <w:r w:rsidR="001F4487" w:rsidRPr="004A3983">
        <w:t>uction offence was 1 May</w:t>
      </w:r>
      <w:r w:rsidRPr="004A3983">
        <w:t>, and the date for the possession offence was 11 May.</w:t>
      </w:r>
      <w:r w:rsidRPr="004A3983">
        <w:rPr>
          <w:rStyle w:val="FootnoteReference"/>
          <w:sz w:val="20"/>
          <w:szCs w:val="20"/>
        </w:rPr>
        <w:t xml:space="preserve"> </w:t>
      </w:r>
    </w:p>
    <w:p w14:paraId="61383E32" w14:textId="2A782677" w:rsidR="00481FA9" w:rsidRPr="004A3983" w:rsidRDefault="00481FA9" w:rsidP="00062C0B">
      <w:pPr>
        <w:pStyle w:val="CaseStudyText"/>
        <w:spacing w:after="160"/>
        <w:ind w:right="-2"/>
      </w:pPr>
      <w:r w:rsidRPr="004A3983">
        <w:t>Mr PP was given a four month suspended sentence and a three year good behaviour bond. As producing and possessing child pornography are both Class 2 offences, the NSW</w:t>
      </w:r>
      <w:r w:rsidR="00C3547C" w:rsidRPr="004A3983">
        <w:t xml:space="preserve"> Police Force</w:t>
      </w:r>
      <w:r w:rsidRPr="004A3983">
        <w:t xml:space="preserve"> determined that Mr PP was a registrable person, and calc</w:t>
      </w:r>
      <w:r w:rsidR="00E46999" w:rsidRPr="004A3983">
        <w:t>ulated his reporting period to be</w:t>
      </w:r>
      <w:r w:rsidR="00980341" w:rsidRPr="004A3983">
        <w:t xml:space="preserve"> eight</w:t>
      </w:r>
      <w:r w:rsidRPr="004A3983">
        <w:t xml:space="preserve"> years. </w:t>
      </w:r>
    </w:p>
    <w:p w14:paraId="169A3991" w14:textId="1DE1CAD1" w:rsidR="00481FA9" w:rsidRPr="004A3983" w:rsidRDefault="00481FA9" w:rsidP="00062C0B">
      <w:pPr>
        <w:pStyle w:val="CaseStudyText"/>
        <w:spacing w:after="160"/>
        <w:ind w:right="-2"/>
      </w:pPr>
      <w:r w:rsidRPr="004A3983">
        <w:t>In December 2017 the NSW</w:t>
      </w:r>
      <w:r w:rsidR="00C3547C" w:rsidRPr="004A3983">
        <w:t xml:space="preserve"> Police Force</w:t>
      </w:r>
      <w:r w:rsidRPr="004A3983">
        <w:t xml:space="preserve"> reviewed Mr PP</w:t>
      </w:r>
      <w:r w:rsidR="00DE6D46" w:rsidRPr="004A3983">
        <w:t>’s case, and concluded</w:t>
      </w:r>
      <w:r w:rsidRPr="004A3983">
        <w:t xml:space="preserve"> that as he had been convicted of two Class 2 offences on two different dates, </w:t>
      </w:r>
      <w:r w:rsidR="00B12AF4" w:rsidRPr="004A3983">
        <w:t>his reporting period was in fact 15 years</w:t>
      </w:r>
      <w:r w:rsidR="00236E9A" w:rsidRPr="004A3983">
        <w:t>.</w:t>
      </w:r>
      <w:r w:rsidRPr="004A3983">
        <w:t xml:space="preserve"> </w:t>
      </w:r>
      <w:r w:rsidR="00FD37FC" w:rsidRPr="004A3983">
        <w:t>T</w:t>
      </w:r>
      <w:r w:rsidRPr="004A3983">
        <w:t>he NSW</w:t>
      </w:r>
      <w:r w:rsidR="00C3547C" w:rsidRPr="004A3983">
        <w:t xml:space="preserve"> Police Force</w:t>
      </w:r>
      <w:r w:rsidRPr="004A3983">
        <w:t xml:space="preserve"> wrote to Mr PP informing him that his reporting period had </w:t>
      </w:r>
      <w:r w:rsidR="00FD37FC" w:rsidRPr="004A3983">
        <w:t>initially been</w:t>
      </w:r>
      <w:r w:rsidRPr="004A3983">
        <w:t xml:space="preserve"> incorrectly </w:t>
      </w:r>
      <w:r w:rsidR="00FD37FC" w:rsidRPr="004A3983">
        <w:t>calculated</w:t>
      </w:r>
      <w:r w:rsidRPr="004A3983">
        <w:t xml:space="preserve">, and </w:t>
      </w:r>
      <w:r w:rsidR="000F49A9" w:rsidRPr="004A3983">
        <w:t>that</w:t>
      </w:r>
      <w:r w:rsidR="00C21D18" w:rsidRPr="004A3983">
        <w:t xml:space="preserve"> his reporting obligations</w:t>
      </w:r>
      <w:r w:rsidR="00131CCF" w:rsidRPr="004A3983">
        <w:t xml:space="preserve"> </w:t>
      </w:r>
      <w:r w:rsidR="00FA5F25" w:rsidRPr="004A3983">
        <w:t>would continue until</w:t>
      </w:r>
      <w:r w:rsidRPr="004A3983">
        <w:t xml:space="preserve"> July 2023.</w:t>
      </w:r>
      <w:r w:rsidR="00236E9A" w:rsidRPr="004A3983">
        <w:t xml:space="preserve"> </w:t>
      </w:r>
    </w:p>
    <w:p w14:paraId="3913B2CD" w14:textId="521964D4" w:rsidR="00481FA9" w:rsidRPr="004A3983" w:rsidRDefault="00FA72D3" w:rsidP="00062C0B">
      <w:pPr>
        <w:pStyle w:val="CaseStudyText"/>
        <w:spacing w:after="160"/>
        <w:ind w:right="-2"/>
      </w:pPr>
      <w:r w:rsidRPr="004A3983">
        <w:t xml:space="preserve">In </w:t>
      </w:r>
      <w:r w:rsidR="00481FA9" w:rsidRPr="004A3983">
        <w:t>March 2018 legal representatives for Mr PP wrote to the NSW</w:t>
      </w:r>
      <w:r w:rsidR="00C3547C" w:rsidRPr="004A3983">
        <w:t xml:space="preserve"> Police Force</w:t>
      </w:r>
      <w:r w:rsidR="00481FA9" w:rsidRPr="004A3983">
        <w:t xml:space="preserve"> seeking a review of the decision that his reporti</w:t>
      </w:r>
      <w:r w:rsidR="00980341" w:rsidRPr="004A3983">
        <w:t>ng period was 15 years and not eight years</w:t>
      </w:r>
      <w:r w:rsidR="00481FA9" w:rsidRPr="004A3983">
        <w:t>. The legal representatives argued that despite the different dates on the indictments, Mr PP’s two Class 2 offences ‘arose out of the same incident’, and therefore should be counted as a ‘single’ Class 2 offence, gi</w:t>
      </w:r>
      <w:r w:rsidR="00980341" w:rsidRPr="004A3983">
        <w:t>ving him a reporting period of eight</w:t>
      </w:r>
      <w:r w:rsidR="00481FA9" w:rsidRPr="004A3983">
        <w:t xml:space="preserve"> years. They argued that, as a matter of fact, both the production and possession offences related to the same incident, as Mr PP has produced the video of the 14 year old, and ‘as soon as the video was produced, it was possessed’.</w:t>
      </w:r>
      <w:r w:rsidR="00481FA9" w:rsidRPr="004A3983">
        <w:rPr>
          <w:rStyle w:val="FootnoteReference"/>
          <w:sz w:val="20"/>
          <w:szCs w:val="20"/>
        </w:rPr>
        <w:footnoteReference w:id="673"/>
      </w:r>
      <w:r w:rsidR="00481FA9" w:rsidRPr="004A3983">
        <w:t xml:space="preserve"> They argued that both the production and possession offences were ‘complete and committed at exactly the same time’, but the possession continued until 11 May, when the N</w:t>
      </w:r>
      <w:r w:rsidR="002973F1" w:rsidRPr="004A3983">
        <w:t>SW</w:t>
      </w:r>
      <w:r w:rsidR="00C3547C" w:rsidRPr="004A3983">
        <w:t xml:space="preserve"> Police Force</w:t>
      </w:r>
      <w:r w:rsidR="002973F1" w:rsidRPr="004A3983">
        <w:t xml:space="preserve"> retrieved the tape from </w:t>
      </w:r>
      <w:r w:rsidR="007510A9" w:rsidRPr="004A3983">
        <w:t xml:space="preserve">Mr </w:t>
      </w:r>
      <w:r w:rsidR="002973F1" w:rsidRPr="004A3983">
        <w:t>PP</w:t>
      </w:r>
      <w:r w:rsidR="00481FA9" w:rsidRPr="004A3983">
        <w:t>’s house.</w:t>
      </w:r>
      <w:r w:rsidR="00481FA9" w:rsidRPr="004A3983">
        <w:rPr>
          <w:rStyle w:val="FootnoteReference"/>
          <w:sz w:val="20"/>
          <w:szCs w:val="20"/>
        </w:rPr>
        <w:footnoteReference w:id="674"/>
      </w:r>
    </w:p>
    <w:p w14:paraId="43BF3292" w14:textId="0B9D4CA6" w:rsidR="00481FA9" w:rsidRPr="004A3983" w:rsidRDefault="008E3D71" w:rsidP="00062C0B">
      <w:pPr>
        <w:pStyle w:val="CaseStudyText"/>
        <w:spacing w:after="360"/>
        <w:ind w:right="-2"/>
        <w:rPr>
          <w:rFonts w:cs="Arial"/>
        </w:rPr>
      </w:pPr>
      <w:r w:rsidRPr="004A3983">
        <w:rPr>
          <w:rFonts w:cs="Arial"/>
        </w:rPr>
        <w:t>In</w:t>
      </w:r>
      <w:r w:rsidR="00481FA9" w:rsidRPr="004A3983">
        <w:rPr>
          <w:rFonts w:cs="Arial"/>
        </w:rPr>
        <w:t xml:space="preserve"> March 2018 th</w:t>
      </w:r>
      <w:r w:rsidR="00481FA9" w:rsidRPr="004A3983">
        <w:t>e NSW</w:t>
      </w:r>
      <w:r w:rsidR="00C3547C" w:rsidRPr="004A3983">
        <w:t xml:space="preserve"> Police Force</w:t>
      </w:r>
      <w:r w:rsidR="00481FA9" w:rsidRPr="004A3983">
        <w:t xml:space="preserve"> wrote back to Mr PP’s legal representatives informing them that it was seeking legal advice from the Crown Solicitors Office.</w:t>
      </w:r>
      <w:r w:rsidR="00481FA9" w:rsidRPr="004A3983">
        <w:rPr>
          <w:rStyle w:val="FootnoteReference"/>
          <w:sz w:val="20"/>
          <w:szCs w:val="20"/>
        </w:rPr>
        <w:footnoteReference w:id="675"/>
      </w:r>
    </w:p>
    <w:p w14:paraId="1D7BEB02" w14:textId="75FD967D" w:rsidR="00102EB9" w:rsidRPr="004A3983" w:rsidRDefault="002E279C" w:rsidP="00F84ADE">
      <w:pPr>
        <w:pStyle w:val="AppendixHeading2"/>
      </w:pPr>
      <w:bookmarkStart w:id="656" w:name="_Toc22627870"/>
      <w:r w:rsidRPr="004A3983">
        <w:lastRenderedPageBreak/>
        <w:t xml:space="preserve">Need for reform of </w:t>
      </w:r>
      <w:r w:rsidRPr="00F84ADE">
        <w:t>formulas</w:t>
      </w:r>
      <w:r w:rsidRPr="004A3983">
        <w:t xml:space="preserve"> for calculating reporting periods</w:t>
      </w:r>
      <w:bookmarkEnd w:id="656"/>
    </w:p>
    <w:p w14:paraId="1249E9A2" w14:textId="68EAE25A" w:rsidR="0029772F" w:rsidRPr="004A3983" w:rsidRDefault="0029772F" w:rsidP="00062C0B">
      <w:pPr>
        <w:spacing w:after="160"/>
        <w:ind w:right="-2"/>
      </w:pPr>
      <w:r w:rsidRPr="004A3983">
        <w:t xml:space="preserve">Based on the error rate in the calculation of reporting periods </w:t>
      </w:r>
      <w:r w:rsidR="009E04B7" w:rsidRPr="004A3983">
        <w:t>identified by</w:t>
      </w:r>
      <w:r w:rsidR="00793B16" w:rsidRPr="004A3983">
        <w:t xml:space="preserve"> the CPR case r</w:t>
      </w:r>
      <w:r w:rsidRPr="004A3983">
        <w:t xml:space="preserve">eview, the case studies reviewed by the Commission, and the </w:t>
      </w:r>
      <w:r w:rsidR="00F24E24" w:rsidRPr="004A3983">
        <w:t xml:space="preserve">Commission’s </w:t>
      </w:r>
      <w:r w:rsidRPr="004A3983">
        <w:t xml:space="preserve">consultation with the Registry officers, it is apparent there is a need for the </w:t>
      </w:r>
      <w:r w:rsidR="009E04B7" w:rsidRPr="004A3983">
        <w:t xml:space="preserve">reporting period </w:t>
      </w:r>
      <w:r w:rsidRPr="004A3983">
        <w:t xml:space="preserve">formulas </w:t>
      </w:r>
      <w:r w:rsidR="008E0D89" w:rsidRPr="004A3983">
        <w:t xml:space="preserve">in the CPOR Act </w:t>
      </w:r>
      <w:r w:rsidRPr="004A3983">
        <w:t xml:space="preserve">to be simplified. </w:t>
      </w:r>
    </w:p>
    <w:p w14:paraId="385DCEF0" w14:textId="6B2EDD30" w:rsidR="0029772F" w:rsidRPr="004A3983" w:rsidRDefault="0029772F" w:rsidP="00062C0B">
      <w:pPr>
        <w:spacing w:after="160"/>
        <w:ind w:right="-2"/>
      </w:pPr>
      <w:r w:rsidRPr="004A3983">
        <w:t xml:space="preserve">The other Australian jurisdictions adopt a variety of approaches </w:t>
      </w:r>
      <w:r w:rsidR="009219BC" w:rsidRPr="004A3983">
        <w:t xml:space="preserve">in their offender registration laws </w:t>
      </w:r>
      <w:r w:rsidRPr="004A3983">
        <w:t xml:space="preserve">regarding the formulas for calculating reporting periods. </w:t>
      </w:r>
    </w:p>
    <w:p w14:paraId="7024E25C" w14:textId="311DDDBD" w:rsidR="0029772F" w:rsidRPr="004A3983" w:rsidRDefault="0029772F" w:rsidP="00062C0B">
      <w:pPr>
        <w:spacing w:after="160"/>
        <w:ind w:right="-2"/>
      </w:pPr>
      <w:r w:rsidRPr="004A3983">
        <w:t>Some jurisdictions, such as Victoria, the Australian Capital Territory and South Australia, have formulas that require identification and tallying of all regis</w:t>
      </w:r>
      <w:r w:rsidR="002C0A37" w:rsidRPr="004A3983">
        <w:t>trable offences committed by the</w:t>
      </w:r>
      <w:r w:rsidR="003967AB" w:rsidRPr="004A3983">
        <w:t xml:space="preserve"> person </w:t>
      </w:r>
      <w:r w:rsidRPr="004A3983">
        <w:t xml:space="preserve">(like </w:t>
      </w:r>
      <w:r w:rsidR="005B3683" w:rsidRPr="004A3983">
        <w:t xml:space="preserve">in </w:t>
      </w:r>
      <w:r w:rsidR="008C665C" w:rsidRPr="004A3983">
        <w:t>New South Wales</w:t>
      </w:r>
      <w:r w:rsidRPr="004A3983">
        <w:t>). These formulas are less complex than those in s 14A</w:t>
      </w:r>
      <w:r w:rsidR="005A58D7" w:rsidRPr="004A3983">
        <w:t xml:space="preserve"> of the CPOR Act</w:t>
      </w:r>
      <w:r w:rsidRPr="004A3983">
        <w:t>.</w:t>
      </w:r>
      <w:r w:rsidRPr="004A3983">
        <w:rPr>
          <w:rStyle w:val="FootnoteReference"/>
        </w:rPr>
        <w:footnoteReference w:id="676"/>
      </w:r>
      <w:r w:rsidRPr="004A3983">
        <w:t xml:space="preserve"> However, those three jurisdictions have equivalent provisions to s 3(3) and s</w:t>
      </w:r>
      <w:r w:rsidR="00D45FCE" w:rsidRPr="004A3983">
        <w:t> </w:t>
      </w:r>
      <w:r w:rsidRPr="004A3983">
        <w:t>14A(4) in the CPOR Act, which require examination of the details of past offending to determine if multiple offences arose out of the ‘same incident’ and therefore need to be counted as a ‘single’ offence.</w:t>
      </w:r>
      <w:r w:rsidRPr="004A3983">
        <w:rPr>
          <w:rStyle w:val="FootnoteReference"/>
        </w:rPr>
        <w:footnoteReference w:id="677"/>
      </w:r>
      <w:r w:rsidRPr="004A3983">
        <w:t xml:space="preserve"> </w:t>
      </w:r>
    </w:p>
    <w:p w14:paraId="4F77A890" w14:textId="5D6DE2A6" w:rsidR="0029772F" w:rsidRPr="004A3983" w:rsidRDefault="0029772F" w:rsidP="00062C0B">
      <w:pPr>
        <w:spacing w:after="160"/>
        <w:ind w:right="-2"/>
      </w:pPr>
      <w:r w:rsidRPr="004A3983">
        <w:t xml:space="preserve">New Zealand’s approach to the calculation of reporting periods appears to be the most simple. The </w:t>
      </w:r>
      <w:r w:rsidRPr="004A3983">
        <w:rPr>
          <w:i/>
        </w:rPr>
        <w:t xml:space="preserve">Child Protection (Child Sex Offender Government Agency Registration) Act 2016 </w:t>
      </w:r>
      <w:r w:rsidRPr="004A3983">
        <w:t>(NZ)</w:t>
      </w:r>
      <w:r w:rsidR="00837B1E" w:rsidRPr="004A3983">
        <w:t xml:space="preserve"> (</w:t>
      </w:r>
      <w:r w:rsidR="002403DF" w:rsidRPr="004A3983">
        <w:t xml:space="preserve">the </w:t>
      </w:r>
      <w:r w:rsidR="00837B1E" w:rsidRPr="004A3983">
        <w:t>NZ Act)</w:t>
      </w:r>
      <w:r w:rsidRPr="004A3983">
        <w:t xml:space="preserve"> provides the following formulas:</w:t>
      </w:r>
    </w:p>
    <w:p w14:paraId="3C8A6B23" w14:textId="6D749AF5" w:rsidR="0029772F" w:rsidRPr="008F34A3" w:rsidRDefault="0029772F" w:rsidP="008F34A3">
      <w:pPr>
        <w:pStyle w:val="ListBullet"/>
      </w:pPr>
      <w:r w:rsidRPr="004A3983">
        <w:t>if a person has committed a class 1, 2 or 3 offence, but only received a non-</w:t>
      </w:r>
      <w:r w:rsidRPr="008F34A3">
        <w:t>custodial sentence – 8 years</w:t>
      </w:r>
      <w:r w:rsidR="007C0536" w:rsidRPr="008F34A3">
        <w:t>;</w:t>
      </w:r>
    </w:p>
    <w:p w14:paraId="253CFADA" w14:textId="3FE71251" w:rsidR="0029772F" w:rsidRPr="008F34A3" w:rsidRDefault="0029772F" w:rsidP="008F34A3">
      <w:pPr>
        <w:pStyle w:val="ListBullet"/>
      </w:pPr>
      <w:r w:rsidRPr="008F34A3">
        <w:t>if a person has been sentenced to imprisonment for a class 1 offence - 8 years</w:t>
      </w:r>
      <w:r w:rsidR="007C0536" w:rsidRPr="008F34A3">
        <w:t>;</w:t>
      </w:r>
    </w:p>
    <w:p w14:paraId="2F704E92" w14:textId="1A51AA94" w:rsidR="0029772F" w:rsidRPr="008F34A3" w:rsidRDefault="0029772F" w:rsidP="008F34A3">
      <w:pPr>
        <w:pStyle w:val="ListBullet"/>
      </w:pPr>
      <w:r w:rsidRPr="008F34A3">
        <w:t>if a person has been sentenced to imprisonment for a class 2 offence – 15 years</w:t>
      </w:r>
      <w:r w:rsidR="007C0536" w:rsidRPr="008F34A3">
        <w:t>, and</w:t>
      </w:r>
    </w:p>
    <w:p w14:paraId="0282F48F" w14:textId="77777777" w:rsidR="0029772F" w:rsidRPr="004A3983" w:rsidRDefault="0029772F" w:rsidP="008F34A3">
      <w:pPr>
        <w:pStyle w:val="ListBullet"/>
      </w:pPr>
      <w:r w:rsidRPr="008F34A3">
        <w:t>if a person</w:t>
      </w:r>
      <w:r w:rsidRPr="004A3983">
        <w:t xml:space="preserve"> has been sentenced to imprisonment for a class 3 offence – remainder of the person’s life.</w:t>
      </w:r>
      <w:r w:rsidRPr="004A3983">
        <w:rPr>
          <w:rStyle w:val="FootnoteReference"/>
        </w:rPr>
        <w:footnoteReference w:id="678"/>
      </w:r>
    </w:p>
    <w:p w14:paraId="3B198FDE" w14:textId="439B2FA6" w:rsidR="0029772F" w:rsidRPr="004A3983" w:rsidRDefault="0029772F" w:rsidP="00062C0B">
      <w:pPr>
        <w:spacing w:after="160"/>
        <w:ind w:right="-2"/>
      </w:pPr>
      <w:r w:rsidRPr="004A3983">
        <w:t xml:space="preserve">There are no separate formulas for persons who commit multiple qualifying (ie registrable) offences. The NZ Act simply provides that if a </w:t>
      </w:r>
      <w:r w:rsidR="00BA49F1" w:rsidRPr="004A3983">
        <w:t>‘</w:t>
      </w:r>
      <w:r w:rsidRPr="004A3983">
        <w:t>registrable offender</w:t>
      </w:r>
      <w:r w:rsidR="00BA49F1" w:rsidRPr="004A3983">
        <w:t>’</w:t>
      </w:r>
      <w:r w:rsidRPr="004A3983">
        <w:t xml:space="preserve"> has reporting obligations in respect of more than one qualifying offence, the reporting periods for each of those offences run concurrently (to the extent that they overlap), not cumulatively.</w:t>
      </w:r>
      <w:r w:rsidRPr="004A3983">
        <w:rPr>
          <w:rStyle w:val="FootnoteReference"/>
        </w:rPr>
        <w:footnoteReference w:id="679"/>
      </w:r>
      <w:r w:rsidRPr="004A3983">
        <w:t xml:space="preserve"> Under the NZ Act therefore, the problems with determining </w:t>
      </w:r>
      <w:r w:rsidRPr="004A3983">
        <w:lastRenderedPageBreak/>
        <w:t xml:space="preserve">whether multiple offences arose from the ‘same incident’ and therefore should be counted as ‘single offence’ are avoided. </w:t>
      </w:r>
    </w:p>
    <w:p w14:paraId="47B41435" w14:textId="24413EB9" w:rsidR="0029772F" w:rsidRPr="004A3983" w:rsidRDefault="0029772F" w:rsidP="00062C0B">
      <w:pPr>
        <w:spacing w:after="160"/>
        <w:ind w:right="-2"/>
      </w:pPr>
      <w:r w:rsidRPr="004A3983">
        <w:t>If Parliament were to decide to ad</w:t>
      </w:r>
      <w:r w:rsidR="007F19CD" w:rsidRPr="004A3983">
        <w:t>opt a similar approach to the New Zealand</w:t>
      </w:r>
      <w:r w:rsidRPr="004A3983">
        <w:t xml:space="preserve"> reporting period formulas, it would need to consider whether to create a third class of offences under the CPOR Act. One benefit of creating a third class is that this may allow for greater reflection of the different levels of risk to the community represented by different offending.</w:t>
      </w:r>
    </w:p>
    <w:p w14:paraId="311BF215" w14:textId="6A19E98F" w:rsidR="0029772F" w:rsidRPr="004A3983" w:rsidRDefault="0029772F" w:rsidP="00062C0B">
      <w:pPr>
        <w:spacing w:after="160"/>
        <w:ind w:right="-2"/>
        <w:rPr>
          <w:b/>
          <w:u w:val="single"/>
        </w:rPr>
      </w:pPr>
      <w:r w:rsidRPr="004A3983">
        <w:rPr>
          <w:b/>
          <w:u w:val="single"/>
        </w:rPr>
        <w:t xml:space="preserve">Conclusions following consultation with </w:t>
      </w:r>
      <w:r w:rsidR="00E266B3" w:rsidRPr="004A3983">
        <w:rPr>
          <w:b/>
          <w:u w:val="single"/>
        </w:rPr>
        <w:t>the NSW Police Force</w:t>
      </w:r>
      <w:r w:rsidRPr="004A3983">
        <w:rPr>
          <w:b/>
          <w:u w:val="single"/>
        </w:rPr>
        <w:t>:</w:t>
      </w:r>
    </w:p>
    <w:p w14:paraId="0F6626A1" w14:textId="23B31677" w:rsidR="0029772F" w:rsidRPr="004A3983" w:rsidRDefault="0029772F" w:rsidP="00062C0B">
      <w:pPr>
        <w:spacing w:after="160"/>
        <w:ind w:right="-2"/>
        <w:rPr>
          <w:b/>
        </w:rPr>
      </w:pPr>
      <w:r w:rsidRPr="004A3983">
        <w:rPr>
          <w:b/>
        </w:rPr>
        <w:t>The formulas for calculating reporting periods in s 14A of the CPOR Act need to be reviewed and simplified. The test for when multiple offences will be grouped and counted as single offence for the purpose of calculating reporting periods, in s 3(3), also needs to be reviewed, particularly as to how it applies to CAM offences.</w:t>
      </w:r>
    </w:p>
    <w:p w14:paraId="5CE4AE40" w14:textId="04BBDE18" w:rsidR="0029772F" w:rsidRPr="004A3983" w:rsidRDefault="0029772F" w:rsidP="00062C0B">
      <w:pPr>
        <w:spacing w:after="160"/>
        <w:ind w:right="-2"/>
        <w:rPr>
          <w:b/>
        </w:rPr>
      </w:pPr>
      <w:r w:rsidRPr="004A3983">
        <w:rPr>
          <w:b/>
        </w:rPr>
        <w:t>Consideratio</w:t>
      </w:r>
      <w:r w:rsidR="007F19CD" w:rsidRPr="004A3983">
        <w:rPr>
          <w:b/>
        </w:rPr>
        <w:t>n should be given to whether New South Wales</w:t>
      </w:r>
      <w:r w:rsidRPr="004A3983">
        <w:rPr>
          <w:b/>
        </w:rPr>
        <w:t xml:space="preserve"> should adopt the type of approach reflected in the</w:t>
      </w:r>
      <w:r w:rsidRPr="004A3983">
        <w:rPr>
          <w:b/>
          <w:i/>
        </w:rPr>
        <w:t xml:space="preserve"> Child Protection (Child Sex Offender Government Agency Registration) Act 2016 </w:t>
      </w:r>
      <w:r w:rsidRPr="004A3983">
        <w:rPr>
          <w:b/>
        </w:rPr>
        <w:t xml:space="preserve">(NZ). </w:t>
      </w:r>
      <w:r w:rsidR="00F9588D" w:rsidRPr="004A3983">
        <w:rPr>
          <w:b/>
        </w:rPr>
        <w:t>The officers the Commission</w:t>
      </w:r>
      <w:r w:rsidRPr="004A3983">
        <w:rPr>
          <w:b/>
        </w:rPr>
        <w:t xml:space="preserve"> consulted with supported consideration of such a model with three classes and three formulas, and commented that this approach was simple and easier to apply than that in the CPOR Act. However, those officers stated that they did not support adopting the first tier in the NZ Act, being a different f</w:t>
      </w:r>
      <w:r w:rsidR="0085126C" w:rsidRPr="004A3983">
        <w:rPr>
          <w:b/>
        </w:rPr>
        <w:t>ormula for registrable persons</w:t>
      </w:r>
      <w:r w:rsidRPr="004A3983">
        <w:rPr>
          <w:b/>
        </w:rPr>
        <w:t xml:space="preserve"> who are given non-custodial sentences. </w:t>
      </w:r>
    </w:p>
    <w:p w14:paraId="3DDB7268" w14:textId="6E5CEFC2" w:rsidR="00612CC8" w:rsidRPr="004A3983" w:rsidRDefault="00612CC8" w:rsidP="00F84ADE">
      <w:pPr>
        <w:pStyle w:val="AppendixHeading1"/>
      </w:pPr>
      <w:bookmarkStart w:id="657" w:name="_Toc8908752"/>
      <w:bookmarkStart w:id="658" w:name="_Ref9929983"/>
      <w:bookmarkStart w:id="659" w:name="_Toc22627871"/>
      <w:r w:rsidRPr="004A3983">
        <w:t xml:space="preserve">Identifying </w:t>
      </w:r>
      <w:r w:rsidRPr="00F84ADE">
        <w:t>when</w:t>
      </w:r>
      <w:r w:rsidRPr="004A3983">
        <w:t xml:space="preserve"> persons who have offended in other jurisdictions need to</w:t>
      </w:r>
      <w:r w:rsidR="00F84ADE">
        <w:t> </w:t>
      </w:r>
      <w:r w:rsidRPr="004A3983">
        <w:t>report under the CPOR Act</w:t>
      </w:r>
      <w:bookmarkEnd w:id="657"/>
      <w:bookmarkEnd w:id="658"/>
      <w:bookmarkEnd w:id="659"/>
    </w:p>
    <w:p w14:paraId="51547045" w14:textId="1F8A9E91" w:rsidR="00612CC8" w:rsidRPr="004A3983" w:rsidRDefault="00612CC8" w:rsidP="00062C0B">
      <w:pPr>
        <w:spacing w:after="160"/>
        <w:ind w:right="-2"/>
      </w:pPr>
      <w:r w:rsidRPr="004A3983">
        <w:t xml:space="preserve">Under the CPOR Act there are two ways in which a person who commits an offence in a jurisdiction outside </w:t>
      </w:r>
      <w:r w:rsidR="008C665C" w:rsidRPr="004A3983">
        <w:t>New South Wales</w:t>
      </w:r>
      <w:r w:rsidRPr="004A3983">
        <w:t xml:space="preserve"> and then moves to </w:t>
      </w:r>
      <w:r w:rsidR="008C665C" w:rsidRPr="004A3983">
        <w:t>New South Wales</w:t>
      </w:r>
      <w:r w:rsidRPr="004A3983">
        <w:t xml:space="preserve"> can be classified as a ‘registrable person’ who </w:t>
      </w:r>
      <w:r w:rsidR="00B6450F" w:rsidRPr="004A3983">
        <w:t>has</w:t>
      </w:r>
      <w:r w:rsidRPr="004A3983">
        <w:t xml:space="preserve"> reporting obligations. These are:</w:t>
      </w:r>
    </w:p>
    <w:p w14:paraId="0F3EB298" w14:textId="621BE4CE" w:rsidR="00CF5DE2" w:rsidRPr="004A3983" w:rsidRDefault="00612CC8" w:rsidP="008F34A3">
      <w:pPr>
        <w:pStyle w:val="ListBullet"/>
      </w:pPr>
      <w:r w:rsidRPr="004A3983">
        <w:t>through the ‘foreign jurisdiction offence’ limbs of the definitions of Class 1 and</w:t>
      </w:r>
      <w:r w:rsidR="008F34A3">
        <w:t> </w:t>
      </w:r>
      <w:r w:rsidRPr="004A3983">
        <w:t>Class 2 offences, and</w:t>
      </w:r>
    </w:p>
    <w:p w14:paraId="6F74E1A2" w14:textId="0772485F" w:rsidR="00612CC8" w:rsidRPr="004A3983" w:rsidRDefault="00612CC8" w:rsidP="008F34A3">
      <w:pPr>
        <w:pStyle w:val="ListBullet"/>
      </w:pPr>
      <w:r w:rsidRPr="004A3983">
        <w:t>through the ‘corresponding registrable persons’ provisions in P</w:t>
      </w:r>
      <w:r w:rsidR="005E7E23" w:rsidRPr="004A3983">
        <w:t>ar</w:t>
      </w:r>
      <w:r w:rsidRPr="004A3983">
        <w:t>t 3, Div</w:t>
      </w:r>
      <w:r w:rsidR="005E7E23" w:rsidRPr="004A3983">
        <w:t>ision</w:t>
      </w:r>
      <w:r w:rsidR="008F34A3">
        <w:t> </w:t>
      </w:r>
      <w:r w:rsidRPr="004A3983">
        <w:t>10.</w:t>
      </w:r>
    </w:p>
    <w:p w14:paraId="126BD957" w14:textId="57A09C32" w:rsidR="00612CC8" w:rsidRPr="004A3983" w:rsidRDefault="00612CC8" w:rsidP="00F84ADE">
      <w:pPr>
        <w:pStyle w:val="AppendixHeading2"/>
      </w:pPr>
      <w:bookmarkStart w:id="660" w:name="_Toc22627872"/>
      <w:r w:rsidRPr="004A3983">
        <w:t xml:space="preserve">Identifying when a </w:t>
      </w:r>
      <w:r w:rsidRPr="00F84ADE">
        <w:t>person</w:t>
      </w:r>
      <w:r w:rsidRPr="004A3983">
        <w:t xml:space="preserve"> </w:t>
      </w:r>
      <w:r w:rsidR="00B87889" w:rsidRPr="004A3983">
        <w:t xml:space="preserve">who </w:t>
      </w:r>
      <w:r w:rsidRPr="004A3983">
        <w:t xml:space="preserve">has committed offences ‘under the law of a foreign jurisdiction’ </w:t>
      </w:r>
      <w:r w:rsidR="00B87889" w:rsidRPr="004A3983">
        <w:t>is</w:t>
      </w:r>
      <w:r w:rsidRPr="004A3983">
        <w:t xml:space="preserve"> registrable</w:t>
      </w:r>
      <w:bookmarkEnd w:id="660"/>
      <w:r w:rsidRPr="004A3983">
        <w:t xml:space="preserve"> </w:t>
      </w:r>
    </w:p>
    <w:p w14:paraId="1AD0776D" w14:textId="02A70FCC" w:rsidR="00612CC8" w:rsidRPr="004A3983" w:rsidRDefault="00612CC8" w:rsidP="00062C0B">
      <w:pPr>
        <w:spacing w:after="160"/>
        <w:ind w:right="-2"/>
      </w:pPr>
      <w:r w:rsidRPr="004A3983">
        <w:t xml:space="preserve">The ‘foreign jurisdiction offence’ limbs include within the definitions of Class 1 and Class 2 offences ‘any offence under a law of a foreign jurisdiction that, if it had been committed in New South Wales, would have constituted an offence of a kind listed’ in </w:t>
      </w:r>
      <w:r w:rsidRPr="004A3983">
        <w:lastRenderedPageBreak/>
        <w:t>the other limbs of those classes.</w:t>
      </w:r>
      <w:r w:rsidRPr="004A3983">
        <w:rPr>
          <w:rStyle w:val="FootnoteReference"/>
        </w:rPr>
        <w:footnoteReference w:id="680"/>
      </w:r>
      <w:r w:rsidRPr="004A3983">
        <w:t xml:space="preserve">  Therefore offences committed in other jurisdictions which are ‘of a kind’ that are listed in either of those definitions will also constitute registrable offences under the CPOR Act.</w:t>
      </w:r>
      <w:r w:rsidRPr="004A3983">
        <w:rPr>
          <w:rStyle w:val="FootnoteReference"/>
        </w:rPr>
        <w:footnoteReference w:id="681"/>
      </w:r>
      <w:r w:rsidRPr="004A3983">
        <w:t xml:space="preserve"> </w:t>
      </w:r>
    </w:p>
    <w:p w14:paraId="0501217B" w14:textId="788C7BB1" w:rsidR="00612CC8" w:rsidRPr="004A3983" w:rsidRDefault="00612CC8" w:rsidP="00062C0B">
      <w:pPr>
        <w:spacing w:after="160"/>
        <w:ind w:right="-2"/>
      </w:pPr>
      <w:r w:rsidRPr="004A3983">
        <w:t xml:space="preserve">A ‘foreign jurisdiction’ for the purposes of the CPOR Act is defined as including a jurisdiction in Australia other than </w:t>
      </w:r>
      <w:r w:rsidR="008C665C" w:rsidRPr="004A3983">
        <w:t>New South Wales</w:t>
      </w:r>
      <w:r w:rsidRPr="004A3983">
        <w:t>.</w:t>
      </w:r>
      <w:r w:rsidRPr="004A3983">
        <w:rPr>
          <w:rStyle w:val="FootnoteReference"/>
        </w:rPr>
        <w:footnoteReference w:id="682"/>
      </w:r>
    </w:p>
    <w:p w14:paraId="75A2E597" w14:textId="260A1E85" w:rsidR="00612CC8" w:rsidRPr="004A3983" w:rsidRDefault="00612CC8" w:rsidP="00062C0B">
      <w:pPr>
        <w:spacing w:after="160"/>
        <w:ind w:right="-2"/>
      </w:pPr>
      <w:r w:rsidRPr="004A3983">
        <w:t xml:space="preserve">Accordingly, if a court outside </w:t>
      </w:r>
      <w:r w:rsidR="008C665C" w:rsidRPr="004A3983">
        <w:t>New South Wales</w:t>
      </w:r>
      <w:r w:rsidRPr="004A3983">
        <w:t xml:space="preserve"> sentences a person for an offence that</w:t>
      </w:r>
      <w:r w:rsidR="00E96E22" w:rsidRPr="004A3983">
        <w:t xml:space="preserve"> would have been a registrable offence if </w:t>
      </w:r>
      <w:r w:rsidRPr="004A3983">
        <w:t xml:space="preserve">committed in </w:t>
      </w:r>
      <w:r w:rsidR="008C665C" w:rsidRPr="004A3983">
        <w:t>New South Wales</w:t>
      </w:r>
      <w:r w:rsidRPr="004A3983">
        <w:t>, the person will become a (directly) registrable person under the CPOR Act under s 3A, unless one of t</w:t>
      </w:r>
      <w:r w:rsidR="00C3547C" w:rsidRPr="004A3983">
        <w:t>he exceptions in s 3A(2) apply.</w:t>
      </w:r>
    </w:p>
    <w:p w14:paraId="054ED13D" w14:textId="7136E3F6" w:rsidR="00612CC8" w:rsidRPr="004A3983" w:rsidRDefault="00612CC8" w:rsidP="00062C0B">
      <w:pPr>
        <w:spacing w:after="160"/>
        <w:ind w:right="-2"/>
      </w:pPr>
      <w:r w:rsidRPr="004A3983">
        <w:t>If a person who is senten</w:t>
      </w:r>
      <w:r w:rsidR="00D720C7" w:rsidRPr="004A3983">
        <w:t xml:space="preserve">ced for offences outside of </w:t>
      </w:r>
      <w:r w:rsidR="008C665C" w:rsidRPr="004A3983">
        <w:t>New South Wales</w:t>
      </w:r>
      <w:r w:rsidRPr="004A3983">
        <w:t xml:space="preserve"> becomes registrable through these provisions, then his or her reporting period under the CPOR Act will be calculated using the formulas in s 14A.</w:t>
      </w:r>
    </w:p>
    <w:p w14:paraId="4ED900B9" w14:textId="69001E1C" w:rsidR="002E279C" w:rsidRPr="004A3983" w:rsidRDefault="00F271D9" w:rsidP="00F84ADE">
      <w:pPr>
        <w:pStyle w:val="AppendixHeading2"/>
      </w:pPr>
      <w:bookmarkStart w:id="661" w:name="_Toc22627873"/>
      <w:r w:rsidRPr="004A3983">
        <w:t xml:space="preserve">Identifying </w:t>
      </w:r>
      <w:r w:rsidRPr="00F84ADE">
        <w:t>persons</w:t>
      </w:r>
      <w:r w:rsidRPr="004A3983">
        <w:t xml:space="preserve"> who are ‘corresponding registrable persons’</w:t>
      </w:r>
      <w:bookmarkEnd w:id="661"/>
    </w:p>
    <w:p w14:paraId="5DE1A8BE" w14:textId="3A8CF405" w:rsidR="00F271D9" w:rsidRPr="004A3983" w:rsidRDefault="009D08F1" w:rsidP="00062C0B">
      <w:pPr>
        <w:spacing w:after="160"/>
        <w:ind w:right="-2"/>
      </w:pPr>
      <w:r w:rsidRPr="004A3983">
        <w:t>The second</w:t>
      </w:r>
      <w:r w:rsidR="00F271D9" w:rsidRPr="004A3983">
        <w:t xml:space="preserve"> way that a person who is sentenced for an offence outside of </w:t>
      </w:r>
      <w:r w:rsidR="008C665C" w:rsidRPr="004A3983">
        <w:t>New South Wales</w:t>
      </w:r>
      <w:r w:rsidR="00F271D9" w:rsidRPr="004A3983">
        <w:t xml:space="preserve"> can become a registrable person once in </w:t>
      </w:r>
      <w:r w:rsidR="008C665C" w:rsidRPr="004A3983">
        <w:t>New South Wales</w:t>
      </w:r>
      <w:r w:rsidR="00F271D9" w:rsidRPr="004A3983">
        <w:t xml:space="preserve"> is through the ‘corresponding registrable person’ provisions in Division 10 of Part 3 of the CPOR Act.</w:t>
      </w:r>
    </w:p>
    <w:p w14:paraId="35137337" w14:textId="3F127587" w:rsidR="00F271D9" w:rsidRPr="004A3983" w:rsidRDefault="00F271D9" w:rsidP="00062C0B">
      <w:pPr>
        <w:spacing w:after="160"/>
        <w:ind w:right="-2"/>
      </w:pPr>
      <w:r w:rsidRPr="004A3983">
        <w:t>The CPOR Act defines a correspo</w:t>
      </w:r>
      <w:r w:rsidR="004159EF" w:rsidRPr="004A3983">
        <w:t>nding registrable person</w:t>
      </w:r>
      <w:r w:rsidRPr="004A3983">
        <w:t xml:space="preserve"> as someone who has:</w:t>
      </w:r>
    </w:p>
    <w:p w14:paraId="4637D7ED" w14:textId="1CBB4DC6" w:rsidR="00F271D9" w:rsidRPr="008F34A3" w:rsidRDefault="00F271D9" w:rsidP="008F34A3">
      <w:pPr>
        <w:pStyle w:val="ListBullet"/>
      </w:pPr>
      <w:r w:rsidRPr="004A3983">
        <w:t xml:space="preserve">at any </w:t>
      </w:r>
      <w:r w:rsidRPr="008F34A3">
        <w:t xml:space="preserve">time been required to report to a corresponding registrar in a jurisdiction other than </w:t>
      </w:r>
      <w:r w:rsidR="008C665C" w:rsidRPr="008F34A3">
        <w:t>New South Wales</w:t>
      </w:r>
      <w:r w:rsidRPr="008F34A3">
        <w:t xml:space="preserve">, and </w:t>
      </w:r>
    </w:p>
    <w:p w14:paraId="67637BDB" w14:textId="0D7ABFD8" w:rsidR="00F271D9" w:rsidRPr="004A3983" w:rsidRDefault="00F271D9" w:rsidP="008F34A3">
      <w:pPr>
        <w:pStyle w:val="ListBullet"/>
      </w:pPr>
      <w:r w:rsidRPr="008F34A3">
        <w:t>subsequently</w:t>
      </w:r>
      <w:r w:rsidRPr="004A3983">
        <w:t xml:space="preserve"> moved to </w:t>
      </w:r>
      <w:r w:rsidR="008C665C" w:rsidRPr="004A3983">
        <w:t>New South Wales</w:t>
      </w:r>
      <w:r w:rsidRPr="004A3983">
        <w:t xml:space="preserve"> while still subject to the reporting obligations in the other jurisdiction.</w:t>
      </w:r>
      <w:r w:rsidRPr="004A3983">
        <w:rPr>
          <w:rStyle w:val="FootnoteReference"/>
        </w:rPr>
        <w:footnoteReference w:id="683"/>
      </w:r>
    </w:p>
    <w:p w14:paraId="2B01D30C" w14:textId="62424505" w:rsidR="00F271D9" w:rsidRPr="004A3983" w:rsidRDefault="00F271D9" w:rsidP="00062C0B">
      <w:pPr>
        <w:spacing w:after="160"/>
        <w:ind w:right="-2"/>
      </w:pPr>
      <w:r w:rsidRPr="004A3983">
        <w:t xml:space="preserve">Provided these criteria are met, the person will </w:t>
      </w:r>
      <w:r w:rsidR="0076792A" w:rsidRPr="004A3983">
        <w:t>have</w:t>
      </w:r>
      <w:r w:rsidRPr="004A3983">
        <w:t xml:space="preserve"> reporting obligations under the CPOR Act as a </w:t>
      </w:r>
      <w:r w:rsidR="004159EF" w:rsidRPr="004A3983">
        <w:t>corresponding registrable person</w:t>
      </w:r>
      <w:r w:rsidRPr="004A3983">
        <w:t xml:space="preserve"> even if the offence the person committed is </w:t>
      </w:r>
      <w:r w:rsidRPr="004A3983">
        <w:rPr>
          <w:b/>
        </w:rPr>
        <w:t>not</w:t>
      </w:r>
      <w:r w:rsidRPr="004A3983">
        <w:t xml:space="preserve"> a registrable offence in </w:t>
      </w:r>
      <w:r w:rsidR="008C665C" w:rsidRPr="004A3983">
        <w:t>New South Wales</w:t>
      </w:r>
      <w:r w:rsidRPr="004A3983">
        <w:t>.</w:t>
      </w:r>
      <w:r w:rsidRPr="004A3983">
        <w:rPr>
          <w:rStyle w:val="FootnoteReference"/>
        </w:rPr>
        <w:footnoteReference w:id="684"/>
      </w:r>
      <w:r w:rsidRPr="004A3983">
        <w:t xml:space="preserve"> </w:t>
      </w:r>
    </w:p>
    <w:p w14:paraId="26B36A07" w14:textId="4B53A91D" w:rsidR="00F271D9" w:rsidRPr="004A3983" w:rsidRDefault="00F271D9" w:rsidP="00062C0B">
      <w:pPr>
        <w:spacing w:after="160"/>
        <w:ind w:right="-2"/>
      </w:pPr>
      <w:r w:rsidRPr="004A3983">
        <w:t xml:space="preserve">For </w:t>
      </w:r>
      <w:r w:rsidR="004159EF" w:rsidRPr="004A3983">
        <w:t>corresponding registrable person</w:t>
      </w:r>
      <w:r w:rsidRPr="004A3983">
        <w:t>s the CPOR Act effectively picks up the reporting peri</w:t>
      </w:r>
      <w:r w:rsidR="00945F76" w:rsidRPr="004A3983">
        <w:t xml:space="preserve">ods set by other jurisdictions. The Act </w:t>
      </w:r>
      <w:r w:rsidRPr="004A3983">
        <w:t xml:space="preserve">provides that a </w:t>
      </w:r>
      <w:r w:rsidR="004159EF" w:rsidRPr="004A3983">
        <w:t>corresponding registrable person</w:t>
      </w:r>
      <w:r w:rsidRPr="004A3983">
        <w:t xml:space="preserve"> is required to </w:t>
      </w:r>
      <w:r w:rsidR="00945F76" w:rsidRPr="004A3983">
        <w:t xml:space="preserve">make </w:t>
      </w:r>
      <w:r w:rsidRPr="004A3983">
        <w:t>report</w:t>
      </w:r>
      <w:r w:rsidR="00945F76" w:rsidRPr="004A3983">
        <w:t>s</w:t>
      </w:r>
      <w:r w:rsidRPr="004A3983">
        <w:t xml:space="preserve"> to the NSW</w:t>
      </w:r>
      <w:r w:rsidR="00C3547C" w:rsidRPr="004A3983">
        <w:t xml:space="preserve"> Police Force</w:t>
      </w:r>
      <w:r w:rsidRPr="004A3983">
        <w:t xml:space="preserve"> for as long as the person would be required to report in the other jurisdiction in which they were</w:t>
      </w:r>
      <w:r w:rsidR="00945F76" w:rsidRPr="004A3983">
        <w:t xml:space="preserve"> registered</w:t>
      </w:r>
      <w:r w:rsidRPr="004A3983">
        <w:t>.</w:t>
      </w:r>
      <w:r w:rsidRPr="004A3983">
        <w:rPr>
          <w:rStyle w:val="FootnoteReference"/>
        </w:rPr>
        <w:footnoteReference w:id="685"/>
      </w:r>
    </w:p>
    <w:p w14:paraId="6BA62B57" w14:textId="091D0B69" w:rsidR="00F271D9" w:rsidRPr="004A3983" w:rsidRDefault="00F271D9" w:rsidP="00062C0B">
      <w:pPr>
        <w:spacing w:after="160"/>
        <w:ind w:right="-2"/>
      </w:pPr>
      <w:r w:rsidRPr="004A3983">
        <w:lastRenderedPageBreak/>
        <w:t xml:space="preserve">The </w:t>
      </w:r>
      <w:r w:rsidR="004159EF" w:rsidRPr="004A3983">
        <w:t>corresponding registrable person</w:t>
      </w:r>
      <w:r w:rsidRPr="004A3983">
        <w:t xml:space="preserve"> provisions in the CPOR Act therefore require the NSW</w:t>
      </w:r>
      <w:r w:rsidR="00952DC8" w:rsidRPr="004A3983">
        <w:t xml:space="preserve"> Police Force</w:t>
      </w:r>
      <w:r w:rsidRPr="004A3983">
        <w:t xml:space="preserve"> to have a</w:t>
      </w:r>
      <w:r w:rsidR="00F60F34" w:rsidRPr="004A3983">
        <w:t xml:space="preserve"> good understanding of </w:t>
      </w:r>
      <w:r w:rsidR="008403E6" w:rsidRPr="004A3983">
        <w:t>offender registration laws</w:t>
      </w:r>
      <w:r w:rsidRPr="004A3983">
        <w:t xml:space="preserve"> in other jurisdictions to ensure that </w:t>
      </w:r>
      <w:r w:rsidR="00C24A2A" w:rsidRPr="004A3983">
        <w:t>it</w:t>
      </w:r>
      <w:r w:rsidRPr="004A3983">
        <w:t xml:space="preserve"> correctly identifies: </w:t>
      </w:r>
    </w:p>
    <w:p w14:paraId="6C0F8421" w14:textId="045FBA60" w:rsidR="00D0040D" w:rsidRPr="004A3983" w:rsidRDefault="00D0040D" w:rsidP="00677139">
      <w:pPr>
        <w:pStyle w:val="ListNumber"/>
        <w:numPr>
          <w:ilvl w:val="0"/>
          <w:numId w:val="26"/>
        </w:numPr>
      </w:pPr>
      <w:r w:rsidRPr="004A3983">
        <w:t xml:space="preserve">which persons who enter </w:t>
      </w:r>
      <w:r w:rsidR="008C665C" w:rsidRPr="004A3983">
        <w:t>New South Wales</w:t>
      </w:r>
      <w:r w:rsidRPr="004A3983">
        <w:t xml:space="preserve"> from other jurisdictions are required to make reports under the CPOR Act, and therefore need to be put on the N</w:t>
      </w:r>
      <w:r w:rsidR="008C665C" w:rsidRPr="004A3983">
        <w:t xml:space="preserve">ew </w:t>
      </w:r>
      <w:r w:rsidRPr="004A3983">
        <w:t>S</w:t>
      </w:r>
      <w:r w:rsidR="008C665C" w:rsidRPr="004A3983">
        <w:t xml:space="preserve">outh </w:t>
      </w:r>
      <w:r w:rsidRPr="004A3983">
        <w:t>W</w:t>
      </w:r>
      <w:r w:rsidR="008C665C" w:rsidRPr="004A3983">
        <w:t>ales</w:t>
      </w:r>
      <w:r w:rsidRPr="004A3983">
        <w:t xml:space="preserve"> Register, and </w:t>
      </w:r>
    </w:p>
    <w:p w14:paraId="194A9DA8" w14:textId="026F7F2C" w:rsidR="00F271D9" w:rsidRPr="004A3983" w:rsidRDefault="00F271D9" w:rsidP="008F34A3">
      <w:pPr>
        <w:pStyle w:val="ListNumber"/>
      </w:pPr>
      <w:r w:rsidRPr="004A3983">
        <w:t xml:space="preserve">for how long their reporting obligations in </w:t>
      </w:r>
      <w:r w:rsidR="008C665C" w:rsidRPr="004A3983">
        <w:t>New South Wales</w:t>
      </w:r>
      <w:r w:rsidRPr="004A3983">
        <w:t xml:space="preserve"> will continue.</w:t>
      </w:r>
    </w:p>
    <w:p w14:paraId="3D09211B" w14:textId="1C94372D" w:rsidR="00785B60" w:rsidRPr="004A3983" w:rsidRDefault="00F271D9" w:rsidP="00062C0B">
      <w:pPr>
        <w:spacing w:after="160"/>
        <w:ind w:right="-2"/>
      </w:pPr>
      <w:r w:rsidRPr="004A3983">
        <w:t xml:space="preserve">These tasks are complicated by the fact that there is a lack of consistency across the </w:t>
      </w:r>
      <w:r w:rsidR="002733CE" w:rsidRPr="004A3983">
        <w:t xml:space="preserve">offender registration laws </w:t>
      </w:r>
      <w:r w:rsidR="00652BAD" w:rsidRPr="004A3983">
        <w:t>in Australia</w:t>
      </w:r>
      <w:r w:rsidRPr="004A3983">
        <w:t xml:space="preserve"> as to which offenders are registrable, and the length of time for which they should provide reports to police. </w:t>
      </w:r>
    </w:p>
    <w:p w14:paraId="2C2DCB90" w14:textId="6819E912" w:rsidR="00F271D9" w:rsidRPr="004A3983" w:rsidRDefault="008407C8" w:rsidP="00062C0B">
      <w:pPr>
        <w:spacing w:after="160"/>
        <w:ind w:right="-2"/>
      </w:pPr>
      <w:r w:rsidRPr="004A3983">
        <w:t xml:space="preserve">For example, a comparison of the CPOR Act with the </w:t>
      </w:r>
      <w:r w:rsidRPr="004A3983">
        <w:rPr>
          <w:i/>
        </w:rPr>
        <w:t>Crimes (Child Sex Offenders) Act 2005</w:t>
      </w:r>
      <w:r w:rsidRPr="004A3983">
        <w:t xml:space="preserve"> (ACT) reveals that manslaughter of a child (other than as a result of a motor vehicle accident) is a registrable offence in New South Wales, but not in the A</w:t>
      </w:r>
      <w:r w:rsidR="00067025" w:rsidRPr="004A3983">
        <w:t xml:space="preserve">ustralian </w:t>
      </w:r>
      <w:r w:rsidRPr="004A3983">
        <w:t>C</w:t>
      </w:r>
      <w:r w:rsidR="00067025" w:rsidRPr="004A3983">
        <w:t xml:space="preserve">apital </w:t>
      </w:r>
      <w:r w:rsidRPr="004A3983">
        <w:t>T</w:t>
      </w:r>
      <w:r w:rsidR="00067025" w:rsidRPr="004A3983">
        <w:t>erritory</w:t>
      </w:r>
      <w:r w:rsidRPr="004A3983">
        <w:t xml:space="preserve"> (unless a specific child sex offender registration order is made).</w:t>
      </w:r>
      <w:r w:rsidRPr="004A3983">
        <w:rPr>
          <w:rStyle w:val="FootnoteReference"/>
        </w:rPr>
        <w:footnoteReference w:id="686"/>
      </w:r>
      <w:r w:rsidRPr="004A3983">
        <w:t xml:space="preserve"> Also, </w:t>
      </w:r>
      <w:r w:rsidR="00067025" w:rsidRPr="004A3983">
        <w:t>in the Australian Capital Territory</w:t>
      </w:r>
      <w:r w:rsidRPr="004A3983">
        <w:t xml:space="preserve"> </w:t>
      </w:r>
      <w:r w:rsidR="00F271D9" w:rsidRPr="004A3983">
        <w:t>an ‘act of indecency in the first degree’ is a Class 1 offence which results in a 15 year reporting period,</w:t>
      </w:r>
      <w:r w:rsidR="00F271D9" w:rsidRPr="004A3983">
        <w:rPr>
          <w:rStyle w:val="FootnoteReference"/>
        </w:rPr>
        <w:footnoteReference w:id="687"/>
      </w:r>
      <w:r w:rsidR="00F271D9" w:rsidRPr="004A3983">
        <w:t xml:space="preserve"> whereas in </w:t>
      </w:r>
      <w:r w:rsidR="008C665C" w:rsidRPr="004A3983">
        <w:t>New South Wales</w:t>
      </w:r>
      <w:r w:rsidR="00F271D9" w:rsidRPr="004A3983">
        <w:t>, under the CPOR Act that same offence would be a Cla</w:t>
      </w:r>
      <w:r w:rsidR="00A461F9" w:rsidRPr="004A3983">
        <w:t xml:space="preserve">ss 2 offence resulting in only </w:t>
      </w:r>
      <w:r w:rsidR="00A515A6" w:rsidRPr="004A3983">
        <w:t xml:space="preserve">an </w:t>
      </w:r>
      <w:r w:rsidR="00A461F9" w:rsidRPr="004A3983">
        <w:t>eight</w:t>
      </w:r>
      <w:r w:rsidR="00A515A6" w:rsidRPr="004A3983">
        <w:t xml:space="preserve"> year reporting period</w:t>
      </w:r>
      <w:r w:rsidR="00F271D9" w:rsidRPr="004A3983">
        <w:t>.</w:t>
      </w:r>
      <w:r w:rsidR="00F271D9" w:rsidRPr="004A3983">
        <w:rPr>
          <w:rStyle w:val="FootnoteReference"/>
        </w:rPr>
        <w:footnoteReference w:id="688"/>
      </w:r>
    </w:p>
    <w:p w14:paraId="73E72295" w14:textId="3160F1B3" w:rsidR="00F271D9" w:rsidRPr="004A3983" w:rsidRDefault="00F271D9" w:rsidP="00062C0B">
      <w:pPr>
        <w:spacing w:after="160"/>
        <w:ind w:right="-2"/>
      </w:pPr>
      <w:r w:rsidRPr="004A3983">
        <w:t>It should be noted that the exceptions to registrat</w:t>
      </w:r>
      <w:r w:rsidR="00AC4F14" w:rsidRPr="004A3983">
        <w:t xml:space="preserve">ion in s 3A(2) do not apply to </w:t>
      </w:r>
      <w:r w:rsidR="004159EF" w:rsidRPr="004A3983">
        <w:t>corresponding registrable person</w:t>
      </w:r>
      <w:r w:rsidR="00AC4F14" w:rsidRPr="004A3983">
        <w:t>s</w:t>
      </w:r>
      <w:r w:rsidRPr="004A3983">
        <w:t xml:space="preserve"> (in contrast to persons who are registrable through the ‘foreign jurisdiction offence’ provisions).</w:t>
      </w:r>
    </w:p>
    <w:p w14:paraId="65E04D3E" w14:textId="4B439BA6" w:rsidR="00F271D9" w:rsidRPr="004A3983" w:rsidRDefault="00B35156" w:rsidP="00F84ADE">
      <w:pPr>
        <w:pStyle w:val="AppendixHeading2"/>
      </w:pPr>
      <w:bookmarkStart w:id="662" w:name="_Ref9428759"/>
      <w:bookmarkStart w:id="663" w:name="_Ref9850949"/>
      <w:bookmarkStart w:id="664" w:name="_Ref9929519"/>
      <w:bookmarkStart w:id="665" w:name="_Ref9929655"/>
      <w:bookmarkStart w:id="666" w:name="_Toc22627874"/>
      <w:r w:rsidRPr="004A3983">
        <w:t xml:space="preserve">Determining </w:t>
      </w:r>
      <w:r w:rsidRPr="00F84ADE">
        <w:t>whether</w:t>
      </w:r>
      <w:r w:rsidRPr="004A3983">
        <w:t xml:space="preserve"> the foreign jurisdiction offence</w:t>
      </w:r>
      <w:r w:rsidR="00F271D9" w:rsidRPr="004A3983">
        <w:t xml:space="preserve"> provisions </w:t>
      </w:r>
      <w:r w:rsidR="007A6204" w:rsidRPr="004A3983">
        <w:t>and/or</w:t>
      </w:r>
      <w:r w:rsidR="00F271D9" w:rsidRPr="004A3983">
        <w:t xml:space="preserve"> </w:t>
      </w:r>
      <w:r w:rsidRPr="004A3983">
        <w:t xml:space="preserve">the </w:t>
      </w:r>
      <w:r w:rsidR="00F271D9" w:rsidRPr="004A3983">
        <w:t>c</w:t>
      </w:r>
      <w:r w:rsidRPr="004A3983">
        <w:t>orresponding registrable person</w:t>
      </w:r>
      <w:r w:rsidR="00F271D9" w:rsidRPr="004A3983">
        <w:t xml:space="preserve"> provisions apply</w:t>
      </w:r>
      <w:bookmarkEnd w:id="662"/>
      <w:bookmarkEnd w:id="663"/>
      <w:bookmarkEnd w:id="664"/>
      <w:bookmarkEnd w:id="665"/>
      <w:bookmarkEnd w:id="666"/>
    </w:p>
    <w:p w14:paraId="0930B4C7" w14:textId="1FE9BC92" w:rsidR="00F271D9" w:rsidRPr="004A3983" w:rsidRDefault="00F271D9" w:rsidP="00062C0B">
      <w:pPr>
        <w:spacing w:after="160"/>
        <w:ind w:right="-2"/>
      </w:pPr>
      <w:r w:rsidRPr="004A3983">
        <w:t>T</w:t>
      </w:r>
      <w:r w:rsidR="00B35156" w:rsidRPr="004A3983">
        <w:t>here is overlap between the foreign jurisdiction offence</w:t>
      </w:r>
      <w:r w:rsidRPr="004A3983">
        <w:t xml:space="preserve"> provisions and the </w:t>
      </w:r>
      <w:r w:rsidR="004159EF" w:rsidRPr="004A3983">
        <w:t>corresponding registrable person</w:t>
      </w:r>
      <w:r w:rsidRPr="004A3983">
        <w:t xml:space="preserve"> provisions. It is not clear under the CPOR Act which provisions should be preferr</w:t>
      </w:r>
      <w:r w:rsidR="00B35156" w:rsidRPr="004A3983">
        <w:t>ed if both would apply to a</w:t>
      </w:r>
      <w:r w:rsidRPr="004A3983">
        <w:t xml:space="preserve"> person. This will occur where:</w:t>
      </w:r>
    </w:p>
    <w:p w14:paraId="2C93E3C7" w14:textId="122076D9" w:rsidR="00F271D9" w:rsidRPr="004A3983" w:rsidRDefault="00F271D9" w:rsidP="008F34A3">
      <w:pPr>
        <w:pStyle w:val="ListBullet"/>
      </w:pPr>
      <w:r w:rsidRPr="004A3983">
        <w:t xml:space="preserve">a person </w:t>
      </w:r>
      <w:r w:rsidR="00097D48" w:rsidRPr="004A3983">
        <w:t>in a foreign jurisdiction</w:t>
      </w:r>
      <w:r w:rsidRPr="004A3983">
        <w:t xml:space="preserve"> is sentenced for an offence that would be a Class 1 or Class 2 registrable offence under the CPOR Act if committed in </w:t>
      </w:r>
      <w:r w:rsidR="008C665C" w:rsidRPr="004A3983">
        <w:t>New South Wales</w:t>
      </w:r>
      <w:r w:rsidR="00097D48" w:rsidRPr="004A3983">
        <w:t>, and</w:t>
      </w:r>
    </w:p>
    <w:p w14:paraId="49B3E9FB" w14:textId="6C8F74B3" w:rsidR="00F271D9" w:rsidRPr="004A3983" w:rsidRDefault="00F271D9" w:rsidP="008F34A3">
      <w:pPr>
        <w:pStyle w:val="ListBullet"/>
      </w:pPr>
      <w:r w:rsidRPr="004A3983">
        <w:t xml:space="preserve">as a result of that </w:t>
      </w:r>
      <w:r w:rsidR="00097D48" w:rsidRPr="004A3983">
        <w:t>sentence</w:t>
      </w:r>
      <w:r w:rsidRPr="004A3983">
        <w:t xml:space="preserve">, the person is required to comply with reporting obligations under </w:t>
      </w:r>
      <w:r w:rsidR="00097D48" w:rsidRPr="004A3983">
        <w:t>the offender registration law in the foreign jurisdiction, and</w:t>
      </w:r>
    </w:p>
    <w:p w14:paraId="70865634" w14:textId="77B82FD9" w:rsidR="00097D48" w:rsidRPr="004A3983" w:rsidRDefault="00634FFC" w:rsidP="008F34A3">
      <w:pPr>
        <w:pStyle w:val="ListBullet"/>
      </w:pPr>
      <w:r w:rsidRPr="004A3983">
        <w:t>t</w:t>
      </w:r>
      <w:r w:rsidR="00097D48" w:rsidRPr="004A3983">
        <w:t>he person moves to Ne</w:t>
      </w:r>
      <w:r w:rsidRPr="004A3983">
        <w:t>w South Wales while still subject to</w:t>
      </w:r>
      <w:r w:rsidR="00097D48" w:rsidRPr="004A3983">
        <w:t xml:space="preserve"> reporting obligations in the foreign jurisdiction</w:t>
      </w:r>
      <w:r w:rsidRPr="004A3983">
        <w:t>.</w:t>
      </w:r>
    </w:p>
    <w:p w14:paraId="09011E04" w14:textId="30558271" w:rsidR="00F271D9" w:rsidRPr="004A3983" w:rsidRDefault="00F271D9" w:rsidP="00062C0B">
      <w:pPr>
        <w:spacing w:after="160"/>
        <w:ind w:right="-2"/>
      </w:pPr>
      <w:r w:rsidRPr="004A3983">
        <w:lastRenderedPageBreak/>
        <w:t>Determining under which set of provisions the person should be dealt with is important because, as mentioned above:</w:t>
      </w:r>
    </w:p>
    <w:p w14:paraId="2D11E021" w14:textId="062F2D91" w:rsidR="00F271D9" w:rsidRPr="004A3983" w:rsidRDefault="00F271D9" w:rsidP="008F34A3">
      <w:pPr>
        <w:pStyle w:val="ListBullet"/>
      </w:pPr>
      <w:r w:rsidRPr="004A3983">
        <w:t>the exceptions to registration in s 3A(2) will apply to a person dealt with under the ‘foreign jurisdiction offence’ limbs, but not to a person who is (or is</w:t>
      </w:r>
      <w:r w:rsidR="008F34A3">
        <w:t> </w:t>
      </w:r>
      <w:r w:rsidRPr="004A3983">
        <w:t>also) a corresponding registrable person</w:t>
      </w:r>
      <w:r w:rsidR="006C10AA" w:rsidRPr="004A3983">
        <w:t>, and</w:t>
      </w:r>
    </w:p>
    <w:p w14:paraId="47C4317E" w14:textId="1F08BD37" w:rsidR="00F271D9" w:rsidRPr="004A3983" w:rsidRDefault="00F271D9" w:rsidP="008F34A3">
      <w:pPr>
        <w:pStyle w:val="ListBullet"/>
      </w:pPr>
      <w:r w:rsidRPr="004A3983">
        <w:t xml:space="preserve">the person’s reporting period in </w:t>
      </w:r>
      <w:r w:rsidR="008C665C" w:rsidRPr="004A3983">
        <w:t>New South Wales</w:t>
      </w:r>
      <w:r w:rsidRPr="004A3983">
        <w:t xml:space="preserve"> may be significantly differe</w:t>
      </w:r>
      <w:r w:rsidR="00783473" w:rsidRPr="004A3983">
        <w:t>nt</w:t>
      </w:r>
      <w:r w:rsidRPr="004A3983">
        <w:t xml:space="preserve"> depending on whether the reporting period is calculated under the formulas in s 14A of the CPOR Act (for ‘foreign jurisdiction offence’ registrable persons) or the reporting period is picked up from the other jurisdiction under s 19BC (for a </w:t>
      </w:r>
      <w:r w:rsidR="004159EF" w:rsidRPr="004A3983">
        <w:t>corresponding registrable person</w:t>
      </w:r>
      <w:r w:rsidRPr="004A3983">
        <w:t>).</w:t>
      </w:r>
    </w:p>
    <w:p w14:paraId="4CAB8BD5" w14:textId="1B342E21" w:rsidR="00F271D9" w:rsidRPr="004A3983" w:rsidRDefault="00F271D9" w:rsidP="00062C0B">
      <w:pPr>
        <w:spacing w:after="160"/>
        <w:ind w:right="-2"/>
      </w:pPr>
      <w:r w:rsidRPr="004A3983">
        <w:t xml:space="preserve">Example 8 below demonstrates the difficulty of trying to determine the obligations under </w:t>
      </w:r>
      <w:r w:rsidR="008C665C" w:rsidRPr="004A3983">
        <w:t>New South Wales</w:t>
      </w:r>
      <w:r w:rsidRPr="004A3983">
        <w:t xml:space="preserve"> law that apply to a person who was convicted and registered in another jurisdiction, particularly when the person is caught in the overlap between these two sets of provisions. This example also demonstrates how this task can be further complicated by being required to apply amendments to the CPOR Act </w:t>
      </w:r>
      <w:r w:rsidR="00783473" w:rsidRPr="004A3983">
        <w:t>which were given retrospective effect</w:t>
      </w:r>
      <w:r w:rsidRPr="004A3983">
        <w:t>.</w:t>
      </w:r>
    </w:p>
    <w:p w14:paraId="366BA2D6" w14:textId="24EA12A6" w:rsidR="00F271D9" w:rsidRPr="004A3983" w:rsidRDefault="00F271D9" w:rsidP="008F34A3">
      <w:pPr>
        <w:pStyle w:val="ExampleHeading"/>
      </w:pPr>
      <w:bookmarkStart w:id="667" w:name="_Toc10711480"/>
      <w:bookmarkStart w:id="668" w:name="_Toc21957551"/>
      <w:bookmarkStart w:id="669" w:name="_Toc22280918"/>
      <w:r w:rsidRPr="004A3983">
        <w:t>Example 8:</w:t>
      </w:r>
      <w:bookmarkEnd w:id="667"/>
      <w:bookmarkEnd w:id="668"/>
      <w:bookmarkEnd w:id="669"/>
    </w:p>
    <w:p w14:paraId="3359037A" w14:textId="24F1302E" w:rsidR="00F271D9" w:rsidRPr="004A3983" w:rsidRDefault="00F271D9" w:rsidP="00062C0B">
      <w:pPr>
        <w:pStyle w:val="CaseStudyText"/>
        <w:spacing w:after="160"/>
        <w:ind w:right="-2"/>
      </w:pPr>
      <w:r w:rsidRPr="004A3983">
        <w:t>In March 2008 Mr GG,</w:t>
      </w:r>
      <w:r w:rsidRPr="004A3983">
        <w:rPr>
          <w:rStyle w:val="FootnoteReference"/>
          <w:sz w:val="20"/>
          <w:szCs w:val="20"/>
        </w:rPr>
        <w:footnoteReference w:id="689"/>
      </w:r>
      <w:r w:rsidRPr="004A3983">
        <w:t xml:space="preserve"> who was under </w:t>
      </w:r>
      <w:r w:rsidR="00CC163B" w:rsidRPr="004A3983">
        <w:t>the age of 18</w:t>
      </w:r>
      <w:r w:rsidRPr="004A3983">
        <w:t xml:space="preserve">, pled guilty in </w:t>
      </w:r>
      <w:r w:rsidR="00157B7C" w:rsidRPr="004A3983">
        <w:t xml:space="preserve">a Tasmanian Court </w:t>
      </w:r>
      <w:r w:rsidRPr="004A3983">
        <w:t xml:space="preserve">to 14 counts of indecent assault. The court made an order releasing Mr GG without recording a conviction, and a 12 month probation order under the </w:t>
      </w:r>
      <w:r w:rsidRPr="004A3983">
        <w:rPr>
          <w:i/>
        </w:rPr>
        <w:t>Youth Justice Act 1997</w:t>
      </w:r>
      <w:r w:rsidRPr="004A3983">
        <w:t xml:space="preserve"> (Tas). The court also made an order that he comply with reporting obligations under the </w:t>
      </w:r>
      <w:r w:rsidRPr="004A3983">
        <w:rPr>
          <w:i/>
        </w:rPr>
        <w:t>Community Protection (Offender Reporting) Act 2005</w:t>
      </w:r>
      <w:r w:rsidRPr="004A3983">
        <w:t xml:space="preserve"> (Tas) for a period of two years. </w:t>
      </w:r>
    </w:p>
    <w:p w14:paraId="56BFCBA3" w14:textId="78DDE9FD" w:rsidR="00F271D9" w:rsidRPr="004A3983" w:rsidRDefault="00F271D9" w:rsidP="00062C0B">
      <w:pPr>
        <w:pStyle w:val="CaseStudyText"/>
        <w:spacing w:after="160"/>
        <w:ind w:right="-2"/>
      </w:pPr>
      <w:r w:rsidRPr="004A3983">
        <w:t>In around April 2008 Mr GG moved to N</w:t>
      </w:r>
      <w:r w:rsidR="00CC163B" w:rsidRPr="004A3983">
        <w:t xml:space="preserve">ew </w:t>
      </w:r>
      <w:r w:rsidRPr="004A3983">
        <w:t>S</w:t>
      </w:r>
      <w:r w:rsidR="00CC163B" w:rsidRPr="004A3983">
        <w:t xml:space="preserve">outh </w:t>
      </w:r>
      <w:r w:rsidRPr="004A3983">
        <w:t>W</w:t>
      </w:r>
      <w:r w:rsidR="00CC163B" w:rsidRPr="004A3983">
        <w:t>ales</w:t>
      </w:r>
      <w:r w:rsidRPr="004A3983">
        <w:t xml:space="preserve">. In May 2008 the NSW Police Force determined Mr GG was a registrable person and placed him on the Register. On 6 June 2008 he was informed by </w:t>
      </w:r>
      <w:r w:rsidR="00840E08" w:rsidRPr="004A3983">
        <w:t xml:space="preserve">the </w:t>
      </w:r>
      <w:r w:rsidRPr="004A3983">
        <w:t>NSW</w:t>
      </w:r>
      <w:r w:rsidR="00840E08" w:rsidRPr="004A3983">
        <w:t xml:space="preserve"> </w:t>
      </w:r>
      <w:r w:rsidRPr="004A3983">
        <w:t>P</w:t>
      </w:r>
      <w:r w:rsidR="00840E08" w:rsidRPr="004A3983">
        <w:t xml:space="preserve">olice </w:t>
      </w:r>
      <w:r w:rsidRPr="004A3983">
        <w:t>F</w:t>
      </w:r>
      <w:r w:rsidR="00840E08" w:rsidRPr="004A3983">
        <w:t>orce</w:t>
      </w:r>
      <w:r w:rsidRPr="004A3983">
        <w:t xml:space="preserve"> that his reporting obligations under the </w:t>
      </w:r>
      <w:r w:rsidR="003520C0" w:rsidRPr="004A3983">
        <w:t>CPOR Act could continue for seven</w:t>
      </w:r>
      <w:r w:rsidRPr="004A3983">
        <w:t xml:space="preserve"> years and 111 days. His reporting period was extended in 2011 due to periods Mr GG sp</w:t>
      </w:r>
      <w:r w:rsidR="005A70A7" w:rsidRPr="004A3983">
        <w:t>ent in custody in 2010 and 2011. As a result</w:t>
      </w:r>
      <w:r w:rsidR="00CC163B" w:rsidRPr="004A3983">
        <w:t>, according to NSW Police Force records, his reporting obligations</w:t>
      </w:r>
      <w:r w:rsidRPr="004A3983">
        <w:t xml:space="preserve"> would end in December 2016 at the earliest.</w:t>
      </w:r>
    </w:p>
    <w:p w14:paraId="2E3C6EDC" w14:textId="36ED108A" w:rsidR="00F271D9" w:rsidRPr="004A3983" w:rsidRDefault="00F271D9" w:rsidP="00062C0B">
      <w:pPr>
        <w:pStyle w:val="CaseStudyText"/>
        <w:spacing w:after="160"/>
        <w:ind w:right="-2"/>
      </w:pPr>
      <w:r w:rsidRPr="004A3983">
        <w:t xml:space="preserve">Between July 2011 and June 2016, Mr GG was charged with a total of 14 counts of failing to comply with reporting obligations under s 17 of the CPOR Act, on four different occasions. He was convicted on seven counts, was fined $300 for each of those </w:t>
      </w:r>
      <w:r w:rsidR="00567A99" w:rsidRPr="004A3983">
        <w:t>offences</w:t>
      </w:r>
      <w:r w:rsidRPr="004A3983">
        <w:t xml:space="preserve"> and was placed on a bond for 18 months.</w:t>
      </w:r>
    </w:p>
    <w:p w14:paraId="3FCBCB92" w14:textId="57320045" w:rsidR="00F271D9" w:rsidRPr="004A3983" w:rsidRDefault="00F271D9" w:rsidP="00062C0B">
      <w:pPr>
        <w:pStyle w:val="CaseStudyText"/>
        <w:spacing w:after="160"/>
        <w:ind w:right="-2"/>
        <w:rPr>
          <w:b/>
        </w:rPr>
      </w:pPr>
      <w:r w:rsidRPr="004A3983">
        <w:rPr>
          <w:b/>
        </w:rPr>
        <w:t>NSW Police Force review of Mr GG’s case in 2016</w:t>
      </w:r>
    </w:p>
    <w:p w14:paraId="1EA885A8" w14:textId="2BA9D240" w:rsidR="00F271D9" w:rsidRPr="004A3983" w:rsidRDefault="00F271D9" w:rsidP="00062C0B">
      <w:pPr>
        <w:pStyle w:val="CaseStudyText"/>
        <w:spacing w:after="160"/>
        <w:ind w:right="-2"/>
      </w:pPr>
      <w:r w:rsidRPr="004A3983">
        <w:t>In July 2016 the NSW Police Force reviewed Mr GG’s case. It concluded that it had made an error in 2008 in concluding that Mr GG was a registrable person under the CPOR Act when he came to N</w:t>
      </w:r>
      <w:r w:rsidR="008C665C" w:rsidRPr="004A3983">
        <w:t xml:space="preserve">ew </w:t>
      </w:r>
      <w:r w:rsidRPr="004A3983">
        <w:t>S</w:t>
      </w:r>
      <w:r w:rsidR="008C665C" w:rsidRPr="004A3983">
        <w:t xml:space="preserve">outh </w:t>
      </w:r>
      <w:r w:rsidRPr="004A3983">
        <w:t>W</w:t>
      </w:r>
      <w:r w:rsidR="008C665C" w:rsidRPr="004A3983">
        <w:t>ales</w:t>
      </w:r>
      <w:r w:rsidRPr="004A3983">
        <w:t xml:space="preserve"> in April 2008. </w:t>
      </w:r>
    </w:p>
    <w:p w14:paraId="4EA9D9A4" w14:textId="53F476B9" w:rsidR="00F271D9" w:rsidRPr="004A3983" w:rsidRDefault="00F271D9" w:rsidP="00062C0B">
      <w:pPr>
        <w:pStyle w:val="CaseStudyText"/>
        <w:spacing w:after="160"/>
        <w:ind w:right="-2"/>
      </w:pPr>
      <w:r w:rsidRPr="004A3983">
        <w:t xml:space="preserve">The </w:t>
      </w:r>
      <w:r w:rsidR="008C665C" w:rsidRPr="004A3983">
        <w:t xml:space="preserve">NSW </w:t>
      </w:r>
      <w:r w:rsidRPr="004A3983">
        <w:t xml:space="preserve">Police Force noted that under the definition of a ‘corresponding registrable person’ which was in </w:t>
      </w:r>
      <w:r w:rsidR="001A148D" w:rsidRPr="004A3983">
        <w:t>force in April 2008, a</w:t>
      </w:r>
      <w:r w:rsidR="004F5840" w:rsidRPr="004A3983">
        <w:t xml:space="preserve"> person</w:t>
      </w:r>
      <w:r w:rsidRPr="004A3983">
        <w:t xml:space="preserve"> who was registered </w:t>
      </w:r>
      <w:r w:rsidRPr="004A3983">
        <w:lastRenderedPageBreak/>
        <w:t>in another jurisdiction would only be required to report in N</w:t>
      </w:r>
      <w:r w:rsidR="000D6B72" w:rsidRPr="004A3983">
        <w:t xml:space="preserve">ew </w:t>
      </w:r>
      <w:r w:rsidRPr="004A3983">
        <w:t>S</w:t>
      </w:r>
      <w:r w:rsidR="000D6B72" w:rsidRPr="004A3983">
        <w:t xml:space="preserve">outh </w:t>
      </w:r>
      <w:r w:rsidRPr="004A3983">
        <w:t>W</w:t>
      </w:r>
      <w:r w:rsidR="000D6B72" w:rsidRPr="004A3983">
        <w:t>ales</w:t>
      </w:r>
      <w:r w:rsidRPr="004A3983">
        <w:t xml:space="preserve"> </w:t>
      </w:r>
      <w:r w:rsidR="004F5840" w:rsidRPr="004A3983">
        <w:t xml:space="preserve">as a corresponding registrable person </w:t>
      </w:r>
      <w:r w:rsidRPr="004A3983">
        <w:t xml:space="preserve">if the person’s reporting period in the other jurisdiction would be </w:t>
      </w:r>
      <w:r w:rsidRPr="004A3983">
        <w:rPr>
          <w:b/>
        </w:rPr>
        <w:t>longer</w:t>
      </w:r>
      <w:r w:rsidRPr="004A3983">
        <w:t xml:space="preserve"> than the period the person would have been given for the offences under the CPOR Act.</w:t>
      </w:r>
      <w:r w:rsidRPr="004A3983">
        <w:rPr>
          <w:rStyle w:val="FootnoteReference"/>
          <w:sz w:val="20"/>
          <w:szCs w:val="20"/>
        </w:rPr>
        <w:footnoteReference w:id="690"/>
      </w:r>
      <w:r w:rsidRPr="004A3983">
        <w:t xml:space="preserve"> However, </w:t>
      </w:r>
      <w:r w:rsidR="00CD7041" w:rsidRPr="004A3983">
        <w:t xml:space="preserve">Mr GG’s reporting period of two years in Tasmania was significantly shorter that the reporting period he would have received </w:t>
      </w:r>
      <w:r w:rsidR="004F5840" w:rsidRPr="004A3983">
        <w:t xml:space="preserve">under the CPOR Act had he </w:t>
      </w:r>
      <w:r w:rsidRPr="004A3983">
        <w:t>been sentenced in N</w:t>
      </w:r>
      <w:r w:rsidR="000D6B72" w:rsidRPr="004A3983">
        <w:t xml:space="preserve">ew </w:t>
      </w:r>
      <w:r w:rsidRPr="004A3983">
        <w:t>S</w:t>
      </w:r>
      <w:r w:rsidR="000D6B72" w:rsidRPr="004A3983">
        <w:t xml:space="preserve">outh </w:t>
      </w:r>
      <w:r w:rsidRPr="004A3983">
        <w:t>W</w:t>
      </w:r>
      <w:r w:rsidR="000D6B72" w:rsidRPr="004A3983">
        <w:t>ales</w:t>
      </w:r>
      <w:r w:rsidRPr="004A3983">
        <w:t xml:space="preserve"> </w:t>
      </w:r>
      <w:r w:rsidR="00CD7041" w:rsidRPr="004A3983">
        <w:t>for those offences</w:t>
      </w:r>
      <w:r w:rsidRPr="004A3983">
        <w:t xml:space="preserve">.    </w:t>
      </w:r>
    </w:p>
    <w:p w14:paraId="1426638C" w14:textId="5B5D683B" w:rsidR="00F271D9" w:rsidRPr="004A3983" w:rsidRDefault="00F271D9" w:rsidP="00062C0B">
      <w:pPr>
        <w:pStyle w:val="CaseStudyText"/>
        <w:spacing w:after="160"/>
        <w:ind w:right="-2"/>
      </w:pPr>
      <w:r w:rsidRPr="004A3983">
        <w:t xml:space="preserve">The NSW Police Force therefore concluded </w:t>
      </w:r>
      <w:r w:rsidR="00070DEF" w:rsidRPr="004A3983">
        <w:t xml:space="preserve">in 2016 </w:t>
      </w:r>
      <w:r w:rsidR="00AA162A" w:rsidRPr="004A3983">
        <w:t xml:space="preserve">that Mr GG had not been a </w:t>
      </w:r>
      <w:r w:rsidRPr="004A3983">
        <w:t>corresponding r</w:t>
      </w:r>
      <w:r w:rsidR="00AA162A" w:rsidRPr="004A3983">
        <w:t>egistrable person in April</w:t>
      </w:r>
      <w:r w:rsidR="00070DEF" w:rsidRPr="004A3983">
        <w:t xml:space="preserve"> 2008</w:t>
      </w:r>
      <w:r w:rsidR="001A148D" w:rsidRPr="004A3983">
        <w:t>. It</w:t>
      </w:r>
      <w:r w:rsidR="002D431F" w:rsidRPr="004A3983">
        <w:t xml:space="preserve"> further concluded </w:t>
      </w:r>
      <w:r w:rsidRPr="004A3983">
        <w:t xml:space="preserve">that </w:t>
      </w:r>
      <w:r w:rsidR="00070DEF" w:rsidRPr="004A3983">
        <w:t>he</w:t>
      </w:r>
      <w:r w:rsidRPr="004A3983">
        <w:t xml:space="preserve"> should never have been placed on the Register</w:t>
      </w:r>
      <w:r w:rsidR="002058A5" w:rsidRPr="004A3983">
        <w:t xml:space="preserve"> in New South Wales</w:t>
      </w:r>
      <w:r w:rsidRPr="004A3983">
        <w:t>.</w:t>
      </w:r>
    </w:p>
    <w:p w14:paraId="7EF9C82A" w14:textId="1425FF63" w:rsidR="00F271D9" w:rsidRPr="004A3983" w:rsidRDefault="00F271D9" w:rsidP="00062C0B">
      <w:pPr>
        <w:pStyle w:val="CaseStudyText"/>
        <w:spacing w:after="160"/>
        <w:ind w:right="-2"/>
      </w:pPr>
      <w:r w:rsidRPr="004A3983">
        <w:t>The NSW Police Force, and at its request, the Department of Justice, consequently applied for annulments of Mr GG</w:t>
      </w:r>
      <w:r w:rsidR="002D431F" w:rsidRPr="004A3983">
        <w:t>’s</w:t>
      </w:r>
      <w:r w:rsidRPr="004A3983">
        <w:t xml:space="preserve"> convictions and sentences for offences under the CPOR Act between 2010 and 2016.</w:t>
      </w:r>
      <w:r w:rsidRPr="004A3983">
        <w:rPr>
          <w:vertAlign w:val="superscript"/>
        </w:rPr>
        <w:t xml:space="preserve"> </w:t>
      </w:r>
      <w:r w:rsidRPr="004A3983">
        <w:t>These annulments were granted by the courts in 2017.</w:t>
      </w:r>
      <w:r w:rsidRPr="004A3983">
        <w:rPr>
          <w:rStyle w:val="FootnoteReference"/>
          <w:sz w:val="20"/>
          <w:szCs w:val="20"/>
        </w:rPr>
        <w:footnoteReference w:id="691"/>
      </w:r>
    </w:p>
    <w:p w14:paraId="22A6B4FE" w14:textId="706FF2B5" w:rsidR="00F271D9" w:rsidRPr="004A3983" w:rsidRDefault="002D431F" w:rsidP="00062C0B">
      <w:pPr>
        <w:pStyle w:val="CaseStudyText"/>
        <w:spacing w:after="160"/>
        <w:ind w:right="-2"/>
        <w:rPr>
          <w:b/>
        </w:rPr>
      </w:pPr>
      <w:r w:rsidRPr="004A3983">
        <w:rPr>
          <w:b/>
        </w:rPr>
        <w:t>Commission</w:t>
      </w:r>
      <w:r w:rsidR="00F52209" w:rsidRPr="004A3983">
        <w:rPr>
          <w:b/>
        </w:rPr>
        <w:t>’s</w:t>
      </w:r>
      <w:r w:rsidR="00F271D9" w:rsidRPr="004A3983">
        <w:rPr>
          <w:b/>
        </w:rPr>
        <w:t xml:space="preserve"> review of Mr GG’s case in 2018</w:t>
      </w:r>
    </w:p>
    <w:p w14:paraId="1D5BB3FF" w14:textId="6F622F95" w:rsidR="00F271D9" w:rsidRPr="004A3983" w:rsidRDefault="00F271D9" w:rsidP="00062C0B">
      <w:pPr>
        <w:pStyle w:val="CaseStudyText"/>
        <w:spacing w:after="160"/>
        <w:ind w:right="-2"/>
      </w:pPr>
      <w:r w:rsidRPr="004A3983">
        <w:t xml:space="preserve">In May 2018 the Commission reviewed Mr GG’s case, and noted </w:t>
      </w:r>
      <w:r w:rsidR="002D431F" w:rsidRPr="004A3983">
        <w:t xml:space="preserve">the NSW Police Force had made </w:t>
      </w:r>
      <w:r w:rsidRPr="004A3983">
        <w:t xml:space="preserve">an error </w:t>
      </w:r>
      <w:r w:rsidR="002D431F" w:rsidRPr="004A3983">
        <w:t>when it</w:t>
      </w:r>
      <w:r w:rsidRPr="004A3983">
        <w:t xml:space="preserve"> review</w:t>
      </w:r>
      <w:r w:rsidR="002D431F" w:rsidRPr="004A3983">
        <w:t>ed his</w:t>
      </w:r>
      <w:r w:rsidR="00755042" w:rsidRPr="004A3983">
        <w:t xml:space="preserve"> case in 2016.</w:t>
      </w:r>
    </w:p>
    <w:p w14:paraId="5AE55B03" w14:textId="64821B07" w:rsidR="00F271D9" w:rsidRPr="004A3983" w:rsidRDefault="00F271D9" w:rsidP="00062C0B">
      <w:pPr>
        <w:pStyle w:val="CaseStudyText"/>
        <w:spacing w:after="160"/>
        <w:ind w:right="-2"/>
      </w:pPr>
      <w:r w:rsidRPr="004A3983">
        <w:t xml:space="preserve">The Commission concluded that </w:t>
      </w:r>
      <w:r w:rsidR="00755042" w:rsidRPr="004A3983">
        <w:t>although</w:t>
      </w:r>
      <w:r w:rsidRPr="004A3983">
        <w:t xml:space="preserve"> Mr GG was not a corresponding registrable person when he came to </w:t>
      </w:r>
      <w:r w:rsidR="008C665C" w:rsidRPr="004A3983">
        <w:t>New South Wales</w:t>
      </w:r>
      <w:r w:rsidRPr="004A3983">
        <w:t xml:space="preserve"> in April 2008, he had become one on 20 October 2008. On that date the definition of ‘corresponding registrable person’ in the CPOR Act had been amended to include any </w:t>
      </w:r>
      <w:r w:rsidR="009E16B6" w:rsidRPr="004A3983">
        <w:t>offender who had at any time ha</w:t>
      </w:r>
      <w:r w:rsidRPr="004A3983">
        <w:t>d reporting obligations in another jurisdiction, and would still be required to report, if still in that jurisdiction.</w:t>
      </w:r>
      <w:r w:rsidRPr="004A3983">
        <w:rPr>
          <w:rStyle w:val="FootnoteReference"/>
          <w:sz w:val="20"/>
          <w:szCs w:val="20"/>
        </w:rPr>
        <w:footnoteReference w:id="692"/>
      </w:r>
      <w:r w:rsidRPr="004A3983">
        <w:t xml:space="preserve"> This new definition had retrospective application, as it applied to any person whose reporting obligations in the other jurisdiction had arisen before the commencement of the new definition.</w:t>
      </w:r>
      <w:r w:rsidRPr="004A3983">
        <w:rPr>
          <w:rStyle w:val="FootnoteReference"/>
          <w:sz w:val="20"/>
          <w:szCs w:val="20"/>
        </w:rPr>
        <w:footnoteReference w:id="693"/>
      </w:r>
    </w:p>
    <w:p w14:paraId="02D7E560" w14:textId="13F99124" w:rsidR="00F271D9" w:rsidRPr="004A3983" w:rsidRDefault="00F271D9" w:rsidP="00062C0B">
      <w:pPr>
        <w:pStyle w:val="CaseStudyText"/>
        <w:spacing w:after="160"/>
        <w:ind w:right="-2"/>
      </w:pPr>
      <w:r w:rsidRPr="004A3983">
        <w:t>The Commission noted that Mr GG’</w:t>
      </w:r>
      <w:r w:rsidR="00DE6DAD" w:rsidRPr="004A3983">
        <w:t>s</w:t>
      </w:r>
      <w:r w:rsidRPr="004A3983">
        <w:t xml:space="preserve"> reporting period in N</w:t>
      </w:r>
      <w:r w:rsidR="00755042" w:rsidRPr="004A3983">
        <w:t xml:space="preserve">ew </w:t>
      </w:r>
      <w:r w:rsidRPr="004A3983">
        <w:t>S</w:t>
      </w:r>
      <w:r w:rsidR="00755042" w:rsidRPr="004A3983">
        <w:t xml:space="preserve">outh </w:t>
      </w:r>
      <w:r w:rsidRPr="004A3983">
        <w:t>W</w:t>
      </w:r>
      <w:r w:rsidR="00755042" w:rsidRPr="004A3983">
        <w:t>ales</w:t>
      </w:r>
      <w:r w:rsidRPr="004A3983">
        <w:t xml:space="preserve"> as a corresponding </w:t>
      </w:r>
      <w:r w:rsidR="00755042" w:rsidRPr="004A3983">
        <w:t>registrable person under the amended</w:t>
      </w:r>
      <w:r w:rsidRPr="004A3983">
        <w:t xml:space="preserve"> provisions in the CPOR Act was the same as it was under the Tasmanian Act – two years from March 2008.</w:t>
      </w:r>
      <w:r w:rsidRPr="004A3983">
        <w:rPr>
          <w:rStyle w:val="FootnoteReference"/>
          <w:sz w:val="20"/>
          <w:szCs w:val="20"/>
        </w:rPr>
        <w:footnoteReference w:id="694"/>
      </w:r>
      <w:r w:rsidRPr="004A3983">
        <w:t xml:space="preserve">  </w:t>
      </w:r>
    </w:p>
    <w:p w14:paraId="719B7275" w14:textId="5AF3B6E4" w:rsidR="00F271D9" w:rsidRDefault="00F271D9" w:rsidP="00062C0B">
      <w:pPr>
        <w:pStyle w:val="CaseStudyText"/>
        <w:spacing w:after="160"/>
        <w:ind w:right="-2"/>
      </w:pPr>
      <w:r w:rsidRPr="004A3983">
        <w:t xml:space="preserve">In 2018 the Commission therefore concluded that the NSW Police Force had made an error in 2016 in concluding that Mr GG had </w:t>
      </w:r>
      <w:r w:rsidR="00D4085A" w:rsidRPr="004A3983">
        <w:t>never been a registrable person. H</w:t>
      </w:r>
      <w:r w:rsidRPr="004A3983">
        <w:t xml:space="preserve">e had become a corresponding registrable person on 20 October 2008, and </w:t>
      </w:r>
      <w:r w:rsidR="00303169" w:rsidRPr="004A3983">
        <w:t xml:space="preserve">as such </w:t>
      </w:r>
      <w:r w:rsidR="003907DE" w:rsidRPr="004A3983">
        <w:t>had</w:t>
      </w:r>
      <w:r w:rsidR="00BB2B78" w:rsidRPr="004A3983">
        <w:t xml:space="preserve"> been required to comply with the reporting obligations in the CPOR Act </w:t>
      </w:r>
      <w:r w:rsidRPr="004A3983">
        <w:t xml:space="preserve">until at least </w:t>
      </w:r>
      <w:r w:rsidR="003907DE" w:rsidRPr="004A3983">
        <w:t>2010</w:t>
      </w:r>
      <w:r w:rsidRPr="004A3983">
        <w:t xml:space="preserve"> (</w:t>
      </w:r>
      <w:r w:rsidR="003907DE" w:rsidRPr="004A3983">
        <w:t>excluding the</w:t>
      </w:r>
      <w:r w:rsidRPr="004A3983">
        <w:t xml:space="preserve"> extensions for his time in custody in 2010-2011). </w:t>
      </w:r>
    </w:p>
    <w:p w14:paraId="52BC30E7" w14:textId="77777777" w:rsidR="008F34A3" w:rsidRPr="004A3983" w:rsidRDefault="008F34A3" w:rsidP="00062C0B">
      <w:pPr>
        <w:pStyle w:val="CaseStudyText"/>
        <w:spacing w:after="160"/>
        <w:ind w:right="-2"/>
      </w:pPr>
    </w:p>
    <w:p w14:paraId="7E5BA177" w14:textId="6D450A58" w:rsidR="00F271D9" w:rsidRPr="004A3983" w:rsidRDefault="005317AF" w:rsidP="00062C0B">
      <w:pPr>
        <w:pStyle w:val="CaseStudyText"/>
        <w:spacing w:after="160"/>
        <w:ind w:right="-2"/>
        <w:rPr>
          <w:b/>
        </w:rPr>
      </w:pPr>
      <w:r w:rsidRPr="004A3983">
        <w:rPr>
          <w:b/>
        </w:rPr>
        <w:lastRenderedPageBreak/>
        <w:t>Commission</w:t>
      </w:r>
      <w:r w:rsidR="00F52209" w:rsidRPr="004A3983">
        <w:rPr>
          <w:b/>
        </w:rPr>
        <w:t>’s</w:t>
      </w:r>
      <w:r w:rsidR="00F271D9" w:rsidRPr="004A3983">
        <w:rPr>
          <w:b/>
        </w:rPr>
        <w:t xml:space="preserve"> re-review of Mr GG’s case in 2019</w:t>
      </w:r>
    </w:p>
    <w:p w14:paraId="02C04975" w14:textId="4FD5DA00" w:rsidR="00F271D9" w:rsidRPr="004A3983" w:rsidRDefault="00F271D9" w:rsidP="00062C0B">
      <w:pPr>
        <w:pStyle w:val="CaseStudyText"/>
        <w:spacing w:after="160"/>
        <w:ind w:right="-2"/>
      </w:pPr>
      <w:r w:rsidRPr="004A3983">
        <w:t>In March 2019 the Commission re-reviewed Mr GG’s case in the context of preparing the final report for Operation Tusket.</w:t>
      </w:r>
    </w:p>
    <w:p w14:paraId="05A367D2" w14:textId="2F7EEC38" w:rsidR="00F271D9" w:rsidRPr="004A3983" w:rsidRDefault="00F271D9" w:rsidP="00062C0B">
      <w:pPr>
        <w:pStyle w:val="CaseStudyText"/>
        <w:spacing w:after="160"/>
        <w:ind w:right="-2"/>
      </w:pPr>
      <w:r w:rsidRPr="004A3983">
        <w:t xml:space="preserve">The Commission realised that </w:t>
      </w:r>
      <w:r w:rsidR="00316FD1" w:rsidRPr="004A3983">
        <w:t xml:space="preserve">when reviewing Mr GG’s case, neither the NSW Police Force </w:t>
      </w:r>
      <w:r w:rsidR="007477F8" w:rsidRPr="004A3983">
        <w:t xml:space="preserve">(in 2016) </w:t>
      </w:r>
      <w:r w:rsidR="00316FD1" w:rsidRPr="004A3983">
        <w:t>nor the Commission</w:t>
      </w:r>
      <w:r w:rsidR="007477F8" w:rsidRPr="004A3983">
        <w:t xml:space="preserve"> (in 2018)</w:t>
      </w:r>
      <w:r w:rsidR="00316FD1" w:rsidRPr="004A3983">
        <w:t xml:space="preserve"> </w:t>
      </w:r>
      <w:r w:rsidRPr="004A3983">
        <w:t>had c</w:t>
      </w:r>
      <w:r w:rsidR="007477F8" w:rsidRPr="004A3983">
        <w:t>onsidered whether Mr </w:t>
      </w:r>
      <w:r w:rsidRPr="004A3983">
        <w:t>GG had been a registrable person under the ‘for</w:t>
      </w:r>
      <w:r w:rsidR="00391E2F" w:rsidRPr="004A3983">
        <w:t>eign jurisdiction offence’ limb</w:t>
      </w:r>
      <w:r w:rsidRPr="004A3983">
        <w:t xml:space="preserve"> of the definition of </w:t>
      </w:r>
      <w:r w:rsidR="0005595C" w:rsidRPr="004A3983">
        <w:t>‘</w:t>
      </w:r>
      <w:r w:rsidRPr="004A3983">
        <w:t>Class 2 offence</w:t>
      </w:r>
      <w:r w:rsidR="0005595C" w:rsidRPr="004A3983">
        <w:t>’ in the CPOR Act</w:t>
      </w:r>
      <w:r w:rsidRPr="004A3983">
        <w:t xml:space="preserve">. </w:t>
      </w:r>
    </w:p>
    <w:p w14:paraId="73C619AA" w14:textId="3C542C45" w:rsidR="00F271D9" w:rsidRPr="004A3983" w:rsidRDefault="00F271D9" w:rsidP="00062C0B">
      <w:pPr>
        <w:pStyle w:val="CaseStudyText"/>
        <w:spacing w:after="160"/>
        <w:ind w:right="-2"/>
      </w:pPr>
      <w:r w:rsidRPr="004A3983">
        <w:t>Mr GG had been convicted in a foreign jurisdiction of indecent assaults, which</w:t>
      </w:r>
      <w:r w:rsidR="00824477" w:rsidRPr="004A3983">
        <w:t>, had he committed those offences in New South Wales,</w:t>
      </w:r>
      <w:r w:rsidRPr="004A3983">
        <w:t xml:space="preserve"> would have constituted </w:t>
      </w:r>
      <w:r w:rsidR="007869AB" w:rsidRPr="004A3983">
        <w:t xml:space="preserve">Class 2 </w:t>
      </w:r>
      <w:r w:rsidRPr="004A3983">
        <w:t>offences</w:t>
      </w:r>
      <w:r w:rsidR="00AC2E62" w:rsidRPr="004A3983">
        <w:t xml:space="preserve"> under the CPOR Act</w:t>
      </w:r>
      <w:r w:rsidR="007869AB" w:rsidRPr="004A3983">
        <w:t>.</w:t>
      </w:r>
      <w:r w:rsidR="007869AB" w:rsidRPr="004A3983">
        <w:rPr>
          <w:rStyle w:val="FootnoteReference"/>
        </w:rPr>
        <w:footnoteReference w:id="695"/>
      </w:r>
      <w:r w:rsidRPr="004A3983">
        <w:t xml:space="preserve"> They accordingly </w:t>
      </w:r>
      <w:r w:rsidR="00D26974" w:rsidRPr="004A3983">
        <w:t>were</w:t>
      </w:r>
      <w:r w:rsidRPr="004A3983">
        <w:t xml:space="preserve"> registrable offences under the ‘foreign jurisdiction offence’ limb in para</w:t>
      </w:r>
      <w:r w:rsidR="00126E99">
        <w:t>graph</w:t>
      </w:r>
      <w:r w:rsidRPr="004A3983">
        <w:t xml:space="preserve"> (j) of the definition of a Class 2 offence. He was therefore a registrable person under s 3A of </w:t>
      </w:r>
      <w:r w:rsidR="00316FD1" w:rsidRPr="004A3983">
        <w:t>the CPOR Act when he entered New South Wales</w:t>
      </w:r>
      <w:r w:rsidRPr="004A3983">
        <w:t xml:space="preserve"> in April 2008.</w:t>
      </w:r>
      <w:r w:rsidRPr="004A3983">
        <w:rPr>
          <w:rStyle w:val="FootnoteReference"/>
          <w:sz w:val="20"/>
          <w:szCs w:val="20"/>
        </w:rPr>
        <w:footnoteReference w:id="696"/>
      </w:r>
    </w:p>
    <w:p w14:paraId="7882AEC1" w14:textId="0689918C" w:rsidR="00F271D9" w:rsidRPr="004A3983" w:rsidRDefault="00F271D9" w:rsidP="00062C0B">
      <w:pPr>
        <w:pStyle w:val="CaseStudyText"/>
        <w:spacing w:after="160"/>
        <w:ind w:right="-2"/>
      </w:pPr>
      <w:r w:rsidRPr="004A3983">
        <w:t>The Commission concluded in March 2019 that Mr GG was both a registrable person under th</w:t>
      </w:r>
      <w:r w:rsidR="00244188" w:rsidRPr="004A3983">
        <w:t>e foreign jurisdiction offence</w:t>
      </w:r>
      <w:r w:rsidRPr="004A3983">
        <w:t xml:space="preserve"> provisions (from when he </w:t>
      </w:r>
      <w:r w:rsidR="00DF0EC7" w:rsidRPr="004A3983">
        <w:t>entered New South Wales</w:t>
      </w:r>
      <w:r w:rsidRPr="004A3983">
        <w:t xml:space="preserve"> in April 2008</w:t>
      </w:r>
      <w:r w:rsidR="00244188" w:rsidRPr="004A3983">
        <w:t xml:space="preserve">) and a </w:t>
      </w:r>
      <w:r w:rsidRPr="004A3983">
        <w:t>c</w:t>
      </w:r>
      <w:r w:rsidR="00244188" w:rsidRPr="004A3983">
        <w:t>orresponding registrable person</w:t>
      </w:r>
      <w:r w:rsidRPr="004A3983">
        <w:t xml:space="preserve"> (from 20 October 2008). </w:t>
      </w:r>
    </w:p>
    <w:p w14:paraId="1C0ABF02" w14:textId="35016817" w:rsidR="00F271D9" w:rsidRPr="004A3983" w:rsidRDefault="00DF0EC7" w:rsidP="00062C0B">
      <w:pPr>
        <w:pStyle w:val="CaseStudyText"/>
        <w:spacing w:after="160"/>
        <w:ind w:right="-2"/>
      </w:pPr>
      <w:r w:rsidRPr="004A3983">
        <w:t>Mr GG’s reporting period</w:t>
      </w:r>
      <w:r w:rsidR="00C339B5" w:rsidRPr="004A3983">
        <w:t xml:space="preserve"> under the </w:t>
      </w:r>
      <w:r w:rsidR="00F271D9" w:rsidRPr="004A3983">
        <w:t>foreign j</w:t>
      </w:r>
      <w:r w:rsidR="00C339B5" w:rsidRPr="004A3983">
        <w:t>urisdiction offence</w:t>
      </w:r>
      <w:r w:rsidRPr="004A3983">
        <w:t xml:space="preserve"> provisions </w:t>
      </w:r>
      <w:r w:rsidR="00F271D9" w:rsidRPr="004A3983">
        <w:t xml:space="preserve">would have been calculated under s 14A of the CPOR Act as 7.5 years, as he had </w:t>
      </w:r>
      <w:r w:rsidR="00A43144" w:rsidRPr="004A3983">
        <w:t>pled</w:t>
      </w:r>
      <w:r w:rsidR="00F271D9" w:rsidRPr="004A3983">
        <w:t xml:space="preserve"> guilty to multiple Class 2 offences which he committed </w:t>
      </w:r>
      <w:r w:rsidR="00C339B5" w:rsidRPr="004A3983">
        <w:t>when he was under 18 years of age</w:t>
      </w:r>
      <w:r w:rsidR="00F271D9" w:rsidRPr="004A3983">
        <w:t>.</w:t>
      </w:r>
      <w:r w:rsidR="00F271D9" w:rsidRPr="004A3983">
        <w:rPr>
          <w:vertAlign w:val="superscript"/>
        </w:rPr>
        <w:footnoteReference w:id="697"/>
      </w:r>
      <w:r w:rsidR="00F271D9" w:rsidRPr="004A3983">
        <w:t xml:space="preserve"> When he </w:t>
      </w:r>
      <w:r w:rsidR="00A43144" w:rsidRPr="004A3983">
        <w:t>(</w:t>
      </w:r>
      <w:r w:rsidR="00F271D9" w:rsidRPr="004A3983">
        <w:t>also</w:t>
      </w:r>
      <w:r w:rsidR="00A43144" w:rsidRPr="004A3983">
        <w:t>)</w:t>
      </w:r>
      <w:r w:rsidR="00F271D9" w:rsidRPr="004A3983">
        <w:t xml:space="preserve"> became a corresponding registrable person in October 2008, his reporting period was governed by s 14D</w:t>
      </w:r>
      <w:r w:rsidR="00A43144" w:rsidRPr="004A3983">
        <w:t xml:space="preserve"> of the CPOR Act</w:t>
      </w:r>
      <w:r w:rsidR="00F271D9" w:rsidRPr="004A3983">
        <w:t>, which (then) provided:</w:t>
      </w:r>
    </w:p>
    <w:p w14:paraId="5268A63E" w14:textId="40DE7AE1" w:rsidR="00F271D9" w:rsidRPr="004A3983" w:rsidRDefault="00F271D9" w:rsidP="008F34A3">
      <w:pPr>
        <w:pStyle w:val="CaseStudyQuotesmall15cm"/>
      </w:pPr>
      <w:r w:rsidRPr="004A3983">
        <w:t>Despite anything in this Part, a corresponding registrable person must continue to comply with the reporting obligations imposed by this Part until he or she ceases to be a corresponding registrable person (emphasis added).</w:t>
      </w:r>
    </w:p>
    <w:p w14:paraId="0BC61081" w14:textId="09AAD9BB" w:rsidR="00F271D9" w:rsidRPr="004A3983" w:rsidRDefault="00F271D9" w:rsidP="00062C0B">
      <w:pPr>
        <w:pStyle w:val="CaseStudyText"/>
        <w:spacing w:after="160"/>
        <w:ind w:right="-2"/>
      </w:pPr>
      <w:r w:rsidRPr="004A3983">
        <w:t xml:space="preserve">As that section only prescribed a minimum reporting period, there was no inconsistency between the requirements of s 14D and s 14A. Both sections would be satisfied if Mr GG </w:t>
      </w:r>
      <w:r w:rsidR="00B26F36" w:rsidRPr="004A3983">
        <w:t xml:space="preserve">complied with </w:t>
      </w:r>
      <w:r w:rsidRPr="004A3983">
        <w:t>re</w:t>
      </w:r>
      <w:r w:rsidR="00B26F36" w:rsidRPr="004A3983">
        <w:t>porting obligations for</w:t>
      </w:r>
      <w:r w:rsidRPr="004A3983">
        <w:t xml:space="preserve"> 7.5 years. </w:t>
      </w:r>
    </w:p>
    <w:p w14:paraId="2044E783" w14:textId="079E8CD4" w:rsidR="00F271D9" w:rsidRPr="004A3983" w:rsidRDefault="00F271D9" w:rsidP="00062C0B">
      <w:pPr>
        <w:pStyle w:val="CaseStudyText"/>
        <w:spacing w:after="160"/>
        <w:ind w:right="-2"/>
      </w:pPr>
      <w:r w:rsidRPr="004A3983">
        <w:t xml:space="preserve">The Commission accordingly concluded </w:t>
      </w:r>
      <w:r w:rsidR="002266CF" w:rsidRPr="004A3983">
        <w:t xml:space="preserve">in 2019 </w:t>
      </w:r>
      <w:r w:rsidRPr="004A3983">
        <w:t>that Mr GG</w:t>
      </w:r>
      <w:r w:rsidR="00B55601" w:rsidRPr="004A3983">
        <w:t xml:space="preserve"> had been</w:t>
      </w:r>
      <w:r w:rsidRPr="004A3983">
        <w:t xml:space="preserve"> a regist</w:t>
      </w:r>
      <w:r w:rsidR="002266CF" w:rsidRPr="004A3983">
        <w:t xml:space="preserve">rable person </w:t>
      </w:r>
      <w:r w:rsidR="00173D9F" w:rsidRPr="004A3983">
        <w:t xml:space="preserve">under the CPOR Act </w:t>
      </w:r>
      <w:r w:rsidR="002266CF" w:rsidRPr="004A3983">
        <w:t>when he came to New South Wales</w:t>
      </w:r>
      <w:r w:rsidR="00B55601" w:rsidRPr="004A3983">
        <w:t xml:space="preserve"> in April 2008, and had been</w:t>
      </w:r>
      <w:r w:rsidR="00B538D8" w:rsidRPr="004A3983">
        <w:t xml:space="preserve"> required</w:t>
      </w:r>
      <w:r w:rsidR="00B55601" w:rsidRPr="004A3983">
        <w:t xml:space="preserve"> </w:t>
      </w:r>
      <w:r w:rsidR="00173D9F" w:rsidRPr="004A3983">
        <w:t>to comply with</w:t>
      </w:r>
      <w:r w:rsidR="00B538D8" w:rsidRPr="004A3983">
        <w:t xml:space="preserve"> reporting obligations </w:t>
      </w:r>
      <w:r w:rsidR="00173D9F" w:rsidRPr="004A3983">
        <w:t xml:space="preserve">in New South Wales </w:t>
      </w:r>
      <w:r w:rsidRPr="004A3983">
        <w:t>for 7.5 years, from March 2008 to September 2015 (this period later</w:t>
      </w:r>
      <w:r w:rsidR="002266CF" w:rsidRPr="004A3983">
        <w:t xml:space="preserve"> being</w:t>
      </w:r>
      <w:r w:rsidRPr="004A3983">
        <w:t xml:space="preserve"> extended for time in custody). This was consistent with the (remaining) reporting period the NSW</w:t>
      </w:r>
      <w:r w:rsidR="00952DC8" w:rsidRPr="004A3983">
        <w:t xml:space="preserve"> Police Force</w:t>
      </w:r>
      <w:r w:rsidRPr="004A3983">
        <w:t xml:space="preserve"> had </w:t>
      </w:r>
      <w:r w:rsidR="002266CF" w:rsidRPr="004A3983">
        <w:t xml:space="preserve">noted for Mr GG </w:t>
      </w:r>
      <w:r w:rsidRPr="004A3983">
        <w:t>in June 2008.</w:t>
      </w:r>
      <w:r w:rsidRPr="004A3983">
        <w:rPr>
          <w:vertAlign w:val="superscript"/>
        </w:rPr>
        <w:footnoteReference w:id="698"/>
      </w:r>
    </w:p>
    <w:p w14:paraId="5149EFC0" w14:textId="135DB700" w:rsidR="00F271D9" w:rsidRPr="004A3983" w:rsidRDefault="00F271D9" w:rsidP="00062C0B">
      <w:pPr>
        <w:pStyle w:val="CaseStudyText"/>
        <w:spacing w:after="160"/>
        <w:ind w:right="-2"/>
      </w:pPr>
      <w:r w:rsidRPr="004A3983">
        <w:lastRenderedPageBreak/>
        <w:t xml:space="preserve">This meant that the </w:t>
      </w:r>
      <w:r w:rsidR="00F3525D" w:rsidRPr="004A3983">
        <w:t xml:space="preserve">original decision made by the </w:t>
      </w:r>
      <w:r w:rsidRPr="004A3983">
        <w:t>NSW</w:t>
      </w:r>
      <w:r w:rsidR="00952DC8" w:rsidRPr="004A3983">
        <w:t xml:space="preserve"> Police Force</w:t>
      </w:r>
      <w:r w:rsidR="00F3525D" w:rsidRPr="004A3983">
        <w:t xml:space="preserve"> in 2008 about Mr GG’s registrable status and reporting period had been correct. T</w:t>
      </w:r>
      <w:r w:rsidRPr="004A3983">
        <w:t xml:space="preserve">he NSW Police Force had </w:t>
      </w:r>
      <w:r w:rsidR="00F3525D" w:rsidRPr="004A3983">
        <w:t xml:space="preserve">therefore </w:t>
      </w:r>
      <w:r w:rsidRPr="004A3983">
        <w:t>erred in concluding in 2016 that he was not a registrable person, and in applying for annulments of his convictions under the CPOR Act from between 2010 and</w:t>
      </w:r>
      <w:r w:rsidR="00AB3344" w:rsidRPr="004A3983">
        <w:t xml:space="preserve"> 2016.</w:t>
      </w:r>
    </w:p>
    <w:p w14:paraId="504B4C84" w14:textId="7BBBF4A6" w:rsidR="009D65F2" w:rsidRPr="004A3983" w:rsidRDefault="006810AC" w:rsidP="008C665C">
      <w:pPr>
        <w:pStyle w:val="CaseStudyText"/>
        <w:spacing w:after="360"/>
        <w:ind w:right="-2"/>
      </w:pPr>
      <w:r w:rsidRPr="004A3983">
        <w:t>I</w:t>
      </w:r>
      <w:r w:rsidR="00F271D9" w:rsidRPr="004A3983">
        <w:t>n</w:t>
      </w:r>
      <w:r w:rsidRPr="004A3983">
        <w:t xml:space="preserve"> </w:t>
      </w:r>
      <w:r w:rsidR="00F271D9" w:rsidRPr="004A3983">
        <w:t>March 2019 the Commission provided its analysis of Mr GG’</w:t>
      </w:r>
      <w:r w:rsidR="00AB3344" w:rsidRPr="004A3983">
        <w:t>s</w:t>
      </w:r>
      <w:r w:rsidR="00F271D9" w:rsidRPr="004A3983">
        <w:t xml:space="preserve"> case to the NSW Police Force.</w:t>
      </w:r>
    </w:p>
    <w:p w14:paraId="32751ED1" w14:textId="48B35EF9" w:rsidR="00F271D9" w:rsidRPr="004A3983" w:rsidRDefault="00F271D9" w:rsidP="00062C0B">
      <w:pPr>
        <w:spacing w:after="160"/>
        <w:ind w:right="-2"/>
        <w:rPr>
          <w:b/>
          <w:u w:val="single"/>
        </w:rPr>
      </w:pPr>
      <w:r w:rsidRPr="004A3983">
        <w:rPr>
          <w:b/>
          <w:u w:val="single"/>
        </w:rPr>
        <w:t xml:space="preserve">Conclusion following consultation with </w:t>
      </w:r>
      <w:r w:rsidR="00E266B3" w:rsidRPr="004A3983">
        <w:rPr>
          <w:b/>
          <w:u w:val="single"/>
        </w:rPr>
        <w:t xml:space="preserve">the </w:t>
      </w:r>
      <w:r w:rsidRPr="004A3983">
        <w:rPr>
          <w:b/>
          <w:u w:val="single"/>
        </w:rPr>
        <w:t>NSW</w:t>
      </w:r>
      <w:r w:rsidR="00952DC8" w:rsidRPr="004A3983">
        <w:rPr>
          <w:b/>
          <w:u w:val="single"/>
        </w:rPr>
        <w:t xml:space="preserve"> Police Force</w:t>
      </w:r>
      <w:r w:rsidRPr="004A3983">
        <w:rPr>
          <w:b/>
          <w:u w:val="single"/>
        </w:rPr>
        <w:t>:</w:t>
      </w:r>
    </w:p>
    <w:p w14:paraId="522C12F6" w14:textId="77777777" w:rsidR="00F271D9" w:rsidRPr="004A3983" w:rsidRDefault="00F271D9" w:rsidP="00062C0B">
      <w:pPr>
        <w:spacing w:after="160"/>
        <w:ind w:right="-2"/>
        <w:rPr>
          <w:b/>
        </w:rPr>
      </w:pPr>
      <w:r w:rsidRPr="004A3983">
        <w:rPr>
          <w:b/>
        </w:rPr>
        <w:t>Sections 19BB and 19BC need to be reviewed and redrafted in order to clarify the relationship between:</w:t>
      </w:r>
    </w:p>
    <w:p w14:paraId="7FE05BCD" w14:textId="77777777" w:rsidR="00F271D9" w:rsidRPr="008F34A3" w:rsidRDefault="00F271D9" w:rsidP="008F34A3">
      <w:pPr>
        <w:pStyle w:val="ListBullet"/>
        <w:rPr>
          <w:rStyle w:val="Bold"/>
        </w:rPr>
      </w:pPr>
      <w:r w:rsidRPr="008F34A3">
        <w:rPr>
          <w:rStyle w:val="Bold"/>
        </w:rPr>
        <w:t xml:space="preserve">the corresponding registrable person provisions, and </w:t>
      </w:r>
    </w:p>
    <w:p w14:paraId="5D2ED203" w14:textId="5CA27CEE" w:rsidR="00F271D9" w:rsidRPr="008F34A3" w:rsidRDefault="00F271D9" w:rsidP="008F34A3">
      <w:pPr>
        <w:pStyle w:val="ListBullet"/>
        <w:rPr>
          <w:rStyle w:val="Bold"/>
        </w:rPr>
      </w:pPr>
      <w:r w:rsidRPr="008F34A3">
        <w:rPr>
          <w:rStyle w:val="Bold"/>
        </w:rPr>
        <w:t xml:space="preserve">the provisions relating to persons </w:t>
      </w:r>
      <w:r w:rsidR="002341CF" w:rsidRPr="008F34A3">
        <w:rPr>
          <w:rStyle w:val="Bold"/>
        </w:rPr>
        <w:t xml:space="preserve">who are registrable persons because they were </w:t>
      </w:r>
      <w:r w:rsidRPr="008F34A3">
        <w:rPr>
          <w:rStyle w:val="Bold"/>
        </w:rPr>
        <w:t xml:space="preserve">sentenced for offences in foreign jurisdictions </w:t>
      </w:r>
      <w:r w:rsidR="002341CF" w:rsidRPr="008F34A3">
        <w:rPr>
          <w:rStyle w:val="Bold"/>
        </w:rPr>
        <w:t>which, if committed in New South Wales, would have been</w:t>
      </w:r>
      <w:r w:rsidRPr="008F34A3">
        <w:rPr>
          <w:rStyle w:val="Bold"/>
        </w:rPr>
        <w:t xml:space="preserve"> registrable </w:t>
      </w:r>
      <w:r w:rsidR="002341CF" w:rsidRPr="008F34A3">
        <w:rPr>
          <w:rStyle w:val="Bold"/>
        </w:rPr>
        <w:t xml:space="preserve">offences </w:t>
      </w:r>
      <w:r w:rsidRPr="008F34A3">
        <w:rPr>
          <w:rStyle w:val="Bold"/>
        </w:rPr>
        <w:t>under the CPOR Act (the ‘foreign jur</w:t>
      </w:r>
      <w:r w:rsidR="00373E55" w:rsidRPr="008F34A3">
        <w:rPr>
          <w:rStyle w:val="Bold"/>
        </w:rPr>
        <w:t xml:space="preserve">isdiction offence’ limbs in </w:t>
      </w:r>
      <w:r w:rsidRPr="008F34A3">
        <w:rPr>
          <w:rStyle w:val="Bold"/>
        </w:rPr>
        <w:t>para</w:t>
      </w:r>
      <w:r w:rsidR="007F4596">
        <w:rPr>
          <w:rStyle w:val="Bold"/>
        </w:rPr>
        <w:t>graphs</w:t>
      </w:r>
      <w:r w:rsidRPr="008F34A3">
        <w:rPr>
          <w:rStyle w:val="Bold"/>
        </w:rPr>
        <w:t xml:space="preserve"> (f) and (j) of the definitions of Class 1 and Class 2 offences respectively).</w:t>
      </w:r>
    </w:p>
    <w:p w14:paraId="6AD7C4D0" w14:textId="48922AB9" w:rsidR="009D65F2" w:rsidRPr="004A3983" w:rsidRDefault="009D65F2" w:rsidP="00F84ADE">
      <w:pPr>
        <w:pStyle w:val="AppendixHeading2"/>
      </w:pPr>
      <w:bookmarkStart w:id="670" w:name="_Toc22627875"/>
      <w:r w:rsidRPr="004A3983">
        <w:t>D</w:t>
      </w:r>
      <w:r w:rsidR="00C47590" w:rsidRPr="004A3983">
        <w:t>etermining</w:t>
      </w:r>
      <w:r w:rsidRPr="004A3983">
        <w:t xml:space="preserve"> </w:t>
      </w:r>
      <w:r w:rsidR="00C47590" w:rsidRPr="004A3983">
        <w:t xml:space="preserve">the </w:t>
      </w:r>
      <w:r w:rsidRPr="004A3983">
        <w:t xml:space="preserve">reporting period </w:t>
      </w:r>
      <w:r w:rsidR="00C47590" w:rsidRPr="00F84ADE">
        <w:t>for</w:t>
      </w:r>
      <w:r w:rsidR="00C47590" w:rsidRPr="004A3983">
        <w:t xml:space="preserve"> </w:t>
      </w:r>
      <w:r w:rsidRPr="004A3983">
        <w:t xml:space="preserve">a person </w:t>
      </w:r>
      <w:r w:rsidR="00C47590" w:rsidRPr="004A3983">
        <w:t xml:space="preserve">who </w:t>
      </w:r>
      <w:r w:rsidRPr="004A3983">
        <w:t xml:space="preserve">has </w:t>
      </w:r>
      <w:r w:rsidR="004516F4" w:rsidRPr="004A3983">
        <w:t>ha</w:t>
      </w:r>
      <w:r w:rsidRPr="004A3983">
        <w:t>d reporting obligations in multiple jurisdictions</w:t>
      </w:r>
      <w:bookmarkEnd w:id="670"/>
    </w:p>
    <w:p w14:paraId="32FAF0F7" w14:textId="7D65C5BE" w:rsidR="009D65F2" w:rsidRPr="004A3983" w:rsidRDefault="009D65F2" w:rsidP="00062C0B">
      <w:pPr>
        <w:spacing w:after="160"/>
        <w:ind w:right="-2"/>
      </w:pPr>
      <w:r w:rsidRPr="004A3983">
        <w:t xml:space="preserve">One problem raised by Registry officers was how to calculate a </w:t>
      </w:r>
      <w:r w:rsidR="00D010B9" w:rsidRPr="004A3983">
        <w:t>corresponding registrable person</w:t>
      </w:r>
      <w:r w:rsidRPr="004A3983">
        <w:t xml:space="preserve">’s reporting period when that person has moved through multiple jurisdictions before coming to </w:t>
      </w:r>
      <w:r w:rsidR="008C665C" w:rsidRPr="004A3983">
        <w:t>New South Wales</w:t>
      </w:r>
      <w:r w:rsidRPr="004A3983">
        <w:t xml:space="preserve">, and in each jurisdiction a different reporting period applied to that person. </w:t>
      </w:r>
    </w:p>
    <w:p w14:paraId="5FFB0FAA" w14:textId="77777777" w:rsidR="009D65F2" w:rsidRPr="004A3983" w:rsidRDefault="009D65F2" w:rsidP="00062C0B">
      <w:pPr>
        <w:spacing w:after="160"/>
        <w:ind w:right="-2"/>
      </w:pPr>
      <w:r w:rsidRPr="004A3983">
        <w:t>For example if a person:</w:t>
      </w:r>
    </w:p>
    <w:p w14:paraId="3D94E817" w14:textId="0A3C53B7" w:rsidR="009D65F2" w:rsidRPr="004A3983" w:rsidRDefault="009D65F2" w:rsidP="00677139">
      <w:pPr>
        <w:pStyle w:val="ListNumber"/>
        <w:numPr>
          <w:ilvl w:val="0"/>
          <w:numId w:val="27"/>
        </w:numPr>
      </w:pPr>
      <w:r w:rsidRPr="004A3983">
        <w:t>commits a registrable</w:t>
      </w:r>
      <w:r w:rsidR="00F87101" w:rsidRPr="004A3983">
        <w:t xml:space="preserve"> offence in jurisdiction A, and under the offender registration law in that jurisdiction has </w:t>
      </w:r>
      <w:r w:rsidR="00CA0B8D" w:rsidRPr="004A3983">
        <w:t>a reporting period of five</w:t>
      </w:r>
      <w:r w:rsidRPr="004A3983">
        <w:t xml:space="preserve"> years, then</w:t>
      </w:r>
    </w:p>
    <w:p w14:paraId="14989373" w14:textId="1EF797A7" w:rsidR="009D65F2" w:rsidRPr="004A3983" w:rsidRDefault="009D65F2" w:rsidP="00677139">
      <w:pPr>
        <w:pStyle w:val="ListNumber"/>
        <w:numPr>
          <w:ilvl w:val="0"/>
          <w:numId w:val="27"/>
        </w:numPr>
      </w:pPr>
      <w:r w:rsidRPr="004A3983">
        <w:t xml:space="preserve">moves to jurisdiction B, and under </w:t>
      </w:r>
      <w:r w:rsidR="00F87101" w:rsidRPr="004A3983">
        <w:t>that jurisdiction’s offender registration law</w:t>
      </w:r>
      <w:r w:rsidRPr="004A3983">
        <w:t xml:space="preserve"> </w:t>
      </w:r>
      <w:r w:rsidR="00F87101" w:rsidRPr="004A3983">
        <w:t>has a reporting period of eight</w:t>
      </w:r>
      <w:r w:rsidRPr="004A3983">
        <w:t xml:space="preserve"> years, then</w:t>
      </w:r>
    </w:p>
    <w:p w14:paraId="3C5D5521" w14:textId="334726E3" w:rsidR="009D65F2" w:rsidRPr="004A3983" w:rsidRDefault="009D65F2" w:rsidP="00677139">
      <w:pPr>
        <w:pStyle w:val="ListNumber"/>
        <w:numPr>
          <w:ilvl w:val="0"/>
          <w:numId w:val="27"/>
        </w:numPr>
      </w:pPr>
      <w:r w:rsidRPr="004A3983">
        <w:t xml:space="preserve">moves to </w:t>
      </w:r>
      <w:r w:rsidR="008C665C" w:rsidRPr="004A3983">
        <w:t>New South Wales</w:t>
      </w:r>
      <w:r w:rsidR="00A36464" w:rsidRPr="004A3983">
        <w:t>,</w:t>
      </w:r>
    </w:p>
    <w:p w14:paraId="4D2A0E8C" w14:textId="0D8D7CE9" w:rsidR="009D65F2" w:rsidRPr="004A3983" w:rsidRDefault="009D65F2" w:rsidP="00062C0B">
      <w:pPr>
        <w:spacing w:after="160"/>
        <w:ind w:right="-2"/>
      </w:pPr>
      <w:r w:rsidRPr="004A3983">
        <w:t>is the correct reporting period for</w:t>
      </w:r>
      <w:r w:rsidR="00494132" w:rsidRPr="004A3983">
        <w:t xml:space="preserve"> the person under the CPOR Act five</w:t>
      </w:r>
      <w:r w:rsidRPr="004A3983">
        <w:t xml:space="preserve"> years,</w:t>
      </w:r>
      <w:r w:rsidR="00494132" w:rsidRPr="004A3983">
        <w:t xml:space="preserve"> or eight</w:t>
      </w:r>
      <w:r w:rsidRPr="004A3983">
        <w:t xml:space="preserve"> years?</w:t>
      </w:r>
    </w:p>
    <w:p w14:paraId="136F423B" w14:textId="1C97D9C3" w:rsidR="009D65F2" w:rsidRPr="004A3983" w:rsidRDefault="001A21FC" w:rsidP="00062C0B">
      <w:pPr>
        <w:spacing w:after="160"/>
        <w:ind w:right="-2"/>
      </w:pPr>
      <w:r w:rsidRPr="004A3983">
        <w:t xml:space="preserve">Section 19BC provides that a </w:t>
      </w:r>
      <w:r w:rsidR="004159EF" w:rsidRPr="004A3983">
        <w:t>corresponding registrable person</w:t>
      </w:r>
      <w:r w:rsidR="009D65F2" w:rsidRPr="004A3983">
        <w:t>’s reporting period is ‘the whole period during which the person is a corresponding registrable person’.</w:t>
      </w:r>
      <w:r w:rsidR="009343C7" w:rsidRPr="004A3983">
        <w:t xml:space="preserve"> </w:t>
      </w:r>
      <w:r w:rsidR="007B3D6D" w:rsidRPr="004A3983">
        <w:t xml:space="preserve">Under s 19BB(1), a </w:t>
      </w:r>
      <w:r w:rsidR="002C5228" w:rsidRPr="004A3983">
        <w:t xml:space="preserve">person is a </w:t>
      </w:r>
      <w:r w:rsidR="004159EF" w:rsidRPr="004A3983">
        <w:t>corresponding registrable person</w:t>
      </w:r>
      <w:r w:rsidR="009D65F2" w:rsidRPr="004A3983">
        <w:t xml:space="preserve"> if they: (1) </w:t>
      </w:r>
      <w:r w:rsidR="00BD2912" w:rsidRPr="004A3983">
        <w:t>have</w:t>
      </w:r>
      <w:r w:rsidR="009D65F2" w:rsidRPr="004A3983">
        <w:t xml:space="preserve"> at </w:t>
      </w:r>
      <w:r w:rsidR="009D65F2" w:rsidRPr="004A3983">
        <w:rPr>
          <w:b/>
        </w:rPr>
        <w:t>any time</w:t>
      </w:r>
      <w:r w:rsidR="009D65F2" w:rsidRPr="004A3983">
        <w:t xml:space="preserve"> been in a foreign jurisdiction where they were required to report to a corresponding registrar and (2) would, if they were still in that jurisdiction, still be required to report to that registrar.</w:t>
      </w:r>
      <w:r w:rsidR="009D65F2" w:rsidRPr="004A3983">
        <w:rPr>
          <w:rStyle w:val="FootnoteReference"/>
        </w:rPr>
        <w:footnoteReference w:id="699"/>
      </w:r>
      <w:r w:rsidR="009D65F2" w:rsidRPr="004A3983">
        <w:t xml:space="preserve"> </w:t>
      </w:r>
    </w:p>
    <w:p w14:paraId="4C930247" w14:textId="49FACBDD" w:rsidR="009D65F2" w:rsidRPr="004A3983" w:rsidRDefault="009D65F2" w:rsidP="00062C0B">
      <w:pPr>
        <w:spacing w:after="160"/>
        <w:ind w:right="-2"/>
      </w:pPr>
      <w:r w:rsidRPr="004A3983">
        <w:lastRenderedPageBreak/>
        <w:t xml:space="preserve">There is no explicit reference in the definition of a </w:t>
      </w:r>
      <w:r w:rsidR="004159EF" w:rsidRPr="004A3983">
        <w:t>corresponding registrable person</w:t>
      </w:r>
      <w:r w:rsidRPr="004A3983">
        <w:t xml:space="preserve"> in s 19BB(1) to the jurisdiction in which the person originally committed the offence (the originating jurisdiction). This can be contrasted with s 19BB</w:t>
      </w:r>
      <w:r w:rsidR="00246112" w:rsidRPr="004A3983">
        <w:t xml:space="preserve"> sub-section </w:t>
      </w:r>
      <w:r w:rsidRPr="004A3983">
        <w:t xml:space="preserve">(3), which explicitly refers to the jurisdiction in which the person was found guilty. It is clear however from the word ‘includes’ in the opening to sub-s (3) that it does not provide an exhaustive definition of who is a </w:t>
      </w:r>
      <w:r w:rsidR="004159EF" w:rsidRPr="004A3983">
        <w:t>corresponding registrable person</w:t>
      </w:r>
      <w:r w:rsidRPr="004A3983">
        <w:t xml:space="preserve"> (ie sub-s</w:t>
      </w:r>
      <w:r w:rsidR="001C26F2" w:rsidRPr="004A3983">
        <w:t xml:space="preserve"> </w:t>
      </w:r>
      <w:r w:rsidRPr="004A3983">
        <w:t xml:space="preserve">(3) does not limit the scope of sub-s (1)). </w:t>
      </w:r>
    </w:p>
    <w:p w14:paraId="13AC6457" w14:textId="1F336C81" w:rsidR="009D65F2" w:rsidRPr="004A3983" w:rsidRDefault="009D65F2" w:rsidP="00062C0B">
      <w:pPr>
        <w:spacing w:after="160"/>
        <w:ind w:right="-2"/>
      </w:pPr>
      <w:r w:rsidRPr="004A3983">
        <w:t>One interpr</w:t>
      </w:r>
      <w:r w:rsidR="007473E3" w:rsidRPr="004A3983">
        <w:t>etation of s 19BB(1) is that a</w:t>
      </w:r>
      <w:r w:rsidRPr="004A3983">
        <w:t xml:space="preserve"> </w:t>
      </w:r>
      <w:r w:rsidR="004159EF" w:rsidRPr="004A3983">
        <w:t>corresponding registrable person</w:t>
      </w:r>
      <w:r w:rsidRPr="004A3983">
        <w:t xml:space="preserve">’s reporting period </w:t>
      </w:r>
      <w:r w:rsidR="000C2A15" w:rsidRPr="004A3983">
        <w:t xml:space="preserve">in New South Wales </w:t>
      </w:r>
      <w:r w:rsidRPr="004A3983">
        <w:t xml:space="preserve">continues for as long as they would be required to </w:t>
      </w:r>
      <w:r w:rsidR="001B4CF7" w:rsidRPr="004A3983">
        <w:t xml:space="preserve">make </w:t>
      </w:r>
      <w:r w:rsidRPr="004A3983">
        <w:t>report</w:t>
      </w:r>
      <w:r w:rsidR="001B4CF7" w:rsidRPr="004A3983">
        <w:t>s</w:t>
      </w:r>
      <w:r w:rsidRPr="004A3983">
        <w:t xml:space="preserve"> in </w:t>
      </w:r>
      <w:r w:rsidRPr="004A3983">
        <w:rPr>
          <w:b/>
        </w:rPr>
        <w:t>any</w:t>
      </w:r>
      <w:r w:rsidRPr="004A3983">
        <w:t xml:space="preserve"> other jurisdiction, not just the originating jurisdiction. In the example above, therefore, the pers</w:t>
      </w:r>
      <w:r w:rsidR="00BE2C9D" w:rsidRPr="004A3983">
        <w:t>on’s reporting period would be eight</w:t>
      </w:r>
      <w:r w:rsidRPr="004A3983">
        <w:t xml:space="preserve"> years. Another possible interpretation is that sub-s (1) should be read in line with sub-s (3), and therefore should be read as referring to the originating jurisdiction, in which case in the example above the pers</w:t>
      </w:r>
      <w:r w:rsidR="00BE2C9D" w:rsidRPr="004A3983">
        <w:t>on’s reporting period would be five</w:t>
      </w:r>
      <w:r w:rsidRPr="004A3983">
        <w:t xml:space="preserve"> years.</w:t>
      </w:r>
    </w:p>
    <w:p w14:paraId="19612768" w14:textId="5DF68583" w:rsidR="009D65F2" w:rsidRPr="004A3983" w:rsidRDefault="009D65F2" w:rsidP="00062C0B">
      <w:pPr>
        <w:spacing w:after="160"/>
        <w:ind w:right="-2"/>
      </w:pPr>
      <w:r w:rsidRPr="004A3983">
        <w:t xml:space="preserve">The Registry officers advised that clarity is required in the CPOR Act as to how to determine the reporting periods for </w:t>
      </w:r>
      <w:r w:rsidR="004159EF" w:rsidRPr="004A3983">
        <w:t>corresponding registrable person</w:t>
      </w:r>
      <w:r w:rsidRPr="004A3983">
        <w:t>s who have been required to report in multiple jurisdictions.</w:t>
      </w:r>
    </w:p>
    <w:p w14:paraId="6A877424" w14:textId="3E41DC20" w:rsidR="009D65F2" w:rsidRPr="004A3983" w:rsidRDefault="009D65F2" w:rsidP="00062C0B">
      <w:pPr>
        <w:spacing w:after="160"/>
        <w:ind w:right="-2"/>
        <w:rPr>
          <w:b/>
          <w:u w:val="single"/>
        </w:rPr>
      </w:pPr>
      <w:r w:rsidRPr="004A3983">
        <w:rPr>
          <w:b/>
          <w:u w:val="single"/>
        </w:rPr>
        <w:t xml:space="preserve">Conclusion following consultation with </w:t>
      </w:r>
      <w:r w:rsidR="00E266B3" w:rsidRPr="004A3983">
        <w:rPr>
          <w:b/>
          <w:u w:val="single"/>
        </w:rPr>
        <w:t xml:space="preserve">the </w:t>
      </w:r>
      <w:r w:rsidRPr="004A3983">
        <w:rPr>
          <w:b/>
          <w:u w:val="single"/>
        </w:rPr>
        <w:t>NSW</w:t>
      </w:r>
      <w:r w:rsidR="00952DC8" w:rsidRPr="004A3983">
        <w:rPr>
          <w:b/>
          <w:u w:val="single"/>
        </w:rPr>
        <w:t xml:space="preserve"> Police Force</w:t>
      </w:r>
      <w:r w:rsidRPr="004A3983">
        <w:rPr>
          <w:b/>
          <w:u w:val="single"/>
        </w:rPr>
        <w:t>:</w:t>
      </w:r>
    </w:p>
    <w:p w14:paraId="697F82FC" w14:textId="77777777" w:rsidR="009D65F2" w:rsidRPr="004A3983" w:rsidRDefault="009D65F2" w:rsidP="00062C0B">
      <w:pPr>
        <w:spacing w:after="160"/>
        <w:ind w:right="-2"/>
        <w:rPr>
          <w:b/>
        </w:rPr>
      </w:pPr>
      <w:r w:rsidRPr="004A3983">
        <w:rPr>
          <w:b/>
        </w:rPr>
        <w:t>Sections 19BB and 19BC need to be reviewed and redrafted in order to make clear what should be the length of a corresponding registrable person’s reporting period if the person has been (and continues to be) required to report to a corresponding registrar in more than one foreign jurisdiction.</w:t>
      </w:r>
    </w:p>
    <w:p w14:paraId="43793262" w14:textId="77777777" w:rsidR="009965EE" w:rsidRPr="004A3983" w:rsidRDefault="009965EE" w:rsidP="00F84ADE">
      <w:pPr>
        <w:pStyle w:val="AppendixHeading1"/>
      </w:pPr>
      <w:bookmarkStart w:id="671" w:name="_Toc8908757"/>
      <w:bookmarkStart w:id="672" w:name="_Ref9929964"/>
      <w:bookmarkStart w:id="673" w:name="_Toc22627876"/>
      <w:r w:rsidRPr="00F84ADE">
        <w:t>Interpreting</w:t>
      </w:r>
      <w:r w:rsidRPr="004A3983">
        <w:t xml:space="preserve"> and enforcing reporting obligations</w:t>
      </w:r>
      <w:bookmarkEnd w:id="671"/>
      <w:bookmarkEnd w:id="672"/>
      <w:bookmarkEnd w:id="673"/>
    </w:p>
    <w:p w14:paraId="4431AC47" w14:textId="4D1CC16D" w:rsidR="009965EE" w:rsidRPr="004A3983" w:rsidRDefault="009965EE" w:rsidP="00062C0B">
      <w:pPr>
        <w:spacing w:after="160"/>
        <w:ind w:right="-2"/>
      </w:pPr>
      <w:r w:rsidRPr="004A3983">
        <w:t>The CPOR Ac</w:t>
      </w:r>
      <w:r w:rsidR="005876C0" w:rsidRPr="004A3983">
        <w:t>t requires registrable persons</w:t>
      </w:r>
      <w:r w:rsidRPr="004A3983">
        <w:t xml:space="preserve"> to report their personal information, and changes to that information, to the NSW</w:t>
      </w:r>
      <w:r w:rsidR="00952DC8" w:rsidRPr="004A3983">
        <w:t xml:space="preserve"> Police Force</w:t>
      </w:r>
      <w:r w:rsidRPr="004A3983">
        <w:t xml:space="preserve"> within certain timeframes. However, some of the timeframes are unclear. </w:t>
      </w:r>
    </w:p>
    <w:p w14:paraId="7B84FE85" w14:textId="07F04484" w:rsidR="009965EE" w:rsidRPr="004A3983" w:rsidRDefault="009965EE" w:rsidP="00062C0B">
      <w:pPr>
        <w:spacing w:after="160"/>
        <w:ind w:right="-2"/>
      </w:pPr>
      <w:r w:rsidRPr="004A3983">
        <w:t xml:space="preserve">This lack of clarity may make it difficult for registrable </w:t>
      </w:r>
      <w:r w:rsidR="005876C0" w:rsidRPr="004A3983">
        <w:t>person</w:t>
      </w:r>
      <w:r w:rsidRPr="004A3983">
        <w:t>s to identify exactly what they are required to tell the NSW</w:t>
      </w:r>
      <w:r w:rsidR="00952DC8" w:rsidRPr="004A3983">
        <w:t xml:space="preserve"> Police Force</w:t>
      </w:r>
      <w:r w:rsidRPr="004A3983">
        <w:t>, and by what date. This is significant as the penalty for failing to comply with any of the reporting obligatio</w:t>
      </w:r>
      <w:r w:rsidR="002C0E2F" w:rsidRPr="004A3983">
        <w:t>ns under s 17 of the CPOR Act can be</w:t>
      </w:r>
      <w:r w:rsidRPr="004A3983">
        <w:t xml:space="preserve"> up to five years’ imprisonment. </w:t>
      </w:r>
    </w:p>
    <w:p w14:paraId="03A5035D" w14:textId="36F0EDB3" w:rsidR="009965EE" w:rsidRPr="004A3983" w:rsidRDefault="009965EE" w:rsidP="00062C0B">
      <w:pPr>
        <w:spacing w:after="160"/>
        <w:ind w:right="-2"/>
      </w:pPr>
      <w:r w:rsidRPr="004A3983">
        <w:t>The lack of clear timeframes for reporting can also make it difficult for the NSW</w:t>
      </w:r>
      <w:r w:rsidR="00952DC8" w:rsidRPr="004A3983">
        <w:t xml:space="preserve"> Police Force</w:t>
      </w:r>
      <w:r w:rsidRPr="004A3983">
        <w:t xml:space="preserve"> to determine when a breach of a reporting obligation has occurred, and when arrest and prosecution for the offence in s 17 of the CPOR Act is warranted. The lack of clarity can also make it difficult for a court to determin</w:t>
      </w:r>
      <w:r w:rsidR="00494E5F" w:rsidRPr="004A3983">
        <w:t xml:space="preserve">e whether the offence of failing to comply with </w:t>
      </w:r>
      <w:r w:rsidRPr="004A3983">
        <w:t>reporting obligation</w:t>
      </w:r>
      <w:r w:rsidR="00494E5F" w:rsidRPr="004A3983">
        <w:t>s</w:t>
      </w:r>
      <w:r w:rsidRPr="004A3983">
        <w:t xml:space="preserve"> has been proven.</w:t>
      </w:r>
    </w:p>
    <w:p w14:paraId="55B0C305" w14:textId="52F1D9FB" w:rsidR="009965EE" w:rsidRPr="004A3983" w:rsidRDefault="009965EE" w:rsidP="00062C0B">
      <w:pPr>
        <w:spacing w:after="160"/>
        <w:ind w:right="-2"/>
      </w:pPr>
      <w:r w:rsidRPr="004A3983">
        <w:t>Another relevant consideration is that reporting obligations have not kept up to date with changes in technology. For example, the CPOR Act</w:t>
      </w:r>
      <w:r w:rsidR="005876C0" w:rsidRPr="004A3983">
        <w:t xml:space="preserve"> requires a registrable person</w:t>
      </w:r>
      <w:r w:rsidRPr="004A3983">
        <w:t xml:space="preserve"> to report to the NSW</w:t>
      </w:r>
      <w:r w:rsidR="00952DC8" w:rsidRPr="004A3983">
        <w:t xml:space="preserve"> Police Force</w:t>
      </w:r>
      <w:r w:rsidRPr="004A3983">
        <w:t xml:space="preserve"> a variety of different details about their internet usage, but it does not explicitly</w:t>
      </w:r>
      <w:r w:rsidR="00F520E8" w:rsidRPr="004A3983">
        <w:t xml:space="preserve"> cover the use of mobile</w:t>
      </w:r>
      <w:r w:rsidR="006F5856" w:rsidRPr="004A3983">
        <w:t xml:space="preserve"> phone</w:t>
      </w:r>
      <w:r w:rsidR="00F520E8" w:rsidRPr="004A3983">
        <w:t xml:space="preserve"> ‘a</w:t>
      </w:r>
      <w:r w:rsidRPr="004A3983">
        <w:t>pps</w:t>
      </w:r>
      <w:r w:rsidR="00F520E8" w:rsidRPr="004A3983">
        <w:t>’</w:t>
      </w:r>
      <w:r w:rsidRPr="004A3983">
        <w:t xml:space="preserve"> such as </w:t>
      </w:r>
      <w:r w:rsidRPr="004A3983">
        <w:lastRenderedPageBreak/>
        <w:t>WhatsApp.</w:t>
      </w:r>
      <w:r w:rsidRPr="004A3983">
        <w:rPr>
          <w:rStyle w:val="FootnoteReference"/>
        </w:rPr>
        <w:footnoteReference w:id="700"/>
      </w:r>
      <w:r w:rsidRPr="004A3983">
        <w:t xml:space="preserve"> This however could be rectified through amendments to the regulations.</w:t>
      </w:r>
      <w:r w:rsidRPr="004A3983">
        <w:rPr>
          <w:rStyle w:val="FootnoteReference"/>
        </w:rPr>
        <w:footnoteReference w:id="701"/>
      </w:r>
      <w:r w:rsidRPr="004A3983">
        <w:t xml:space="preserve"> </w:t>
      </w:r>
    </w:p>
    <w:p w14:paraId="37BDB804" w14:textId="08AAF0DD" w:rsidR="009965EE" w:rsidRPr="004A3983" w:rsidRDefault="009965EE" w:rsidP="00062C0B">
      <w:pPr>
        <w:spacing w:after="160"/>
        <w:ind w:right="-2"/>
      </w:pPr>
      <w:r w:rsidRPr="004A3983">
        <w:t>The Commission has identified a number of reporting obligations which do not appear to be sufficiently precise, with the result that in certain circumstances it will be difficult for the NSW</w:t>
      </w:r>
      <w:r w:rsidR="00952DC8" w:rsidRPr="004A3983">
        <w:t xml:space="preserve"> Police Force</w:t>
      </w:r>
      <w:r w:rsidRPr="004A3983">
        <w:t xml:space="preserve"> to identify when breaches of these obligations have occurred. </w:t>
      </w:r>
    </w:p>
    <w:p w14:paraId="48A6DFA4" w14:textId="7AB1D214" w:rsidR="00F271D9" w:rsidRPr="004A3983" w:rsidRDefault="009965EE" w:rsidP="00062C0B">
      <w:pPr>
        <w:spacing w:after="160"/>
        <w:ind w:right="-2"/>
      </w:pPr>
      <w:r w:rsidRPr="004A3983">
        <w:t xml:space="preserve">The Registry officers consulted by the Commission stated that there should be a consistent approach in the </w:t>
      </w:r>
      <w:r w:rsidR="009B5ED4" w:rsidRPr="004A3983">
        <w:t xml:space="preserve">CPOR </w:t>
      </w:r>
      <w:r w:rsidRPr="004A3983">
        <w:t xml:space="preserve">Act to timeframes for reporting. Currently there are many different timeframes that apply, which leads to confusion and uncertainty for officers </w:t>
      </w:r>
      <w:r w:rsidR="00571D0E" w:rsidRPr="004A3983">
        <w:t>in the NSW Police Force</w:t>
      </w:r>
      <w:r w:rsidRPr="004A3983">
        <w:t xml:space="preserve">. </w:t>
      </w:r>
    </w:p>
    <w:p w14:paraId="145BF288" w14:textId="3384F936" w:rsidR="009965EE" w:rsidRPr="004A3983" w:rsidRDefault="009965EE" w:rsidP="00062C0B">
      <w:pPr>
        <w:pStyle w:val="AppendixHeading2"/>
        <w:spacing w:after="160" w:line="259" w:lineRule="auto"/>
        <w:ind w:right="-2"/>
      </w:pPr>
      <w:bookmarkStart w:id="674" w:name="_Toc22627877"/>
      <w:r w:rsidRPr="004A3983">
        <w:t>Obligation to report changes regarding residence with children</w:t>
      </w:r>
      <w:bookmarkEnd w:id="674"/>
    </w:p>
    <w:p w14:paraId="5517CAD3" w14:textId="5FDAADEB" w:rsidR="009965EE" w:rsidRPr="004A3983" w:rsidRDefault="009965EE" w:rsidP="00062C0B">
      <w:pPr>
        <w:spacing w:after="160"/>
        <w:ind w:right="-2"/>
      </w:pPr>
      <w:r w:rsidRPr="004A3983">
        <w:t>A registrable person’s initial report to the NSW</w:t>
      </w:r>
      <w:r w:rsidR="00952DC8" w:rsidRPr="004A3983">
        <w:t xml:space="preserve"> Police Force</w:t>
      </w:r>
      <w:r w:rsidRPr="004A3983">
        <w:t xml:space="preserve"> must include information about any child who ‘generally resides’ in the person’s household.</w:t>
      </w:r>
      <w:r w:rsidRPr="004A3983">
        <w:rPr>
          <w:rStyle w:val="FootnoteReference"/>
          <w:rFonts w:cs="Arial"/>
        </w:rPr>
        <w:footnoteReference w:id="702"/>
      </w:r>
      <w:r w:rsidRPr="004A3983">
        <w:t xml:space="preserve"> Section 9(2)(b) of the CPOR Act states that a child ‘generally resides’ in a person’s household if they ‘reside together in that household for a least 3 days (whether consecutive or not) in any period of 12 months’.</w:t>
      </w:r>
    </w:p>
    <w:p w14:paraId="0CCCD33A" w14:textId="77777777" w:rsidR="009965EE" w:rsidRPr="004A3983" w:rsidRDefault="009965EE" w:rsidP="00062C0B">
      <w:pPr>
        <w:spacing w:after="160"/>
        <w:ind w:right="-2"/>
      </w:pPr>
      <w:r w:rsidRPr="004A3983">
        <w:t>A registrable person is required to report a change regarding the children who ‘generally reside’ with that person, ‘within 24 hours after the change occurs’.</w:t>
      </w:r>
      <w:r w:rsidRPr="004A3983">
        <w:rPr>
          <w:rStyle w:val="FootnoteReference"/>
          <w:rFonts w:cs="Arial"/>
        </w:rPr>
        <w:footnoteReference w:id="703"/>
      </w:r>
    </w:p>
    <w:p w14:paraId="514F0069" w14:textId="5896E9D8" w:rsidR="009965EE" w:rsidRPr="004A3983" w:rsidRDefault="009965EE" w:rsidP="00062C0B">
      <w:pPr>
        <w:spacing w:after="160"/>
        <w:ind w:right="-2"/>
      </w:pPr>
      <w:r w:rsidRPr="004A3983">
        <w:t xml:space="preserve">That ‘change’ will only occur </w:t>
      </w:r>
      <w:r w:rsidRPr="004A3983">
        <w:rPr>
          <w:b/>
        </w:rPr>
        <w:t>after</w:t>
      </w:r>
      <w:r w:rsidRPr="004A3983">
        <w:t xml:space="preserve"> the child has resided with the person for the ‘3 days in 12 months’ period in s 9(2)(b).</w:t>
      </w:r>
      <w:r w:rsidRPr="004A3983">
        <w:rPr>
          <w:rStyle w:val="FootnoteReference"/>
          <w:rFonts w:cs="Arial"/>
        </w:rPr>
        <w:footnoteReference w:id="704"/>
      </w:r>
      <w:r w:rsidRPr="004A3983">
        <w:t xml:space="preserve"> The registrable person has then 24</w:t>
      </w:r>
      <w:r w:rsidR="00752A14" w:rsidRPr="004A3983">
        <w:t xml:space="preserve"> hours after the last of those three</w:t>
      </w:r>
      <w:r w:rsidRPr="004A3983">
        <w:t xml:space="preserve"> days to report the residence of the child to the NSW</w:t>
      </w:r>
      <w:r w:rsidR="00952DC8" w:rsidRPr="004A3983">
        <w:t xml:space="preserve"> Police Force</w:t>
      </w:r>
      <w:r w:rsidRPr="004A3983">
        <w:t>.</w:t>
      </w:r>
    </w:p>
    <w:p w14:paraId="5B49C6C5" w14:textId="011A299B" w:rsidR="009965EE" w:rsidRPr="004A3983" w:rsidRDefault="009965EE" w:rsidP="00062C0B">
      <w:pPr>
        <w:spacing w:after="160"/>
        <w:ind w:right="-2"/>
      </w:pPr>
      <w:r w:rsidRPr="004A3983">
        <w:t xml:space="preserve">However it is unclear from the wording in s 9(2)(b) exactly when the threshold of residing for ‘3 days in 12 months’ will have been met, triggering the obligation to report within 24 hours. </w:t>
      </w:r>
    </w:p>
    <w:p w14:paraId="25F3EF92" w14:textId="2C08169B" w:rsidR="009965EE" w:rsidRPr="004A3983" w:rsidRDefault="009965EE" w:rsidP="00062C0B">
      <w:pPr>
        <w:spacing w:after="160"/>
        <w:ind w:right="-2"/>
      </w:pPr>
      <w:r w:rsidRPr="004A3983">
        <w:t xml:space="preserve">The term ‘reside’ in s 9(2)(b) is not </w:t>
      </w:r>
      <w:r w:rsidR="00D81174" w:rsidRPr="004A3983">
        <w:t xml:space="preserve">further </w:t>
      </w:r>
      <w:r w:rsidRPr="004A3983">
        <w:t>defined</w:t>
      </w:r>
      <w:r w:rsidR="00355966" w:rsidRPr="004A3983">
        <w:t xml:space="preserve"> </w:t>
      </w:r>
      <w:r w:rsidR="00D81174" w:rsidRPr="004A3983">
        <w:t>in</w:t>
      </w:r>
      <w:r w:rsidR="00355966" w:rsidRPr="004A3983">
        <w:t xml:space="preserve"> the CPOR Act</w:t>
      </w:r>
      <w:r w:rsidRPr="004A3983">
        <w:t xml:space="preserve">. It is unclear whether the requirement that the child ‘reside’ for at least ‘3 days’ should be interpreted as requiring that the child has stayed at the person’s house for three full 24-hour periods, or slept three nights at the person’s residence, or some other interpretation. </w:t>
      </w:r>
    </w:p>
    <w:p w14:paraId="49815A16" w14:textId="376D5784" w:rsidR="009965EE" w:rsidRPr="004A3983" w:rsidRDefault="009965EE" w:rsidP="00062C0B">
      <w:pPr>
        <w:spacing w:after="160"/>
        <w:ind w:right="-2"/>
      </w:pPr>
      <w:r w:rsidRPr="004A3983">
        <w:t xml:space="preserve">Additionally, the reference to the child residing in the household for at least three days (including non-consecutive days) ‘in any 12 month period’ creates uncertainty. This was identified by the Victorian Law </w:t>
      </w:r>
      <w:r w:rsidR="00002C1F" w:rsidRPr="004A3983">
        <w:t>Reform Commission (VLRC) in its</w:t>
      </w:r>
      <w:r w:rsidRPr="004A3983">
        <w:t xml:space="preserve"> review of the </w:t>
      </w:r>
      <w:r w:rsidRPr="004A3983">
        <w:rPr>
          <w:i/>
        </w:rPr>
        <w:t xml:space="preserve">Sex Offenders Registration Act 2004 </w:t>
      </w:r>
      <w:r w:rsidRPr="004A3983">
        <w:t>(Vic)</w:t>
      </w:r>
      <w:r w:rsidR="00FB5F30" w:rsidRPr="004A3983">
        <w:t xml:space="preserve"> (the Vic</w:t>
      </w:r>
      <w:r w:rsidR="00002C1F" w:rsidRPr="004A3983">
        <w:t>torian</w:t>
      </w:r>
      <w:r w:rsidR="00FB5F30" w:rsidRPr="004A3983">
        <w:t xml:space="preserve"> Act)</w:t>
      </w:r>
      <w:r w:rsidR="00002C1F" w:rsidRPr="004A3983">
        <w:t xml:space="preserve"> in 2011</w:t>
      </w:r>
      <w:r w:rsidRPr="004A3983">
        <w:t xml:space="preserve">. In 2011 that </w:t>
      </w:r>
      <w:r w:rsidRPr="004A3983">
        <w:lastRenderedPageBreak/>
        <w:t>Act contained a provision which was identical to s 9(2)(b) in the CPOR Act.</w:t>
      </w:r>
      <w:r w:rsidRPr="004A3983">
        <w:rPr>
          <w:rStyle w:val="FootnoteReference"/>
          <w:rFonts w:cs="Arial"/>
        </w:rPr>
        <w:footnoteReference w:id="705"/>
      </w:r>
      <w:r w:rsidRPr="004A3983">
        <w:t xml:space="preserve"> The</w:t>
      </w:r>
      <w:r w:rsidR="008F34A3">
        <w:t> </w:t>
      </w:r>
      <w:r w:rsidRPr="004A3983">
        <w:t>VLRC stated:</w:t>
      </w:r>
    </w:p>
    <w:p w14:paraId="0269C8ED" w14:textId="77777777" w:rsidR="009965EE" w:rsidRPr="004A3983" w:rsidRDefault="009965EE" w:rsidP="008F34A3">
      <w:pPr>
        <w:pStyle w:val="Quotesmall1cm"/>
      </w:pPr>
      <w:r w:rsidRPr="004A3983">
        <w:t>it is unclear whether this 12-month period refers to a calendar year or to 12 months from the first day of residing together. A literal interpretation suggests that it is the latter. Registered sex offenders are required to report residing with a child within one day—presumably within one day of the third day of residing together. It seems that a registered sex offender must keep a record of all days for which they have resided in the same household as a particular child, and calculate whether these days have fallen in one 12-month period.</w:t>
      </w:r>
      <w:r w:rsidRPr="004A3983">
        <w:rPr>
          <w:rStyle w:val="FootnoteReference"/>
        </w:rPr>
        <w:footnoteReference w:id="706"/>
      </w:r>
    </w:p>
    <w:p w14:paraId="5775F3DF" w14:textId="1F94B919" w:rsidR="009965EE" w:rsidRPr="004A3983" w:rsidRDefault="009965EE" w:rsidP="00062C0B">
      <w:pPr>
        <w:spacing w:after="160"/>
        <w:ind w:right="-2"/>
      </w:pPr>
      <w:r w:rsidRPr="004A3983">
        <w:t xml:space="preserve">The VLRC further commented that: </w:t>
      </w:r>
    </w:p>
    <w:p w14:paraId="681F4475" w14:textId="5C38A07F" w:rsidR="009965EE" w:rsidRPr="004A3983" w:rsidRDefault="009965EE" w:rsidP="008F34A3">
      <w:pPr>
        <w:pStyle w:val="Quotesmall1cm"/>
      </w:pPr>
      <w:r w:rsidRPr="004A3983">
        <w:t>The Commission considers this definition unhelpful. Although it requires registered sex offenders to report residing in the same house as a child or children within one day of the third occurrence in a 12-month period, this may be months after the first and second occasions on which the registered sex offender has stayed under the same roof as a child. From a child protection perspective, the child or children could have been at risk of harm on either of these earlier occasions without any requirement for the offender to have made a report. Any attempt to redefine ‘residing with a child’ by number of days or length of time is equally arbitrary.</w:t>
      </w:r>
      <w:r w:rsidRPr="004A3983">
        <w:rPr>
          <w:rStyle w:val="FootnoteReference"/>
        </w:rPr>
        <w:footnoteReference w:id="707"/>
      </w:r>
    </w:p>
    <w:p w14:paraId="0C91FB90" w14:textId="166512CF" w:rsidR="009965EE" w:rsidRPr="004A3983" w:rsidRDefault="009965EE" w:rsidP="00062C0B">
      <w:pPr>
        <w:spacing w:after="160"/>
        <w:ind w:right="-2"/>
      </w:pPr>
      <w:r w:rsidRPr="004A3983">
        <w:rPr>
          <w:rFonts w:cs="Arial"/>
        </w:rPr>
        <w:t xml:space="preserve">The VLRC recommended that the </w:t>
      </w:r>
      <w:r w:rsidR="00FB5F30" w:rsidRPr="004A3983">
        <w:rPr>
          <w:rFonts w:cs="Arial"/>
        </w:rPr>
        <w:t>Vic</w:t>
      </w:r>
      <w:r w:rsidR="00002C1F" w:rsidRPr="004A3983">
        <w:rPr>
          <w:rFonts w:cs="Arial"/>
        </w:rPr>
        <w:t>torian</w:t>
      </w:r>
      <w:r w:rsidR="00FB5F30" w:rsidRPr="004A3983">
        <w:rPr>
          <w:rFonts w:cs="Arial"/>
        </w:rPr>
        <w:t xml:space="preserve"> </w:t>
      </w:r>
      <w:r w:rsidRPr="004A3983">
        <w:rPr>
          <w:rFonts w:cs="Arial"/>
        </w:rPr>
        <w:t>Act be amended to include</w:t>
      </w:r>
      <w:r w:rsidRPr="004A3983">
        <w:t xml:space="preserve"> ‘residing with a child or children’ as one type of contact that registered sex offenders are required to report, and remove the ‘three days in 12 months’ threshold.</w:t>
      </w:r>
      <w:r w:rsidRPr="004A3983">
        <w:rPr>
          <w:rStyle w:val="FootnoteReference"/>
        </w:rPr>
        <w:footnoteReference w:id="708"/>
      </w:r>
      <w:r w:rsidRPr="004A3983">
        <w:t xml:space="preserve"> This recommendation was implemented, and now ‘stay[ing] overnight at a place of residence where the child resides or is staying overnight’ is included in the definition of ‘contac</w:t>
      </w:r>
      <w:r w:rsidR="00FB5F30" w:rsidRPr="004A3983">
        <w:t>t with a child’ in the Vic</w:t>
      </w:r>
      <w:r w:rsidR="00002C1F" w:rsidRPr="004A3983">
        <w:t>torian</w:t>
      </w:r>
      <w:r w:rsidRPr="004A3983">
        <w:t xml:space="preserve"> Act. A registrable offender is required to report any such contact within one day of it occurring.</w:t>
      </w:r>
      <w:r w:rsidRPr="004A3983">
        <w:rPr>
          <w:rStyle w:val="FootnoteReference"/>
        </w:rPr>
        <w:footnoteReference w:id="709"/>
      </w:r>
    </w:p>
    <w:p w14:paraId="772FD3E3" w14:textId="74A1DFC4" w:rsidR="009965EE" w:rsidRPr="004A3983" w:rsidRDefault="009965EE" w:rsidP="00062C0B">
      <w:pPr>
        <w:spacing w:after="160"/>
        <w:ind w:right="-2"/>
      </w:pPr>
      <w:r w:rsidRPr="004A3983">
        <w:t>The r</w:t>
      </w:r>
      <w:r w:rsidR="002E771F" w:rsidRPr="004A3983">
        <w:t>isk that the VLRC identified (</w:t>
      </w:r>
      <w:r w:rsidR="008A424A" w:rsidRPr="004A3983">
        <w:t xml:space="preserve">ie </w:t>
      </w:r>
      <w:r w:rsidR="002E771F" w:rsidRPr="004A3983">
        <w:t>that</w:t>
      </w:r>
      <w:r w:rsidRPr="004A3983">
        <w:t xml:space="preserve"> setting the threshold at three non-consecutive days in any 12 month period may lead to long delays before the first day</w:t>
      </w:r>
      <w:r w:rsidR="008F34A3">
        <w:t> </w:t>
      </w:r>
      <w:r w:rsidRPr="004A3983">
        <w:t xml:space="preserve">of ‘residence’ is reported) is equally likely under s 9(2)(b) of the CPOR Act. </w:t>
      </w:r>
    </w:p>
    <w:p w14:paraId="46462F85" w14:textId="57E4004F" w:rsidR="009965EE" w:rsidRPr="004A3983" w:rsidRDefault="009965EE" w:rsidP="00062C0B">
      <w:pPr>
        <w:spacing w:after="160"/>
        <w:ind w:right="-2"/>
      </w:pPr>
      <w:r w:rsidRPr="004A3983">
        <w:t>The wording of s 9(2)(b) therefore not only creates uncertainty for the NSW</w:t>
      </w:r>
      <w:r w:rsidR="00952DC8" w:rsidRPr="004A3983">
        <w:t xml:space="preserve"> Police Force</w:t>
      </w:r>
      <w:r w:rsidRPr="004A3983">
        <w:t>, but also seems inconsistent with the object of the CPOR Act to protect children from serious harm.</w:t>
      </w:r>
      <w:r w:rsidRPr="004A3983">
        <w:rPr>
          <w:rStyle w:val="FootnoteReference"/>
          <w:rFonts w:cs="Arial"/>
        </w:rPr>
        <w:footnoteReference w:id="710"/>
      </w:r>
      <w:r w:rsidRPr="004A3983">
        <w:t xml:space="preserve"> The Registry officers the Commission consulted stated that t</w:t>
      </w:r>
      <w:r w:rsidR="00355966" w:rsidRPr="004A3983">
        <w:t>he threshold of three non-consecutive days</w:t>
      </w:r>
      <w:r w:rsidRPr="004A3983">
        <w:t xml:space="preserve"> was very difficult for NSW</w:t>
      </w:r>
      <w:r w:rsidR="00952DC8" w:rsidRPr="004A3983">
        <w:t xml:space="preserve"> Police Force</w:t>
      </w:r>
      <w:r w:rsidRPr="004A3983">
        <w:t xml:space="preserve"> investigators to apply. They suggested that registrable persons should be required to report any changes in terms of </w:t>
      </w:r>
      <w:r w:rsidR="00DF45CF" w:rsidRPr="004A3983">
        <w:t xml:space="preserve">the </w:t>
      </w:r>
      <w:r w:rsidRPr="004A3983">
        <w:t>children residing with them within 24</w:t>
      </w:r>
      <w:r w:rsidR="008F34A3">
        <w:t> </w:t>
      </w:r>
      <w:r w:rsidRPr="004A3983">
        <w:t>hours.</w:t>
      </w:r>
    </w:p>
    <w:p w14:paraId="63737F6A" w14:textId="7FA69E59" w:rsidR="009965EE" w:rsidRPr="004A3983" w:rsidRDefault="009965EE" w:rsidP="00062C0B">
      <w:pPr>
        <w:spacing w:after="160"/>
        <w:ind w:right="-2"/>
      </w:pPr>
      <w:r w:rsidRPr="004A3983">
        <w:rPr>
          <w:b/>
          <w:u w:val="single"/>
        </w:rPr>
        <w:t xml:space="preserve">Conclusions following consultation with </w:t>
      </w:r>
      <w:r w:rsidR="00E266B3" w:rsidRPr="004A3983">
        <w:rPr>
          <w:b/>
          <w:u w:val="single"/>
        </w:rPr>
        <w:t>the NSW Police Force</w:t>
      </w:r>
      <w:r w:rsidRPr="004A3983">
        <w:t>:</w:t>
      </w:r>
    </w:p>
    <w:p w14:paraId="60EBEFFB" w14:textId="461C1CDD" w:rsidR="009965EE" w:rsidRPr="004A3983" w:rsidRDefault="00DF45CF" w:rsidP="00062C0B">
      <w:pPr>
        <w:spacing w:after="160"/>
        <w:ind w:right="-2"/>
        <w:rPr>
          <w:b/>
        </w:rPr>
      </w:pPr>
      <w:r w:rsidRPr="004A3983">
        <w:rPr>
          <w:b/>
        </w:rPr>
        <w:lastRenderedPageBreak/>
        <w:t>Section</w:t>
      </w:r>
      <w:r w:rsidR="009965EE" w:rsidRPr="004A3983">
        <w:rPr>
          <w:b/>
        </w:rPr>
        <w:t>s 9(1)(e), 9(2)(b), 11(1)(a) and 11(2) need to be reviewed. The phrase ‘reside together…for at least 3 days’ in s 9(2)(b) needs to be further defined or replaced,</w:t>
      </w:r>
      <w:r w:rsidR="009965EE" w:rsidRPr="004A3983">
        <w:rPr>
          <w:rFonts w:cs="Arial"/>
          <w:b/>
        </w:rPr>
        <w:t xml:space="preserve"> </w:t>
      </w:r>
      <w:r w:rsidR="009965EE" w:rsidRPr="004A3983">
        <w:rPr>
          <w:b/>
        </w:rPr>
        <w:t xml:space="preserve">to remove ambiguity as to when the threshold for reporting will be met. Consideration </w:t>
      </w:r>
      <w:r w:rsidR="00D2214E" w:rsidRPr="004A3983">
        <w:rPr>
          <w:b/>
        </w:rPr>
        <w:t>should be given to whether the three</w:t>
      </w:r>
      <w:r w:rsidR="009965EE" w:rsidRPr="004A3983">
        <w:rPr>
          <w:b/>
        </w:rPr>
        <w:t xml:space="preserve"> (non-consecutive) days ‘in any period of 12 months’ threshold is appropriate in light of the risks identified by the VLRC. Consideration should </w:t>
      </w:r>
      <w:r w:rsidR="0017083C" w:rsidRPr="004A3983">
        <w:rPr>
          <w:b/>
        </w:rPr>
        <w:t xml:space="preserve">also </w:t>
      </w:r>
      <w:r w:rsidR="009965EE" w:rsidRPr="004A3983">
        <w:rPr>
          <w:b/>
        </w:rPr>
        <w:t>be given to adopting the Victorian approach of requiring registrable persons to report ‘stay[ing] overnight’ at a place of residence where a child ‘resides o</w:t>
      </w:r>
      <w:r w:rsidR="00D2214E" w:rsidRPr="004A3983">
        <w:rPr>
          <w:b/>
        </w:rPr>
        <w:t>r is staying overnight’ within one</w:t>
      </w:r>
      <w:r w:rsidR="009965EE" w:rsidRPr="004A3983">
        <w:rPr>
          <w:b/>
        </w:rPr>
        <w:t xml:space="preserve"> day of it occurring.</w:t>
      </w:r>
    </w:p>
    <w:p w14:paraId="4F4EEE5B" w14:textId="7369FDE7" w:rsidR="009965EE" w:rsidRPr="004A3983" w:rsidRDefault="009965EE" w:rsidP="00F84ADE">
      <w:pPr>
        <w:pStyle w:val="AppendixHeading2"/>
      </w:pPr>
      <w:bookmarkStart w:id="675" w:name="_Toc518387521"/>
      <w:bookmarkStart w:id="676" w:name="_Toc518487391"/>
      <w:bookmarkStart w:id="677" w:name="_Toc8908759"/>
      <w:bookmarkStart w:id="678" w:name="_Toc22627878"/>
      <w:r w:rsidRPr="004A3983">
        <w:t>Obligation to report employment</w:t>
      </w:r>
      <w:bookmarkEnd w:id="675"/>
      <w:bookmarkEnd w:id="676"/>
      <w:bookmarkEnd w:id="677"/>
      <w:bookmarkEnd w:id="678"/>
    </w:p>
    <w:p w14:paraId="56624E4B" w14:textId="53E0D7B3" w:rsidR="009965EE" w:rsidRPr="004A3983" w:rsidRDefault="009965EE" w:rsidP="00F84ADE">
      <w:pPr>
        <w:pStyle w:val="AppendixHeading3"/>
      </w:pPr>
      <w:bookmarkStart w:id="679" w:name="_Toc9428479"/>
      <w:bookmarkStart w:id="680" w:name="_Toc12020431"/>
      <w:bookmarkStart w:id="681" w:name="_Toc14790597"/>
      <w:bookmarkStart w:id="682" w:name="_Toc15478480"/>
      <w:bookmarkStart w:id="683" w:name="_Toc22279547"/>
      <w:bookmarkStart w:id="684" w:name="_Toc22627879"/>
      <w:r w:rsidRPr="004A3983">
        <w:t xml:space="preserve">Calculating </w:t>
      </w:r>
      <w:r w:rsidRPr="00F84ADE">
        <w:t>timeframes</w:t>
      </w:r>
      <w:r w:rsidRPr="004A3983">
        <w:t xml:space="preserve"> for reporting changes to</w:t>
      </w:r>
      <w:r w:rsidR="003D1AA5">
        <w:t> </w:t>
      </w:r>
      <w:r w:rsidRPr="004A3983">
        <w:t>employment</w:t>
      </w:r>
      <w:bookmarkEnd w:id="679"/>
      <w:bookmarkEnd w:id="680"/>
      <w:bookmarkEnd w:id="681"/>
      <w:bookmarkEnd w:id="682"/>
      <w:bookmarkEnd w:id="683"/>
      <w:bookmarkEnd w:id="684"/>
    </w:p>
    <w:p w14:paraId="04877F0D" w14:textId="66D832B1" w:rsidR="009965EE" w:rsidRPr="004A3983" w:rsidRDefault="009965EE" w:rsidP="00062C0B">
      <w:pPr>
        <w:spacing w:after="160"/>
        <w:ind w:right="-2"/>
      </w:pPr>
      <w:r w:rsidRPr="004A3983">
        <w:t>A regist</w:t>
      </w:r>
      <w:r w:rsidR="00A62573" w:rsidRPr="004A3983">
        <w:t xml:space="preserve">rable person is required under </w:t>
      </w:r>
      <w:r w:rsidRPr="004A3983">
        <w:t xml:space="preserve">s 9(1)(f) of the CPOR Act to include in his or her initial report to the </w:t>
      </w:r>
      <w:r w:rsidR="00E266B3" w:rsidRPr="004A3983">
        <w:t>NSW Police Force</w:t>
      </w:r>
      <w:r w:rsidRPr="004A3983">
        <w:t>:</w:t>
      </w:r>
    </w:p>
    <w:p w14:paraId="5D21B976" w14:textId="77777777" w:rsidR="009965EE" w:rsidRPr="004A3983" w:rsidRDefault="009965EE" w:rsidP="00677139">
      <w:pPr>
        <w:pStyle w:val="ListNumber2"/>
        <w:numPr>
          <w:ilvl w:val="0"/>
          <w:numId w:val="28"/>
        </w:numPr>
      </w:pPr>
      <w:r w:rsidRPr="004A3983">
        <w:t>the nature of the person’s work, and</w:t>
      </w:r>
    </w:p>
    <w:p w14:paraId="04823DA2" w14:textId="77777777" w:rsidR="005407AA" w:rsidRPr="004A3983" w:rsidRDefault="009965EE" w:rsidP="008F34A3">
      <w:pPr>
        <w:pStyle w:val="ListNumber2"/>
      </w:pPr>
      <w:r w:rsidRPr="004A3983">
        <w:t xml:space="preserve">the name of the person’s employer </w:t>
      </w:r>
      <w:r w:rsidR="005407AA" w:rsidRPr="004A3983">
        <w:t xml:space="preserve">(if any), </w:t>
      </w:r>
      <w:r w:rsidRPr="004A3983">
        <w:t>and</w:t>
      </w:r>
    </w:p>
    <w:p w14:paraId="78C6B527" w14:textId="75F1E02F" w:rsidR="009965EE" w:rsidRPr="004A3983" w:rsidRDefault="009965EE" w:rsidP="008F34A3">
      <w:pPr>
        <w:pStyle w:val="ListNumber2"/>
      </w:pPr>
      <w:r w:rsidRPr="004A3983">
        <w:t xml:space="preserve">the address of each of the premises at which </w:t>
      </w:r>
      <w:r w:rsidR="005407AA" w:rsidRPr="004A3983">
        <w:t xml:space="preserve">the person </w:t>
      </w:r>
      <w:r w:rsidR="00917C3A" w:rsidRPr="004A3983">
        <w:t>generally works</w:t>
      </w:r>
      <w:r w:rsidRPr="004A3983">
        <w:t xml:space="preserve">. </w:t>
      </w:r>
    </w:p>
    <w:p w14:paraId="58CF4AB7" w14:textId="2C202552" w:rsidR="009965EE" w:rsidRPr="004A3983" w:rsidRDefault="00A62573" w:rsidP="00062C0B">
      <w:pPr>
        <w:spacing w:after="160"/>
        <w:ind w:right="-2"/>
      </w:pPr>
      <w:r w:rsidRPr="004A3983">
        <w:t xml:space="preserve">The CPOR Act states in </w:t>
      </w:r>
      <w:r w:rsidR="009965EE" w:rsidRPr="004A3983">
        <w:t>s 9(2)(d) that a registrable person is only ‘generally employed’ at a particular premises if he or she is employed there for ‘at least 14 days (whether consecutive or not) in any period of 12 months’.</w:t>
      </w:r>
      <w:r w:rsidR="009965EE" w:rsidRPr="004A3983">
        <w:rPr>
          <w:rStyle w:val="FootnoteReference"/>
        </w:rPr>
        <w:footnoteReference w:id="711"/>
      </w:r>
    </w:p>
    <w:p w14:paraId="6F5ECDFE" w14:textId="0FE72004" w:rsidR="009965EE" w:rsidRPr="004A3983" w:rsidRDefault="009965EE" w:rsidP="00062C0B">
      <w:pPr>
        <w:spacing w:after="160"/>
        <w:ind w:right="-2"/>
      </w:pPr>
      <w:r w:rsidRPr="004A3983">
        <w:t>A registrable person must report a change to the nature of their work, their employer or place where they ‘ge</w:t>
      </w:r>
      <w:r w:rsidR="00C729BD" w:rsidRPr="004A3983">
        <w:t>nerally work’ within seven</w:t>
      </w:r>
      <w:r w:rsidRPr="004A3983">
        <w:t xml:space="preserve"> days.</w:t>
      </w:r>
      <w:r w:rsidRPr="004A3983">
        <w:rPr>
          <w:rStyle w:val="FootnoteReference"/>
        </w:rPr>
        <w:footnoteReference w:id="712"/>
      </w:r>
      <w:r w:rsidRPr="004A3983">
        <w:t xml:space="preserve"> However, a ‘change’ to the place where the person is </w:t>
      </w:r>
      <w:r w:rsidRPr="004A3983">
        <w:rPr>
          <w:b/>
        </w:rPr>
        <w:t>generally employed</w:t>
      </w:r>
      <w:r w:rsidRPr="004A3983">
        <w:t xml:space="preserve"> will only be taken to have occu</w:t>
      </w:r>
      <w:r w:rsidR="00A62573" w:rsidRPr="004A3983">
        <w:t xml:space="preserve">rred once the 14 day period in </w:t>
      </w:r>
      <w:r w:rsidRPr="004A3983">
        <w:t>s</w:t>
      </w:r>
      <w:r w:rsidR="00A62573" w:rsidRPr="004A3983">
        <w:t> </w:t>
      </w:r>
      <w:r w:rsidRPr="004A3983">
        <w:t>9(2)(d) has expired.</w:t>
      </w:r>
      <w:r w:rsidRPr="004A3983">
        <w:rPr>
          <w:rStyle w:val="FootnoteReference"/>
        </w:rPr>
        <w:footnoteReference w:id="713"/>
      </w:r>
      <w:r w:rsidRPr="004A3983">
        <w:t xml:space="preserve"> </w:t>
      </w:r>
    </w:p>
    <w:p w14:paraId="6DFA16EF" w14:textId="45F56733" w:rsidR="009965EE" w:rsidRPr="004A3983" w:rsidRDefault="009612CC" w:rsidP="00062C0B">
      <w:pPr>
        <w:spacing w:after="160"/>
        <w:ind w:right="-2"/>
      </w:pPr>
      <w:r w:rsidRPr="004A3983">
        <w:t xml:space="preserve">It is unclear whether </w:t>
      </w:r>
      <w:r w:rsidR="009965EE" w:rsidRPr="004A3983">
        <w:t>the three limbs</w:t>
      </w:r>
      <w:r w:rsidR="009A5FF5" w:rsidRPr="004A3983">
        <w:t xml:space="preserve"> of </w:t>
      </w:r>
      <w:r w:rsidR="009965EE" w:rsidRPr="004A3983">
        <w:t>s 9(1)(f) should be read as separate obligations, with the consequence that the extended timefra</w:t>
      </w:r>
      <w:r w:rsidR="009A5FF5" w:rsidRPr="004A3983">
        <w:t xml:space="preserve">me for reporting changes under </w:t>
      </w:r>
      <w:r w:rsidR="009965EE" w:rsidRPr="004A3983">
        <w:t>s 9(2)(d) only applies to the limb (iii). This would mean that a registrable person must report a change to the limb (i) (nature of their work) o</w:t>
      </w:r>
      <w:r w:rsidR="00C729BD" w:rsidRPr="004A3983">
        <w:t>r (ii) (their employer) within seven</w:t>
      </w:r>
      <w:r w:rsidR="009965EE" w:rsidRPr="004A3983">
        <w:t xml:space="preserve"> days, but is only required to report a change to (iii) (the location where they are working) wit</w:t>
      </w:r>
      <w:r w:rsidR="00C729BD" w:rsidRPr="004A3983">
        <w:t>hin seven</w:t>
      </w:r>
      <w:r w:rsidR="009A5FF5" w:rsidRPr="004A3983">
        <w:t xml:space="preserve"> days after the period in </w:t>
      </w:r>
      <w:r w:rsidR="009965EE" w:rsidRPr="004A3983">
        <w:t>s</w:t>
      </w:r>
      <w:r w:rsidR="007D3163" w:rsidRPr="004A3983">
        <w:t xml:space="preserve"> 9(2)(d)</w:t>
      </w:r>
      <w:r w:rsidR="009965EE" w:rsidRPr="004A3983">
        <w:t xml:space="preserve"> has been fulfilled.</w:t>
      </w:r>
    </w:p>
    <w:p w14:paraId="1DF94D6E" w14:textId="33286514" w:rsidR="009965EE" w:rsidRPr="004A3983" w:rsidRDefault="009965EE" w:rsidP="00062C0B">
      <w:pPr>
        <w:spacing w:after="160"/>
        <w:ind w:right="-2"/>
      </w:pPr>
      <w:r w:rsidRPr="004A3983">
        <w:t>If the three limbs are treated as a single obligation, however, the registrable person may be relieved from having to report changes to the nature of his or her work, or employer, until the period for changes to his or</w:t>
      </w:r>
      <w:r w:rsidR="00A65901" w:rsidRPr="004A3983">
        <w:t xml:space="preserve"> her place of employment under </w:t>
      </w:r>
      <w:r w:rsidRPr="004A3983">
        <w:t xml:space="preserve">s 9(2)(d) has been satisfied. </w:t>
      </w:r>
    </w:p>
    <w:p w14:paraId="001C41D7" w14:textId="5944BBBB" w:rsidR="009965EE" w:rsidRPr="004A3983" w:rsidRDefault="009965EE" w:rsidP="00062C0B">
      <w:pPr>
        <w:spacing w:after="160"/>
        <w:ind w:right="-2"/>
      </w:pPr>
      <w:r w:rsidRPr="004A3983">
        <w:lastRenderedPageBreak/>
        <w:t>Example 9 demonstrates the consequences if this latter interpretation is adopted. It also illustrates the potential</w:t>
      </w:r>
      <w:r w:rsidR="00A65901" w:rsidRPr="004A3983">
        <w:t xml:space="preserve"> problems with </w:t>
      </w:r>
      <w:r w:rsidRPr="004A3983">
        <w:t>s 9(2)(d)</w:t>
      </w:r>
      <w:r w:rsidR="00912CDC" w:rsidRPr="004A3983">
        <w:t xml:space="preserve"> as currently drafted</w:t>
      </w:r>
      <w:r w:rsidRPr="004A3983">
        <w:t>.</w:t>
      </w:r>
    </w:p>
    <w:p w14:paraId="452177E5" w14:textId="470131E7" w:rsidR="008E198F" w:rsidRPr="004A3983" w:rsidRDefault="008E198F" w:rsidP="008F34A3">
      <w:pPr>
        <w:pStyle w:val="ExampleHeading"/>
      </w:pPr>
      <w:bookmarkStart w:id="685" w:name="_Toc10711481"/>
      <w:bookmarkStart w:id="686" w:name="_Toc21957552"/>
      <w:bookmarkStart w:id="687" w:name="_Toc22280919"/>
      <w:r w:rsidRPr="004A3983">
        <w:t>Example 9:</w:t>
      </w:r>
      <w:bookmarkEnd w:id="685"/>
      <w:bookmarkEnd w:id="686"/>
      <w:bookmarkEnd w:id="687"/>
      <w:r w:rsidRPr="004A3983">
        <w:t xml:space="preserve"> </w:t>
      </w:r>
    </w:p>
    <w:p w14:paraId="30016AD4" w14:textId="49E1928D" w:rsidR="008E198F" w:rsidRPr="004A3983" w:rsidRDefault="008E198F" w:rsidP="00062C0B">
      <w:pPr>
        <w:pStyle w:val="CaseStudyText"/>
        <w:spacing w:after="160"/>
        <w:ind w:right="-2"/>
      </w:pPr>
      <w:r w:rsidRPr="004A3983">
        <w:t>In early 2012 Mr XX</w:t>
      </w:r>
      <w:r w:rsidRPr="004A3983">
        <w:rPr>
          <w:rStyle w:val="FootnoteReference"/>
          <w:sz w:val="20"/>
          <w:szCs w:val="20"/>
        </w:rPr>
        <w:footnoteReference w:id="714"/>
      </w:r>
      <w:r w:rsidRPr="004A3983">
        <w:t xml:space="preserve"> was convicted of possessing child pornography</w:t>
      </w:r>
      <w:r w:rsidRPr="004A3983">
        <w:rPr>
          <w:rStyle w:val="FootnoteReference"/>
          <w:sz w:val="20"/>
          <w:szCs w:val="20"/>
        </w:rPr>
        <w:t xml:space="preserve"> </w:t>
      </w:r>
      <w:r w:rsidRPr="004A3983">
        <w:t>and became a registrable person under the CPOR Act.</w:t>
      </w:r>
    </w:p>
    <w:p w14:paraId="416C0A4D" w14:textId="2603F682" w:rsidR="008E198F" w:rsidRPr="004A3983" w:rsidRDefault="008E198F" w:rsidP="00062C0B">
      <w:pPr>
        <w:pStyle w:val="CaseStudyText"/>
        <w:spacing w:after="160"/>
        <w:ind w:right="-2"/>
      </w:pPr>
      <w:r w:rsidRPr="004A3983">
        <w:t xml:space="preserve">On 10 April 2012 Mr XX informed Corrective Services NSW that the following day he would be commencing work at an aged care facility under a work for the dole program. </w:t>
      </w:r>
    </w:p>
    <w:p w14:paraId="68D40A28" w14:textId="3B8B61DF" w:rsidR="008E198F" w:rsidRPr="004A3983" w:rsidRDefault="008E198F" w:rsidP="00062C0B">
      <w:pPr>
        <w:pStyle w:val="CaseStudyText"/>
        <w:spacing w:after="160"/>
        <w:ind w:right="-2"/>
      </w:pPr>
      <w:r w:rsidRPr="004A3983">
        <w:t>On 11 April 2012 Mr XX completed his first day of work at the facility under an ‘employment pathway plan’ with Job Services Australia. Under the plan he would work</w:t>
      </w:r>
      <w:r w:rsidR="00877446" w:rsidRPr="004A3983">
        <w:t xml:space="preserve"> three days a</w:t>
      </w:r>
      <w:r w:rsidRPr="004A3983">
        <w:t xml:space="preserve"> week at the facility. </w:t>
      </w:r>
    </w:p>
    <w:p w14:paraId="299686BC" w14:textId="6C8A034C" w:rsidR="008E198F" w:rsidRPr="004A3983" w:rsidRDefault="008E198F" w:rsidP="00062C0B">
      <w:pPr>
        <w:pStyle w:val="CaseStudyText"/>
        <w:spacing w:after="160"/>
        <w:ind w:right="-2"/>
      </w:pPr>
      <w:r w:rsidRPr="004A3983">
        <w:t>On 27 April 2012 the NSW</w:t>
      </w:r>
      <w:r w:rsidR="00952DC8" w:rsidRPr="004A3983">
        <w:t xml:space="preserve"> Police Force</w:t>
      </w:r>
      <w:r w:rsidRPr="004A3983">
        <w:t xml:space="preserve"> arrested Mr XX for failing to comply with reporting obligations under s 17</w:t>
      </w:r>
      <w:r w:rsidR="00C06F46" w:rsidRPr="004A3983">
        <w:t xml:space="preserve"> of the CPOR Act</w:t>
      </w:r>
      <w:r w:rsidRPr="004A3983">
        <w:t xml:space="preserve">, for failing to inform the </w:t>
      </w:r>
      <w:r w:rsidR="00E266B3" w:rsidRPr="004A3983">
        <w:t>NSW Police Force</w:t>
      </w:r>
      <w:r w:rsidRPr="004A3983">
        <w:t xml:space="preserve"> about his work for the dole arrangements. </w:t>
      </w:r>
    </w:p>
    <w:p w14:paraId="0EBBAAD9" w14:textId="061B691A" w:rsidR="008E198F" w:rsidRPr="004A3983" w:rsidRDefault="008E198F" w:rsidP="00062C0B">
      <w:pPr>
        <w:pStyle w:val="CaseStudyText"/>
        <w:spacing w:after="160"/>
        <w:ind w:right="-2"/>
      </w:pPr>
      <w:r w:rsidRPr="004A3983">
        <w:t xml:space="preserve">At that point of Mr XX’s arrest it had been 16 days since he had first started working at the facility. However, he had only completed six days of actual work. </w:t>
      </w:r>
    </w:p>
    <w:p w14:paraId="5096046C" w14:textId="5A10B4B2" w:rsidR="008E198F" w:rsidRPr="004A3983" w:rsidRDefault="008E198F" w:rsidP="00062C0B">
      <w:pPr>
        <w:pStyle w:val="CaseStudyText"/>
        <w:spacing w:after="160"/>
        <w:ind w:right="-2"/>
      </w:pPr>
      <w:r w:rsidRPr="004A3983">
        <w:t>Mr XX was initially refused ba</w:t>
      </w:r>
      <w:r w:rsidR="00C05C62" w:rsidRPr="004A3983">
        <w:t xml:space="preserve">il by </w:t>
      </w:r>
      <w:r w:rsidR="00795620" w:rsidRPr="004A3983">
        <w:t xml:space="preserve">a </w:t>
      </w:r>
      <w:r w:rsidR="00A37D08" w:rsidRPr="004A3983">
        <w:t>m</w:t>
      </w:r>
      <w:r w:rsidR="00795620" w:rsidRPr="004A3983">
        <w:t xml:space="preserve">agistrate </w:t>
      </w:r>
      <w:r w:rsidR="00C05C62" w:rsidRPr="004A3983">
        <w:t xml:space="preserve">in the </w:t>
      </w:r>
      <w:r w:rsidRPr="004A3983">
        <w:t xml:space="preserve">Local Court. Mr XX’s lawyer raised the issue that Mr XX could not have committed any offence under s 17 because he had not yet completed </w:t>
      </w:r>
      <w:r w:rsidR="00F05BDB" w:rsidRPr="004A3983">
        <w:t xml:space="preserve">14 days of work as required by </w:t>
      </w:r>
      <w:r w:rsidRPr="004A3983">
        <w:t>s 9(2)(d) of the CPOR Act.</w:t>
      </w:r>
      <w:r w:rsidR="00051493" w:rsidRPr="004A3983">
        <w:t xml:space="preserve"> </w:t>
      </w:r>
    </w:p>
    <w:p w14:paraId="263488EA" w14:textId="01D9BB35" w:rsidR="008E198F" w:rsidRPr="004A3983" w:rsidRDefault="00795620" w:rsidP="00062C0B">
      <w:pPr>
        <w:pStyle w:val="CaseStudyText"/>
        <w:spacing w:after="160"/>
        <w:ind w:right="-2"/>
      </w:pPr>
      <w:r w:rsidRPr="004A3983">
        <w:t>On 30 April 2012</w:t>
      </w:r>
      <w:r w:rsidR="008E198F" w:rsidRPr="004A3983">
        <w:t xml:space="preserve"> the </w:t>
      </w:r>
      <w:r w:rsidR="008B69F9" w:rsidRPr="004A3983">
        <w:t>P</w:t>
      </w:r>
      <w:r w:rsidR="00C55FFC" w:rsidRPr="004A3983">
        <w:t>o</w:t>
      </w:r>
      <w:r w:rsidR="008B69F9" w:rsidRPr="004A3983">
        <w:t>lice P</w:t>
      </w:r>
      <w:r w:rsidR="00C55FFC" w:rsidRPr="004A3983">
        <w:t>rosecutor</w:t>
      </w:r>
      <w:r w:rsidR="00F05BDB" w:rsidRPr="004A3983">
        <w:t xml:space="preserve"> submitted that </w:t>
      </w:r>
      <w:r w:rsidR="008E198F" w:rsidRPr="004A3983">
        <w:t xml:space="preserve">s 9(2)(d) should be interpreted so that the ‘change’ </w:t>
      </w:r>
      <w:r w:rsidR="00BB7309" w:rsidRPr="004A3983">
        <w:t xml:space="preserve">in work premises </w:t>
      </w:r>
      <w:r w:rsidR="008E198F" w:rsidRPr="004A3983">
        <w:t xml:space="preserve">occurs as soon as 14 days have elapsed since the registrable person’s first day of work (no matter how many of those 14 days the person had actually worked). Based on this interpretation, Mr XX’s change in where he was ‘generally employed’ occurred on 25 April 2012, as this was 14 calendar days after 11 April, the day he first worked. </w:t>
      </w:r>
    </w:p>
    <w:p w14:paraId="48753F24" w14:textId="727133F0" w:rsidR="008E198F" w:rsidRPr="004A3983" w:rsidRDefault="008E198F" w:rsidP="00062C0B">
      <w:pPr>
        <w:pStyle w:val="CaseStudyText"/>
        <w:spacing w:after="160"/>
        <w:ind w:right="-2"/>
      </w:pPr>
      <w:r w:rsidRPr="004A3983">
        <w:t>Mr XX’s representative</w:t>
      </w:r>
      <w:r w:rsidR="00E21DF0" w:rsidRPr="004A3983">
        <w:t xml:space="preserve"> submitted that </w:t>
      </w:r>
      <w:r w:rsidRPr="004A3983">
        <w:t xml:space="preserve">s 9(2)(d) should be read as requiring the person to actually work 14 days before they can be said to be ‘generally working’ at a place of employment. </w:t>
      </w:r>
    </w:p>
    <w:p w14:paraId="55042284" w14:textId="7F525ADF" w:rsidR="008E198F" w:rsidRPr="004A3983" w:rsidRDefault="008E198F" w:rsidP="00062C0B">
      <w:pPr>
        <w:pStyle w:val="CaseStudyText"/>
        <w:spacing w:after="160"/>
        <w:ind w:right="-2"/>
      </w:pPr>
      <w:r w:rsidRPr="004A3983">
        <w:t xml:space="preserve">Ultimately </w:t>
      </w:r>
      <w:r w:rsidR="00A37D08" w:rsidRPr="004A3983">
        <w:t xml:space="preserve">the </w:t>
      </w:r>
      <w:r w:rsidR="001702A6" w:rsidRPr="004A3983">
        <w:t>M</w:t>
      </w:r>
      <w:r w:rsidR="00A37D08" w:rsidRPr="004A3983">
        <w:t>agistrate</w:t>
      </w:r>
      <w:r w:rsidR="00E06A10" w:rsidRPr="004A3983">
        <w:t xml:space="preserve"> hearing Mr XX’s</w:t>
      </w:r>
      <w:r w:rsidR="00197E7A" w:rsidRPr="004A3983">
        <w:t xml:space="preserve"> </w:t>
      </w:r>
      <w:r w:rsidR="00D64B13" w:rsidRPr="004A3983">
        <w:t>matter</w:t>
      </w:r>
      <w:r w:rsidRPr="004A3983">
        <w:t xml:space="preserve"> did not </w:t>
      </w:r>
      <w:r w:rsidR="00952153" w:rsidRPr="004A3983">
        <w:t xml:space="preserve">need to </w:t>
      </w:r>
      <w:r w:rsidRPr="004A3983">
        <w:t xml:space="preserve">make a ruling on the </w:t>
      </w:r>
      <w:r w:rsidR="00D37489" w:rsidRPr="004A3983">
        <w:t>correct</w:t>
      </w:r>
      <w:r w:rsidRPr="004A3983">
        <w:t xml:space="preserve"> interpretation of s</w:t>
      </w:r>
      <w:r w:rsidR="00F24A02" w:rsidRPr="004A3983">
        <w:t> </w:t>
      </w:r>
      <w:r w:rsidRPr="004A3983">
        <w:t xml:space="preserve">9(2)(d). This was because even if the </w:t>
      </w:r>
      <w:r w:rsidR="008B69F9" w:rsidRPr="004A3983">
        <w:t>Police P</w:t>
      </w:r>
      <w:r w:rsidR="00396D38" w:rsidRPr="004A3983">
        <w:t xml:space="preserve">rosecutor’s interpretation of </w:t>
      </w:r>
      <w:r w:rsidRPr="004A3983">
        <w:t>s 9(2)(d) was correct (which would mean Mr XX was ‘generally employed’ at the facility by end of 25 April 2012), s 11(1) effectively gave Mr XX a 14 day</w:t>
      </w:r>
      <w:r w:rsidRPr="004A3983">
        <w:rPr>
          <w:rStyle w:val="FootnoteReference"/>
          <w:sz w:val="20"/>
          <w:szCs w:val="20"/>
        </w:rPr>
        <w:footnoteReference w:id="715"/>
      </w:r>
      <w:r w:rsidRPr="004A3983">
        <w:t xml:space="preserve"> notification period </w:t>
      </w:r>
      <w:r w:rsidRPr="004A3983">
        <w:rPr>
          <w:b/>
        </w:rPr>
        <w:t>after</w:t>
      </w:r>
      <w:r w:rsidR="006E7AE8" w:rsidRPr="004A3983">
        <w:t xml:space="preserve"> the period in </w:t>
      </w:r>
      <w:r w:rsidRPr="004A3983">
        <w:t xml:space="preserve">s 9(2)(d) had been </w:t>
      </w:r>
      <w:r w:rsidRPr="004A3983">
        <w:rPr>
          <w:b/>
        </w:rPr>
        <w:t>completed</w:t>
      </w:r>
      <w:r w:rsidRPr="004A3983">
        <w:t xml:space="preserve"> in which to report his change of place of employment.</w:t>
      </w:r>
      <w:r w:rsidR="00FD4BD7" w:rsidRPr="004A3983">
        <w:t xml:space="preserve"> Even on the </w:t>
      </w:r>
      <w:r w:rsidR="008F6ED2" w:rsidRPr="004A3983">
        <w:t>Police P</w:t>
      </w:r>
      <w:r w:rsidRPr="004A3983">
        <w:t xml:space="preserve">rosecutor’s interpretation, it was only after the expiry of 14 days after 25 April that Mr XX would be committing the offence of failing to comply with his </w:t>
      </w:r>
      <w:r w:rsidRPr="004A3983">
        <w:lastRenderedPageBreak/>
        <w:t>reporting obligations.  However he had been arrested for this offence on 27 April 2012.</w:t>
      </w:r>
      <w:r w:rsidR="004A34F5" w:rsidRPr="004A3983">
        <w:t xml:space="preserve"> </w:t>
      </w:r>
    </w:p>
    <w:p w14:paraId="1AAD0503" w14:textId="335978DF" w:rsidR="008E198F" w:rsidRPr="004A3983" w:rsidRDefault="00C81028" w:rsidP="00062C0B">
      <w:pPr>
        <w:pStyle w:val="CaseStudyText"/>
        <w:spacing w:after="160"/>
        <w:ind w:right="-2"/>
      </w:pPr>
      <w:r w:rsidRPr="004A3983">
        <w:t xml:space="preserve">The </w:t>
      </w:r>
      <w:r w:rsidR="001702A6" w:rsidRPr="004A3983">
        <w:t>M</w:t>
      </w:r>
      <w:r w:rsidR="008E198F" w:rsidRPr="004A3983">
        <w:t>agistrate concluded tha</w:t>
      </w:r>
      <w:r w:rsidR="00217164" w:rsidRPr="004A3983">
        <w:t xml:space="preserve">t, whichever interpretation of </w:t>
      </w:r>
      <w:r w:rsidR="008E198F" w:rsidRPr="004A3983">
        <w:t>s 9(2)(d) was correct, ‘either way the offence isn’t going to</w:t>
      </w:r>
      <w:r w:rsidR="00C955C6" w:rsidRPr="004A3983">
        <w:t xml:space="preserve"> be made out’ and granted bail.</w:t>
      </w:r>
      <w:r w:rsidR="008E198F" w:rsidRPr="004A3983">
        <w:rPr>
          <w:rStyle w:val="FootnoteReference"/>
          <w:sz w:val="20"/>
          <w:szCs w:val="20"/>
        </w:rPr>
        <w:footnoteReference w:id="716"/>
      </w:r>
      <w:r w:rsidR="008E198F" w:rsidRPr="004A3983">
        <w:t xml:space="preserve"> The charge against Mr XX</w:t>
      </w:r>
      <w:r w:rsidR="00D74BCE" w:rsidRPr="004A3983">
        <w:t xml:space="preserve"> of failing</w:t>
      </w:r>
      <w:r w:rsidR="008E198F" w:rsidRPr="004A3983">
        <w:t xml:space="preserve"> to report was ultimately dismissed for other reasons (</w:t>
      </w:r>
      <w:r w:rsidR="00B3466D" w:rsidRPr="004A3983">
        <w:t>see</w:t>
      </w:r>
      <w:r w:rsidR="00217164" w:rsidRPr="004A3983">
        <w:t xml:space="preserve"> part </w:t>
      </w:r>
      <w:r w:rsidR="00217164" w:rsidRPr="004A3983">
        <w:fldChar w:fldCharType="begin"/>
      </w:r>
      <w:r w:rsidR="00217164" w:rsidRPr="004A3983">
        <w:instrText xml:space="preserve"> REF _Ref10114297 \r \h  \* MERGEFORMAT </w:instrText>
      </w:r>
      <w:r w:rsidR="00217164" w:rsidRPr="004A3983">
        <w:fldChar w:fldCharType="separate"/>
      </w:r>
      <w:r w:rsidR="00022664">
        <w:rPr>
          <w:rFonts w:hint="cs"/>
          <w:cs/>
        </w:rPr>
        <w:t>‎</w:t>
      </w:r>
      <w:r w:rsidR="00022664">
        <w:t>7.2.2</w:t>
      </w:r>
      <w:r w:rsidR="00217164" w:rsidRPr="004A3983">
        <w:fldChar w:fldCharType="end"/>
      </w:r>
      <w:r w:rsidR="00217164" w:rsidRPr="004A3983">
        <w:t xml:space="preserve"> </w:t>
      </w:r>
      <w:r w:rsidR="008E198F" w:rsidRPr="004A3983">
        <w:t>below).</w:t>
      </w:r>
    </w:p>
    <w:p w14:paraId="652C0314" w14:textId="75E5BF40" w:rsidR="00A20792" w:rsidRPr="004A3983" w:rsidRDefault="00A20792" w:rsidP="006A1E39">
      <w:pPr>
        <w:pStyle w:val="ListBullet"/>
        <w:numPr>
          <w:ilvl w:val="0"/>
          <w:numId w:val="0"/>
        </w:numPr>
      </w:pPr>
      <w:r w:rsidRPr="004A3983">
        <w:t>Example 9 demonstrates that</w:t>
      </w:r>
      <w:r w:rsidR="00217164" w:rsidRPr="004A3983">
        <w:t xml:space="preserve"> there is a question as to how </w:t>
      </w:r>
      <w:r w:rsidRPr="004A3983">
        <w:t xml:space="preserve">s 9(2)(d) should be interpreted, specifically how the 14 days should be counted. </w:t>
      </w:r>
    </w:p>
    <w:p w14:paraId="647F0C33" w14:textId="3929364F" w:rsidR="00A20792" w:rsidRPr="004A3983" w:rsidRDefault="00A20792" w:rsidP="006A1E39">
      <w:pPr>
        <w:pStyle w:val="ListBullet"/>
        <w:numPr>
          <w:ilvl w:val="0"/>
          <w:numId w:val="0"/>
        </w:numPr>
      </w:pPr>
      <w:r w:rsidRPr="004A3983">
        <w:t>This question will be particularly relevant in the case o</w:t>
      </w:r>
      <w:r w:rsidR="00217164" w:rsidRPr="004A3983">
        <w:t xml:space="preserve">f part-time or casual work. If </w:t>
      </w:r>
      <w:r w:rsidRPr="004A3983">
        <w:t>s</w:t>
      </w:r>
      <w:r w:rsidR="00537F4C" w:rsidRPr="004A3983">
        <w:t> </w:t>
      </w:r>
      <w:r w:rsidRPr="004A3983">
        <w:t>9(2)(d) requires a registrable person to actually have completed 14 days of work before the obligation to report the change in employment is triggered, then if, for example, the person only works one day a week, they could be employed for 3.5 month</w:t>
      </w:r>
      <w:r w:rsidR="00537F4C" w:rsidRPr="004A3983">
        <w:t xml:space="preserve">s before the obligation </w:t>
      </w:r>
      <w:r w:rsidR="00462DDF" w:rsidRPr="004A3983">
        <w:t xml:space="preserve">to tell police </w:t>
      </w:r>
      <w:r w:rsidRPr="004A3983">
        <w:t>would arise</w:t>
      </w:r>
      <w:r w:rsidR="00462DDF" w:rsidRPr="004A3983">
        <w:t xml:space="preserve"> under s 11(1)</w:t>
      </w:r>
      <w:r w:rsidRPr="004A3983">
        <w:t xml:space="preserve">. </w:t>
      </w:r>
    </w:p>
    <w:p w14:paraId="7903FCFB" w14:textId="709E21CE" w:rsidR="00A20792" w:rsidRPr="004A3983" w:rsidRDefault="00A20792" w:rsidP="006A1E39">
      <w:pPr>
        <w:pStyle w:val="ListBullet"/>
        <w:numPr>
          <w:ilvl w:val="0"/>
          <w:numId w:val="0"/>
        </w:numPr>
      </w:pPr>
      <w:r w:rsidRPr="004A3983">
        <w:t>The case also demonstrates that there is a quest</w:t>
      </w:r>
      <w:r w:rsidR="00537F4C" w:rsidRPr="004A3983">
        <w:t xml:space="preserve">ion whether the three limbs of </w:t>
      </w:r>
      <w:r w:rsidRPr="004A3983">
        <w:t>s 9(1)(f) are in practice being treated as a single obligation, and therefore all subject to the exten</w:t>
      </w:r>
      <w:r w:rsidR="00537F4C" w:rsidRPr="004A3983">
        <w:t xml:space="preserve">ded timeframe for reporting in </w:t>
      </w:r>
      <w:r w:rsidRPr="004A3983">
        <w:t>s 9(2)(d).</w:t>
      </w:r>
    </w:p>
    <w:p w14:paraId="290D1E13" w14:textId="669063CC" w:rsidR="00A20792" w:rsidRPr="004A3983" w:rsidRDefault="00A20792" w:rsidP="006A1E39">
      <w:pPr>
        <w:pStyle w:val="ListBullet"/>
        <w:numPr>
          <w:ilvl w:val="0"/>
          <w:numId w:val="0"/>
        </w:numPr>
      </w:pPr>
      <w:r w:rsidRPr="004A3983">
        <w:t>These questions will create difficulties for the NSW</w:t>
      </w:r>
      <w:r w:rsidR="00952DC8" w:rsidRPr="004A3983">
        <w:t xml:space="preserve"> Police Force</w:t>
      </w:r>
      <w:r w:rsidRPr="004A3983">
        <w:t xml:space="preserve"> in prosecuting breaches of the obligation to report changes to employment. </w:t>
      </w:r>
    </w:p>
    <w:p w14:paraId="77478029" w14:textId="0D015FD7" w:rsidR="00A20792" w:rsidRPr="004A3983" w:rsidRDefault="00A20792" w:rsidP="006A1E39">
      <w:pPr>
        <w:pStyle w:val="ListBullet"/>
        <w:numPr>
          <w:ilvl w:val="0"/>
          <w:numId w:val="0"/>
        </w:numPr>
      </w:pPr>
      <w:r w:rsidRPr="004A3983">
        <w:t>The Registry officers the Commission consulted stated that in practice they treat the reporting timef</w:t>
      </w:r>
      <w:r w:rsidR="00106030" w:rsidRPr="004A3983">
        <w:t xml:space="preserve">rame for all three limbs of </w:t>
      </w:r>
      <w:r w:rsidRPr="004A3983">
        <w:t xml:space="preserve">s 9(1)(f) </w:t>
      </w:r>
      <w:r w:rsidR="009F2245" w:rsidRPr="004A3983">
        <w:t xml:space="preserve">as the same (as the </w:t>
      </w:r>
      <w:r w:rsidR="008F552A" w:rsidRPr="004A3983">
        <w:t>M</w:t>
      </w:r>
      <w:r w:rsidRPr="004A3983">
        <w:t>agistrate did in Mr XX’s case). They confirmed that the qualificatio</w:t>
      </w:r>
      <w:r w:rsidR="00106030" w:rsidRPr="004A3983">
        <w:t xml:space="preserve">n in </w:t>
      </w:r>
      <w:r w:rsidRPr="004A3983">
        <w:t>s 9(2)(d) that the 14 days of employment need not be consecutive creates practical difficulties for t</w:t>
      </w:r>
      <w:r w:rsidR="00106030" w:rsidRPr="004A3983">
        <w:t>hem in seeking to ascertain when</w:t>
      </w:r>
      <w:r w:rsidRPr="004A3983">
        <w:t xml:space="preserve"> the reporting obligation has been breached.</w:t>
      </w:r>
    </w:p>
    <w:p w14:paraId="0D0CAD1E" w14:textId="25EE71FA" w:rsidR="00A20792" w:rsidRPr="004A3983" w:rsidRDefault="00A20792" w:rsidP="006A1E39">
      <w:pPr>
        <w:pStyle w:val="ListBullet"/>
        <w:numPr>
          <w:ilvl w:val="0"/>
          <w:numId w:val="0"/>
        </w:numPr>
      </w:pPr>
      <w:r w:rsidRPr="004A3983">
        <w:t>The Regis</w:t>
      </w:r>
      <w:r w:rsidR="00106030" w:rsidRPr="004A3983">
        <w:t xml:space="preserve">try officers suggested that s 9(1)(f), </w:t>
      </w:r>
      <w:r w:rsidRPr="004A3983">
        <w:t>s 9(2)(d) and</w:t>
      </w:r>
      <w:r w:rsidR="00106030" w:rsidRPr="004A3983">
        <w:t xml:space="preserve"> ss 11(1)-</w:t>
      </w:r>
      <w:r w:rsidRPr="004A3983">
        <w:t xml:space="preserve">(2) should be reviewed, and that the </w:t>
      </w:r>
      <w:r w:rsidR="00106030" w:rsidRPr="004A3983">
        <w:t xml:space="preserve">CPOR </w:t>
      </w:r>
      <w:r w:rsidRPr="004A3983">
        <w:t>Act should instead simply impose an obligation on registrable persons to report details of a change</w:t>
      </w:r>
      <w:r w:rsidR="00106030" w:rsidRPr="004A3983">
        <w:t xml:space="preserve"> in place of employment within seven</w:t>
      </w:r>
      <w:r w:rsidRPr="004A3983">
        <w:t xml:space="preserve"> (calendar) days of signing the employment contract or the first day of work. </w:t>
      </w:r>
    </w:p>
    <w:p w14:paraId="3A5A1411" w14:textId="3615BDA9" w:rsidR="00A20792" w:rsidRPr="004A3983" w:rsidRDefault="00A20792" w:rsidP="006A1E39">
      <w:pPr>
        <w:pStyle w:val="ListBullet"/>
        <w:numPr>
          <w:ilvl w:val="0"/>
          <w:numId w:val="0"/>
        </w:numPr>
      </w:pPr>
      <w:r w:rsidRPr="004A3983">
        <w:t xml:space="preserve">Conclusions following consultation with </w:t>
      </w:r>
      <w:r w:rsidR="00E266B3" w:rsidRPr="004A3983">
        <w:t>the NSW Police Force</w:t>
      </w:r>
      <w:r w:rsidRPr="004A3983">
        <w:t>:</w:t>
      </w:r>
    </w:p>
    <w:p w14:paraId="2CC0A48C" w14:textId="710D1D5A" w:rsidR="00A20792" w:rsidRPr="004A3983" w:rsidRDefault="00106030" w:rsidP="00062C0B">
      <w:pPr>
        <w:spacing w:after="160"/>
        <w:ind w:right="-2"/>
        <w:rPr>
          <w:b/>
        </w:rPr>
      </w:pPr>
      <w:r w:rsidRPr="004A3983">
        <w:rPr>
          <w:b/>
        </w:rPr>
        <w:t>S</w:t>
      </w:r>
      <w:r w:rsidR="00FA4F48" w:rsidRPr="004A3983">
        <w:rPr>
          <w:b/>
        </w:rPr>
        <w:t>ection</w:t>
      </w:r>
      <w:r w:rsidR="00D832CB" w:rsidRPr="004A3983">
        <w:rPr>
          <w:b/>
        </w:rPr>
        <w:t>s</w:t>
      </w:r>
      <w:r w:rsidRPr="004A3983">
        <w:rPr>
          <w:b/>
        </w:rPr>
        <w:t xml:space="preserve"> 9(1)(f), s 9(2)(d) and s 11(1)-</w:t>
      </w:r>
      <w:r w:rsidR="00A20792" w:rsidRPr="004A3983">
        <w:rPr>
          <w:b/>
        </w:rPr>
        <w:t>(2) need to be reviewed. At a minimum:</w:t>
      </w:r>
    </w:p>
    <w:p w14:paraId="75755690" w14:textId="07E37151" w:rsidR="00A20792" w:rsidRPr="008F34A3" w:rsidRDefault="00A20792" w:rsidP="008F34A3">
      <w:pPr>
        <w:pStyle w:val="ListBullet"/>
        <w:rPr>
          <w:rStyle w:val="Bold"/>
        </w:rPr>
      </w:pPr>
      <w:r w:rsidRPr="008F34A3">
        <w:rPr>
          <w:rStyle w:val="Bold"/>
        </w:rPr>
        <w:t>s 9(2)(d) needs to be amended to refer to ‘generally works’ rather than ‘generally employed’ (as the latter term is not used in s 9(1)(f))</w:t>
      </w:r>
      <w:r w:rsidR="00717778" w:rsidRPr="008F34A3">
        <w:rPr>
          <w:rStyle w:val="Bold"/>
        </w:rPr>
        <w:t>;</w:t>
      </w:r>
    </w:p>
    <w:p w14:paraId="3186CBFF" w14:textId="0FF26DC2" w:rsidR="00A20792" w:rsidRPr="008F34A3" w:rsidRDefault="00A20792" w:rsidP="008F34A3">
      <w:pPr>
        <w:pStyle w:val="ListBullet"/>
        <w:rPr>
          <w:rStyle w:val="Bold"/>
        </w:rPr>
      </w:pPr>
      <w:r w:rsidRPr="008F34A3">
        <w:rPr>
          <w:rStyle w:val="Bold"/>
        </w:rPr>
        <w:t>the same, explicit timeframe for reporting should apply to all the details in each of t</w:t>
      </w:r>
      <w:r w:rsidR="00106030" w:rsidRPr="008F34A3">
        <w:rPr>
          <w:rStyle w:val="Bold"/>
        </w:rPr>
        <w:t xml:space="preserve">he three limbs of </w:t>
      </w:r>
      <w:r w:rsidRPr="008F34A3">
        <w:rPr>
          <w:rStyle w:val="Bold"/>
        </w:rPr>
        <w:t>s 9(1)(f)</w:t>
      </w:r>
      <w:r w:rsidR="00717778" w:rsidRPr="008F34A3">
        <w:rPr>
          <w:rStyle w:val="Bold"/>
        </w:rPr>
        <w:t>, and</w:t>
      </w:r>
    </w:p>
    <w:p w14:paraId="3A534C5A" w14:textId="01D9C0EE" w:rsidR="00F27919" w:rsidRPr="008F34A3" w:rsidRDefault="00A20792" w:rsidP="008F34A3">
      <w:pPr>
        <w:pStyle w:val="ListBullet"/>
        <w:rPr>
          <w:rStyle w:val="Bold"/>
        </w:rPr>
      </w:pPr>
      <w:r w:rsidRPr="008F34A3">
        <w:rPr>
          <w:rStyle w:val="Bold"/>
        </w:rPr>
        <w:t>the Act should define the meaning of ‘employed…for at least 14 days (whether consecutive or not)’ (to avoid the problems raised by Mr XX’s case (above).</w:t>
      </w:r>
    </w:p>
    <w:p w14:paraId="6CA94E06" w14:textId="297A1C24" w:rsidR="00A20792" w:rsidRPr="004A3983" w:rsidRDefault="00A20792" w:rsidP="00062C0B">
      <w:pPr>
        <w:widowControl w:val="0"/>
        <w:adjustRightInd w:val="0"/>
        <w:snapToGrid w:val="0"/>
        <w:spacing w:after="160"/>
        <w:ind w:right="-2"/>
        <w:rPr>
          <w:b/>
        </w:rPr>
      </w:pPr>
      <w:r w:rsidRPr="004A3983">
        <w:rPr>
          <w:b/>
        </w:rPr>
        <w:t xml:space="preserve">However consideration should be given to adopting the </w:t>
      </w:r>
      <w:r w:rsidR="0082220C" w:rsidRPr="004A3983">
        <w:rPr>
          <w:b/>
        </w:rPr>
        <w:t xml:space="preserve">Registry’s </w:t>
      </w:r>
      <w:r w:rsidRPr="004A3983">
        <w:rPr>
          <w:b/>
        </w:rPr>
        <w:t>suggestion that the obligations in sub-ss 9(1)(f) and 9(2)(d) (and their complicated interaction with sub-ss 11(1) and (2)) be replaced with an</w:t>
      </w:r>
      <w:r w:rsidR="00704EA4" w:rsidRPr="004A3983">
        <w:rPr>
          <w:b/>
        </w:rPr>
        <w:t xml:space="preserve"> obligation to report </w:t>
      </w:r>
      <w:r w:rsidR="00704EA4" w:rsidRPr="004A3983">
        <w:rPr>
          <w:b/>
        </w:rPr>
        <w:lastRenderedPageBreak/>
        <w:t xml:space="preserve">changes in </w:t>
      </w:r>
      <w:r w:rsidRPr="004A3983">
        <w:rPr>
          <w:b/>
        </w:rPr>
        <w:t>employer</w:t>
      </w:r>
      <w:r w:rsidR="00704EA4" w:rsidRPr="004A3983">
        <w:rPr>
          <w:b/>
        </w:rPr>
        <w:t xml:space="preserve"> or place of employment within seven</w:t>
      </w:r>
      <w:r w:rsidRPr="004A3983">
        <w:rPr>
          <w:b/>
        </w:rPr>
        <w:t xml:space="preserve"> (calendar) days of signing an employment contract, or the first day of work (whichever is earlier).</w:t>
      </w:r>
    </w:p>
    <w:p w14:paraId="2F479D5A" w14:textId="4AC889EE" w:rsidR="009965EE" w:rsidRPr="004A3983" w:rsidRDefault="00805D81" w:rsidP="00F84ADE">
      <w:pPr>
        <w:pStyle w:val="AppendixHeading3"/>
      </w:pPr>
      <w:bookmarkStart w:id="688" w:name="_Toc9428480"/>
      <w:bookmarkStart w:id="689" w:name="_Ref10114297"/>
      <w:bookmarkStart w:id="690" w:name="_Toc12020432"/>
      <w:bookmarkStart w:id="691" w:name="_Toc14790598"/>
      <w:bookmarkStart w:id="692" w:name="_Toc15478481"/>
      <w:bookmarkStart w:id="693" w:name="_Toc22279548"/>
      <w:bookmarkStart w:id="694" w:name="_Toc22627880"/>
      <w:r w:rsidRPr="004A3983">
        <w:t xml:space="preserve">Question whether Work </w:t>
      </w:r>
      <w:r w:rsidRPr="00F84ADE">
        <w:t>for</w:t>
      </w:r>
      <w:r w:rsidRPr="004A3983">
        <w:t xml:space="preserve"> the Dole has to be</w:t>
      </w:r>
      <w:r w:rsidR="00F84ADE">
        <w:t> </w:t>
      </w:r>
      <w:r w:rsidRPr="004A3983">
        <w:t>reported</w:t>
      </w:r>
      <w:bookmarkEnd w:id="688"/>
      <w:bookmarkEnd w:id="689"/>
      <w:bookmarkEnd w:id="690"/>
      <w:bookmarkEnd w:id="691"/>
      <w:bookmarkEnd w:id="692"/>
      <w:bookmarkEnd w:id="693"/>
      <w:bookmarkEnd w:id="694"/>
    </w:p>
    <w:p w14:paraId="630C86DC" w14:textId="1C4FD707" w:rsidR="00805D81" w:rsidRPr="004A3983" w:rsidRDefault="005776A8" w:rsidP="006A1E39">
      <w:pPr>
        <w:pStyle w:val="ListBullet"/>
        <w:numPr>
          <w:ilvl w:val="0"/>
          <w:numId w:val="0"/>
        </w:numPr>
      </w:pPr>
      <w:r w:rsidRPr="004A3983">
        <w:t>In the matter in</w:t>
      </w:r>
      <w:r w:rsidR="00805D81" w:rsidRPr="004A3983">
        <w:t xml:space="preserve"> Example </w:t>
      </w:r>
      <w:r w:rsidR="007B495A" w:rsidRPr="004A3983">
        <w:t>9</w:t>
      </w:r>
      <w:r w:rsidR="00805D81" w:rsidRPr="004A3983">
        <w:t>, discussed above, Mr XX’s representative raised the question whether a registrable person had an obligation under the CPOR Act to report ‘work for the dole’ as ‘employment’.</w:t>
      </w:r>
    </w:p>
    <w:p w14:paraId="4807F173" w14:textId="018C7DBA" w:rsidR="00805D81" w:rsidRPr="004A3983" w:rsidRDefault="00805D81" w:rsidP="00062C0B">
      <w:pPr>
        <w:spacing w:after="160"/>
        <w:ind w:right="-2"/>
      </w:pPr>
      <w:r w:rsidRPr="004A3983">
        <w:t>Under the CPOR Act as in force in 2012 (the time of Mr XX’s case), a registrable person was required to report the ‘nature of their employment’, their ‘employer’ and where they were ‘generally employed’.</w:t>
      </w:r>
      <w:r w:rsidRPr="004A3983">
        <w:rPr>
          <w:rStyle w:val="FootnoteReference"/>
        </w:rPr>
        <w:footnoteReference w:id="717"/>
      </w:r>
      <w:r w:rsidRPr="004A3983">
        <w:t xml:space="preserve"> The CPOR Act did not define these terms, but stated that for the purposes of that obligation, ‘employer’ and ‘employment’ had the same meaning as that given in the </w:t>
      </w:r>
      <w:r w:rsidRPr="004A3983">
        <w:rPr>
          <w:i/>
        </w:rPr>
        <w:t>Commission for Children and Young People Act 1998</w:t>
      </w:r>
      <w:r w:rsidRPr="004A3983">
        <w:t xml:space="preserve"> (NSW) (CCYP Act).</w:t>
      </w:r>
      <w:r w:rsidRPr="004A3983">
        <w:rPr>
          <w:rStyle w:val="FootnoteReference"/>
        </w:rPr>
        <w:footnoteReference w:id="718"/>
      </w:r>
    </w:p>
    <w:p w14:paraId="279F0B03" w14:textId="4119A371" w:rsidR="00805D81" w:rsidRPr="004A3983" w:rsidRDefault="00805D81" w:rsidP="00062C0B">
      <w:pPr>
        <w:spacing w:after="160"/>
        <w:ind w:right="-2"/>
      </w:pPr>
      <w:r w:rsidRPr="004A3983">
        <w:t xml:space="preserve">On 30 November 2012 </w:t>
      </w:r>
      <w:r w:rsidR="003C025E" w:rsidRPr="004A3983">
        <w:t xml:space="preserve">the </w:t>
      </w:r>
      <w:r w:rsidRPr="004A3983">
        <w:t xml:space="preserve">Magistrate </w:t>
      </w:r>
      <w:r w:rsidR="003C025E" w:rsidRPr="004A3983">
        <w:t xml:space="preserve">hearing Mr XX’s matter </w:t>
      </w:r>
      <w:r w:rsidRPr="004A3983">
        <w:t>considered that the</w:t>
      </w:r>
      <w:r w:rsidR="00C02E84" w:rsidRPr="004A3983">
        <w:t xml:space="preserve"> definition of those terms in s </w:t>
      </w:r>
      <w:r w:rsidRPr="004A3983">
        <w:t>33 of the CCYP Act did not include work done as part of the work for the dole program.</w:t>
      </w:r>
      <w:r w:rsidRPr="004A3983">
        <w:rPr>
          <w:rStyle w:val="FootnoteReference"/>
        </w:rPr>
        <w:footnoteReference w:id="719"/>
      </w:r>
      <w:r w:rsidRPr="004A3983">
        <w:t xml:space="preserve"> Accordingly he held that the CPOR Act did not require Mr XX to report to </w:t>
      </w:r>
      <w:r w:rsidR="00262CCF" w:rsidRPr="004A3983">
        <w:t xml:space="preserve">the </w:t>
      </w:r>
      <w:r w:rsidRPr="004A3983">
        <w:t>NSW</w:t>
      </w:r>
      <w:r w:rsidR="00952DC8" w:rsidRPr="004A3983">
        <w:t xml:space="preserve"> Police Force</w:t>
      </w:r>
      <w:r w:rsidRPr="004A3983">
        <w:t xml:space="preserve"> about his work under such a program, and therefore acquitted him of the charge of failing to comply with a reporting obligation under the CPOR Act.</w:t>
      </w:r>
      <w:r w:rsidRPr="004A3983">
        <w:rPr>
          <w:rStyle w:val="FootnoteReference"/>
        </w:rPr>
        <w:footnoteReference w:id="720"/>
      </w:r>
      <w:r w:rsidR="00E45DC1" w:rsidRPr="004A3983">
        <w:t xml:space="preserve"> </w:t>
      </w:r>
      <w:r w:rsidRPr="004A3983">
        <w:t>Mr XX subsequently sent a Letter of Demand to the NSW</w:t>
      </w:r>
      <w:r w:rsidR="00952DC8" w:rsidRPr="004A3983">
        <w:t xml:space="preserve"> Police Force</w:t>
      </w:r>
      <w:r w:rsidRPr="004A3983">
        <w:t xml:space="preserve"> seeking damages for unlawful arrest, false imprisonment and malicious prosecution. The matter was </w:t>
      </w:r>
      <w:r w:rsidR="007611E6" w:rsidRPr="004A3983">
        <w:t xml:space="preserve">ultimately settled </w:t>
      </w:r>
      <w:r w:rsidRPr="004A3983">
        <w:t>without admi</w:t>
      </w:r>
      <w:r w:rsidR="007611E6" w:rsidRPr="004A3983">
        <w:t>ssion of liability</w:t>
      </w:r>
      <w:r w:rsidRPr="004A3983">
        <w:t>.</w:t>
      </w:r>
      <w:r w:rsidR="00737766" w:rsidRPr="004A3983">
        <w:t xml:space="preserve"> </w:t>
      </w:r>
    </w:p>
    <w:p w14:paraId="212F7EF5" w14:textId="00104B33" w:rsidR="00805D81" w:rsidRPr="004A3983" w:rsidRDefault="000570D3" w:rsidP="00062C0B">
      <w:pPr>
        <w:autoSpaceDE w:val="0"/>
        <w:autoSpaceDN w:val="0"/>
        <w:spacing w:after="160"/>
        <w:ind w:right="-2"/>
      </w:pPr>
      <w:r w:rsidRPr="004A3983">
        <w:t xml:space="preserve">The </w:t>
      </w:r>
      <w:r w:rsidR="00805D81" w:rsidRPr="004A3983">
        <w:t xml:space="preserve">Magistrate had noted on 30 November 2012 that his interpretation of </w:t>
      </w:r>
      <w:r w:rsidR="00D67758" w:rsidRPr="004A3983">
        <w:t>the term ‘</w:t>
      </w:r>
      <w:r w:rsidR="00805D81" w:rsidRPr="004A3983">
        <w:t>employment</w:t>
      </w:r>
      <w:r w:rsidR="00D67758" w:rsidRPr="004A3983">
        <w:t>’</w:t>
      </w:r>
      <w:r w:rsidR="00805D81" w:rsidRPr="004A3983">
        <w:t xml:space="preserve"> under the CPOR Act meant there was:</w:t>
      </w:r>
    </w:p>
    <w:p w14:paraId="7665DF14" w14:textId="55937BFF" w:rsidR="00805D81" w:rsidRPr="004A3983" w:rsidRDefault="00805D81" w:rsidP="008F34A3">
      <w:pPr>
        <w:pStyle w:val="Quotesmall1cm"/>
      </w:pPr>
      <w:r w:rsidRPr="004A3983">
        <w:t>an urgent need for legislative review. There is a clear need for persons in the position of the defendant to be so supervised and to be so responsible for reporting… and I will expect a large number of people who are on such orders [ie registrable persons] to be in fact unable to get work elsewhere and consequently working for the dole.</w:t>
      </w:r>
      <w:r w:rsidRPr="004A3983">
        <w:rPr>
          <w:rStyle w:val="FootnoteReference"/>
        </w:rPr>
        <w:footnoteReference w:id="721"/>
      </w:r>
    </w:p>
    <w:p w14:paraId="5CC0A368" w14:textId="25529363" w:rsidR="00805D81" w:rsidRPr="004A3983" w:rsidRDefault="00805D81" w:rsidP="00062C0B">
      <w:pPr>
        <w:spacing w:after="160"/>
        <w:ind w:right="-2"/>
      </w:pPr>
      <w:r w:rsidRPr="004A3983">
        <w:t xml:space="preserve">Since the decision in relation to Mr XX, the CCYP Act has been repealed and replaced by the </w:t>
      </w:r>
      <w:r w:rsidR="009B4E5A" w:rsidRPr="004A3983">
        <w:rPr>
          <w:i/>
        </w:rPr>
        <w:t>Child Protection (Working w</w:t>
      </w:r>
      <w:r w:rsidRPr="004A3983">
        <w:rPr>
          <w:i/>
        </w:rPr>
        <w:t>ith Children) Act 2012</w:t>
      </w:r>
      <w:r w:rsidRPr="004A3983">
        <w:t xml:space="preserve"> (NSW) (WWC Act), and the CPOR Act has been amended as a consequence. However, the introduction of the WWC Act and these amendments do not appear to have addressed </w:t>
      </w:r>
      <w:r w:rsidR="000570D3" w:rsidRPr="004A3983">
        <w:t xml:space="preserve">the </w:t>
      </w:r>
      <w:r w:rsidRPr="004A3983">
        <w:t xml:space="preserve">concerns </w:t>
      </w:r>
      <w:r w:rsidR="00704A77" w:rsidRPr="004A3983">
        <w:t>raised by the Magistrate in Mr </w:t>
      </w:r>
      <w:r w:rsidR="00DE1F82" w:rsidRPr="004A3983">
        <w:t xml:space="preserve">XX’s case </w:t>
      </w:r>
      <w:r w:rsidRPr="004A3983">
        <w:t xml:space="preserve">that work for the dole is not required to be reported under the CPOR Act.  </w:t>
      </w:r>
    </w:p>
    <w:p w14:paraId="55A99203" w14:textId="06E22898" w:rsidR="00805D81" w:rsidRPr="004A3983" w:rsidRDefault="00805D81" w:rsidP="00062C0B">
      <w:pPr>
        <w:spacing w:after="160"/>
        <w:ind w:right="-2"/>
      </w:pPr>
      <w:r w:rsidRPr="004A3983">
        <w:lastRenderedPageBreak/>
        <w:t>Section 9(1)(f) as currently drafted requires a registrable person, if they are a ‘worker’</w:t>
      </w:r>
      <w:r w:rsidR="007B2932" w:rsidRPr="004A3983">
        <w:t>,</w:t>
      </w:r>
      <w:r w:rsidRPr="004A3983">
        <w:t xml:space="preserve"> to report the nature of their work, their employer, and the address of each premises at which the person generally works. The terms ‘worker’ and ‘employer’ in s</w:t>
      </w:r>
      <w:r w:rsidR="00200467" w:rsidRPr="004A3983">
        <w:t> </w:t>
      </w:r>
      <w:r w:rsidRPr="004A3983">
        <w:t xml:space="preserve">9(1)(f) </w:t>
      </w:r>
      <w:r w:rsidR="00490735" w:rsidRPr="004A3983">
        <w:t xml:space="preserve">of the CPOR Act </w:t>
      </w:r>
      <w:r w:rsidRPr="004A3983">
        <w:t>have the same meanings as those terms are given in s 5 of the WWC Act.</w:t>
      </w:r>
      <w:r w:rsidRPr="004A3983">
        <w:rPr>
          <w:rStyle w:val="FootnoteReference"/>
        </w:rPr>
        <w:footnoteReference w:id="722"/>
      </w:r>
    </w:p>
    <w:p w14:paraId="481E26F0" w14:textId="6CA493A6" w:rsidR="00805D81" w:rsidRPr="004A3983" w:rsidRDefault="00805D81" w:rsidP="00062C0B">
      <w:pPr>
        <w:spacing w:after="160"/>
        <w:ind w:right="-2"/>
      </w:pPr>
      <w:r w:rsidRPr="004A3983">
        <w:rPr>
          <w:color w:val="000000"/>
        </w:rPr>
        <w:t xml:space="preserve">A person engaged in the work for the dole program does not appear to fit </w:t>
      </w:r>
      <w:r w:rsidR="00200467" w:rsidRPr="004A3983">
        <w:rPr>
          <w:color w:val="000000"/>
        </w:rPr>
        <w:t xml:space="preserve">in </w:t>
      </w:r>
      <w:r w:rsidRPr="004A3983">
        <w:rPr>
          <w:color w:val="000000"/>
        </w:rPr>
        <w:t xml:space="preserve">any of the categories contained in the definition of ‘worker’ in the WWC Act. Such a person is not an ‘employee’ as </w:t>
      </w:r>
      <w:r w:rsidRPr="004A3983">
        <w:t>the person receives no remuneration for the work and is required to participate in the work program in order to receive income support from Centrelink</w:t>
      </w:r>
      <w:r w:rsidR="00A02AF8" w:rsidRPr="004A3983">
        <w:t>,</w:t>
      </w:r>
      <w:r w:rsidRPr="004A3983">
        <w:t xml:space="preserve"> but does not enter into a contractual relationship with the host organisation. A person participating in work for the dole also is not a self-employed person,</w:t>
      </w:r>
      <w:r w:rsidR="009F1B2B">
        <w:t xml:space="preserve"> a contractor or sub-contractor,</w:t>
      </w:r>
      <w:r w:rsidRPr="004A3983">
        <w:t xml:space="preserve"> a volunteer, or a person undertaking practical training as part of an educational or vocational course.</w:t>
      </w:r>
      <w:r w:rsidRPr="004A3983">
        <w:rPr>
          <w:rStyle w:val="FootnoteReference"/>
        </w:rPr>
        <w:footnoteReference w:id="723"/>
      </w:r>
      <w:r w:rsidRPr="004A3983">
        <w:t xml:space="preserve"> </w:t>
      </w:r>
    </w:p>
    <w:p w14:paraId="47C89091" w14:textId="77777777" w:rsidR="00805D81" w:rsidRPr="004A3983" w:rsidRDefault="00805D81" w:rsidP="006A1E39">
      <w:pPr>
        <w:pStyle w:val="ListBullet"/>
        <w:numPr>
          <w:ilvl w:val="0"/>
          <w:numId w:val="0"/>
        </w:numPr>
      </w:pPr>
      <w:r w:rsidRPr="004A3983">
        <w:t xml:space="preserve">Further, the </w:t>
      </w:r>
      <w:r w:rsidRPr="004A3983">
        <w:rPr>
          <w:i/>
        </w:rPr>
        <w:t>Social Security Act 1991</w:t>
      </w:r>
      <w:r w:rsidRPr="004A3983">
        <w:t xml:space="preserve"> (Cth) makes it clear that the fact a person is engaged in the work for the dole program does not make that person an employee for the purposes of the </w:t>
      </w:r>
      <w:r w:rsidRPr="004A3983">
        <w:rPr>
          <w:i/>
        </w:rPr>
        <w:t>Fair Work Act 2009</w:t>
      </w:r>
      <w:r w:rsidRPr="004A3983">
        <w:t xml:space="preserve">, the </w:t>
      </w:r>
      <w:r w:rsidRPr="004A3983">
        <w:rPr>
          <w:i/>
        </w:rPr>
        <w:t>Superannuation Guarantee (Administration) Act 1992</w:t>
      </w:r>
      <w:r w:rsidRPr="004A3983">
        <w:t xml:space="preserve"> or the </w:t>
      </w:r>
      <w:r w:rsidRPr="004A3983">
        <w:rPr>
          <w:i/>
        </w:rPr>
        <w:t>Safety, Rehabilitation and Compensation Act 1988</w:t>
      </w:r>
      <w:r w:rsidRPr="004A3983">
        <w:t xml:space="preserve">, or a worker for the purposes of the </w:t>
      </w:r>
      <w:r w:rsidRPr="004A3983">
        <w:rPr>
          <w:i/>
        </w:rPr>
        <w:t>Work Health and Safety Act 2011</w:t>
      </w:r>
      <w:r w:rsidRPr="004A3983">
        <w:t>.</w:t>
      </w:r>
      <w:r w:rsidRPr="004A3983">
        <w:rPr>
          <w:rStyle w:val="FootnoteReference"/>
        </w:rPr>
        <w:footnoteReference w:id="724"/>
      </w:r>
    </w:p>
    <w:p w14:paraId="5D1C2BE6" w14:textId="2A259001" w:rsidR="009971BE" w:rsidRPr="004A3983" w:rsidRDefault="004134E4" w:rsidP="00062C0B">
      <w:pPr>
        <w:spacing w:after="160"/>
        <w:ind w:right="-2"/>
      </w:pPr>
      <w:r w:rsidRPr="004A3983">
        <w:t xml:space="preserve">It is therefore not clear </w:t>
      </w:r>
      <w:r w:rsidR="006B776A" w:rsidRPr="004A3983">
        <w:t xml:space="preserve">from a reading of the WWC Act </w:t>
      </w:r>
      <w:r w:rsidRPr="004A3983">
        <w:t>whether</w:t>
      </w:r>
      <w:r w:rsidR="00805D81" w:rsidRPr="004A3983">
        <w:t xml:space="preserve"> a registrable person undertaking work for the dole is </w:t>
      </w:r>
      <w:r w:rsidR="006B776A" w:rsidRPr="004A3983">
        <w:t xml:space="preserve">a ‘worker’ under that Act, and therefore </w:t>
      </w:r>
      <w:r w:rsidR="00805D81" w:rsidRPr="004A3983">
        <w:t>a ‘worker’ for the purposes of s 9(1)(f) of the CPOR Act</w:t>
      </w:r>
      <w:r w:rsidR="006B776A" w:rsidRPr="004A3983">
        <w:t>. It is also</w:t>
      </w:r>
      <w:r w:rsidR="00170F2B" w:rsidRPr="004A3983">
        <w:t xml:space="preserve"> therefore</w:t>
      </w:r>
      <w:r w:rsidR="006B776A" w:rsidRPr="004A3983">
        <w:t xml:space="preserve"> unclear whether such a person</w:t>
      </w:r>
      <w:r w:rsidR="00805D81" w:rsidRPr="004A3983">
        <w:t xml:space="preserve"> has </w:t>
      </w:r>
      <w:r w:rsidR="009971BE" w:rsidRPr="004A3983">
        <w:t>an</w:t>
      </w:r>
      <w:r w:rsidR="00805D81" w:rsidRPr="004A3983">
        <w:t xml:space="preserve"> obligation to report the fact they are undertaking this work to the NSW</w:t>
      </w:r>
      <w:r w:rsidR="00952DC8" w:rsidRPr="004A3983">
        <w:t xml:space="preserve"> Police Force</w:t>
      </w:r>
      <w:r w:rsidR="006B776A" w:rsidRPr="004A3983">
        <w:t xml:space="preserve"> under the</w:t>
      </w:r>
      <w:r w:rsidR="00805D81" w:rsidRPr="004A3983">
        <w:t xml:space="preserve"> </w:t>
      </w:r>
      <w:r w:rsidR="006B776A" w:rsidRPr="004A3983">
        <w:t xml:space="preserve">CPOR </w:t>
      </w:r>
      <w:r w:rsidR="00805D81" w:rsidRPr="004A3983">
        <w:t xml:space="preserve">Act. </w:t>
      </w:r>
      <w:r w:rsidR="009971BE" w:rsidRPr="004A3983">
        <w:t>Thi</w:t>
      </w:r>
      <w:r w:rsidR="00F36456" w:rsidRPr="004A3983">
        <w:t>s issue needs to be clarified so</w:t>
      </w:r>
      <w:r w:rsidR="009971BE" w:rsidRPr="004A3983">
        <w:t xml:space="preserve"> that the NSW Police Force </w:t>
      </w:r>
      <w:r w:rsidR="00F36456" w:rsidRPr="004A3983">
        <w:t xml:space="preserve">can enforce the </w:t>
      </w:r>
      <w:r w:rsidR="00B8728A" w:rsidRPr="004A3983">
        <w:t xml:space="preserve">reporting obligations in the </w:t>
      </w:r>
      <w:r w:rsidR="00F36456" w:rsidRPr="004A3983">
        <w:t xml:space="preserve">CPOR Act correctly. </w:t>
      </w:r>
    </w:p>
    <w:p w14:paraId="00379647" w14:textId="2D2A5868" w:rsidR="00805D81" w:rsidRPr="004A3983" w:rsidRDefault="00805D81" w:rsidP="00062C0B">
      <w:pPr>
        <w:spacing w:after="160"/>
        <w:ind w:right="-2"/>
        <w:rPr>
          <w:rFonts w:cs="Arial"/>
          <w:b/>
          <w:u w:val="single"/>
        </w:rPr>
      </w:pPr>
      <w:r w:rsidRPr="004A3983">
        <w:rPr>
          <w:rFonts w:cs="Arial"/>
          <w:b/>
          <w:u w:val="single"/>
        </w:rPr>
        <w:t xml:space="preserve">Conclusion following consultation with </w:t>
      </w:r>
      <w:r w:rsidR="005C0C38" w:rsidRPr="004A3983">
        <w:rPr>
          <w:rFonts w:cs="Arial"/>
          <w:b/>
          <w:u w:val="single"/>
        </w:rPr>
        <w:t xml:space="preserve">the </w:t>
      </w:r>
      <w:r w:rsidRPr="004A3983">
        <w:rPr>
          <w:rFonts w:cs="Arial"/>
          <w:b/>
          <w:u w:val="single"/>
        </w:rPr>
        <w:t>NSW</w:t>
      </w:r>
      <w:r w:rsidR="00952DC8" w:rsidRPr="004A3983">
        <w:rPr>
          <w:b/>
          <w:u w:val="single"/>
        </w:rPr>
        <w:t xml:space="preserve"> Police Force</w:t>
      </w:r>
      <w:r w:rsidRPr="004A3983">
        <w:rPr>
          <w:rFonts w:cs="Arial"/>
          <w:b/>
          <w:u w:val="single"/>
        </w:rPr>
        <w:t>:</w:t>
      </w:r>
    </w:p>
    <w:p w14:paraId="6F8CC169" w14:textId="167F39D7" w:rsidR="00805D81" w:rsidRPr="004A3983" w:rsidRDefault="00F36456" w:rsidP="00062C0B">
      <w:pPr>
        <w:spacing w:after="160"/>
        <w:ind w:right="-2"/>
        <w:rPr>
          <w:rFonts w:cs="Arial"/>
          <w:b/>
        </w:rPr>
      </w:pPr>
      <w:r w:rsidRPr="004A3983">
        <w:rPr>
          <w:rFonts w:cs="Arial"/>
          <w:b/>
        </w:rPr>
        <w:t>The definition of ‘worker’ for the purposes of</w:t>
      </w:r>
      <w:r w:rsidR="00805D81" w:rsidRPr="004A3983">
        <w:rPr>
          <w:rFonts w:cs="Arial"/>
          <w:b/>
        </w:rPr>
        <w:t xml:space="preserve"> the CPOR Act should expressly include persons participating in a Work for the Dole program. Consideration should be given to including similar wording to that in s 631C of the </w:t>
      </w:r>
      <w:r w:rsidR="00805D81" w:rsidRPr="004A3983">
        <w:rPr>
          <w:rFonts w:cs="Arial"/>
          <w:b/>
          <w:i/>
        </w:rPr>
        <w:t>Social Security Act 1991</w:t>
      </w:r>
      <w:r w:rsidR="00805D81" w:rsidRPr="004A3983">
        <w:rPr>
          <w:rFonts w:cs="Arial"/>
          <w:b/>
        </w:rPr>
        <w:t xml:space="preserve"> (namely a person who ‘is participating in an approved program of work for income support, or undertaking an activity in accordance with a term (including an optional term) of a Newstart Employment Pathway Plan’).</w:t>
      </w:r>
    </w:p>
    <w:p w14:paraId="5933CE7A" w14:textId="71A89B6C" w:rsidR="009965EE" w:rsidRPr="004A3983" w:rsidRDefault="00024C4B" w:rsidP="00F84ADE">
      <w:pPr>
        <w:pStyle w:val="AppendixHeading2"/>
      </w:pPr>
      <w:bookmarkStart w:id="695" w:name="_Ref9929974"/>
      <w:bookmarkStart w:id="696" w:name="_Toc22627881"/>
      <w:r>
        <w:t>I</w:t>
      </w:r>
      <w:r w:rsidR="00C47F08" w:rsidRPr="004A3983">
        <w:t>dentifying</w:t>
      </w:r>
      <w:r w:rsidR="00805D81" w:rsidRPr="004A3983">
        <w:t xml:space="preserve"> when corresponding registrable persons need to make their initial report</w:t>
      </w:r>
      <w:bookmarkEnd w:id="695"/>
      <w:bookmarkEnd w:id="696"/>
    </w:p>
    <w:p w14:paraId="4D8678A7" w14:textId="135A2562" w:rsidR="007414CA" w:rsidRPr="004A3983" w:rsidRDefault="007414CA" w:rsidP="00062C0B">
      <w:pPr>
        <w:spacing w:after="160"/>
        <w:ind w:right="-2"/>
      </w:pPr>
      <w:r w:rsidRPr="004A3983">
        <w:t>It is difficult to determine when a corresp</w:t>
      </w:r>
      <w:r w:rsidR="004159EF" w:rsidRPr="004A3983">
        <w:t xml:space="preserve">onding registrable person </w:t>
      </w:r>
      <w:r w:rsidRPr="004A3983">
        <w:t>is required to make their initial report under the CPOR Act. Section 19BD requires a person who ‘becomes</w:t>
      </w:r>
      <w:r w:rsidR="00002913" w:rsidRPr="004A3983">
        <w:t>’</w:t>
      </w:r>
      <w:r w:rsidRPr="004A3983">
        <w:t xml:space="preserve"> a </w:t>
      </w:r>
      <w:r w:rsidR="004159EF" w:rsidRPr="004A3983">
        <w:t>corresponding registrable person</w:t>
      </w:r>
      <w:r w:rsidRPr="004A3983">
        <w:t xml:space="preserve"> while in </w:t>
      </w:r>
      <w:r w:rsidR="008C665C" w:rsidRPr="004A3983">
        <w:t>New South Wales</w:t>
      </w:r>
      <w:r w:rsidRPr="004A3983">
        <w:t xml:space="preserve"> to</w:t>
      </w:r>
      <w:r w:rsidR="00002913" w:rsidRPr="004A3983">
        <w:t xml:space="preserve"> make an initial report within seven</w:t>
      </w:r>
      <w:r w:rsidRPr="004A3983">
        <w:t xml:space="preserve"> days ‘after becoming</w:t>
      </w:r>
      <w:r w:rsidR="00002913" w:rsidRPr="004A3983">
        <w:t xml:space="preserve">’ a </w:t>
      </w:r>
      <w:r w:rsidR="004159EF" w:rsidRPr="004A3983">
        <w:t>corresponding registrable person</w:t>
      </w:r>
      <w:r w:rsidRPr="004A3983">
        <w:t>.</w:t>
      </w:r>
      <w:r w:rsidRPr="004A3983">
        <w:rPr>
          <w:rStyle w:val="FootnoteReference"/>
          <w:rFonts w:cs="Arial"/>
        </w:rPr>
        <w:t xml:space="preserve"> </w:t>
      </w:r>
    </w:p>
    <w:p w14:paraId="44350610" w14:textId="222F61BF" w:rsidR="007414CA" w:rsidRPr="004A3983" w:rsidRDefault="007414CA" w:rsidP="00062C0B">
      <w:pPr>
        <w:spacing w:after="160"/>
        <w:ind w:right="-2"/>
      </w:pPr>
      <w:r w:rsidRPr="004A3983">
        <w:t>However, the CPOR Act does not define at what point a person will ‘become</w:t>
      </w:r>
      <w:r w:rsidR="00BB267E" w:rsidRPr="004A3983">
        <w:t xml:space="preserve">’ a </w:t>
      </w:r>
      <w:r w:rsidR="004159EF" w:rsidRPr="004A3983">
        <w:t>corresponding registrable person</w:t>
      </w:r>
      <w:r w:rsidRPr="004A3983">
        <w:t xml:space="preserve">. Section 19BB, which defines who is a </w:t>
      </w:r>
      <w:r w:rsidR="004159EF" w:rsidRPr="004A3983">
        <w:lastRenderedPageBreak/>
        <w:t>corresponding registrable person</w:t>
      </w:r>
      <w:r w:rsidRPr="004A3983">
        <w:t xml:space="preserve">, does not shed much light on this issue, other than to suggest that a person can only become a </w:t>
      </w:r>
      <w:r w:rsidR="004159EF" w:rsidRPr="004A3983">
        <w:t>corresponding registrable person</w:t>
      </w:r>
      <w:r w:rsidRPr="004A3983">
        <w:t xml:space="preserve"> once they have left the jurisdiction in which they were </w:t>
      </w:r>
      <w:r w:rsidR="00BB267E" w:rsidRPr="004A3983">
        <w:t xml:space="preserve">originally </w:t>
      </w:r>
      <w:r w:rsidRPr="004A3983">
        <w:t xml:space="preserve">required to report. </w:t>
      </w:r>
    </w:p>
    <w:p w14:paraId="5FD75450" w14:textId="6739C884" w:rsidR="007414CA" w:rsidRPr="004A3983" w:rsidRDefault="007414CA" w:rsidP="00062C0B">
      <w:pPr>
        <w:spacing w:after="160"/>
        <w:ind w:right="-2"/>
      </w:pPr>
      <w:r w:rsidRPr="004A3983">
        <w:t xml:space="preserve">Section 9C of the CPOR </w:t>
      </w:r>
      <w:r w:rsidR="00E041DA" w:rsidRPr="004A3983">
        <w:t xml:space="preserve">Act may provide some assistance. That section states </w:t>
      </w:r>
      <w:r w:rsidRPr="004A3983">
        <w:t>that any person who has been required to report to a corresponding registrar must contact a person nominated by the</w:t>
      </w:r>
      <w:r w:rsidR="003F0450" w:rsidRPr="004A3983">
        <w:t xml:space="preserve"> </w:t>
      </w:r>
      <w:r w:rsidR="002F2DF3" w:rsidRPr="004A3983">
        <w:t xml:space="preserve">NSW </w:t>
      </w:r>
      <w:r w:rsidR="003F0450" w:rsidRPr="004A3983">
        <w:t>Commissioner of Police within seven</w:t>
      </w:r>
      <w:r w:rsidRPr="004A3983">
        <w:t xml:space="preserve"> days of entering </w:t>
      </w:r>
      <w:r w:rsidR="008C665C" w:rsidRPr="004A3983">
        <w:t>New South Wales</w:t>
      </w:r>
      <w:r w:rsidRPr="004A3983">
        <w:t xml:space="preserve">. The purpose of the contact is </w:t>
      </w:r>
      <w:r w:rsidR="00200FE8" w:rsidRPr="004A3983">
        <w:t>for the person to receive advice from</w:t>
      </w:r>
      <w:r w:rsidRPr="004A3983">
        <w:t xml:space="preserve"> the NSW</w:t>
      </w:r>
      <w:r w:rsidR="00C11F4B" w:rsidRPr="004A3983">
        <w:t xml:space="preserve"> Police Force </w:t>
      </w:r>
      <w:r w:rsidR="00200FE8" w:rsidRPr="004A3983">
        <w:t>as to</w:t>
      </w:r>
      <w:r w:rsidRPr="004A3983">
        <w:t xml:space="preserve"> whether they are a registrable person under the CPOR Act, and if so</w:t>
      </w:r>
      <w:r w:rsidR="00200FE8" w:rsidRPr="004A3983">
        <w:t>,</w:t>
      </w:r>
      <w:r w:rsidRPr="004A3983">
        <w:t xml:space="preserve"> </w:t>
      </w:r>
      <w:r w:rsidR="00200FE8" w:rsidRPr="004A3983">
        <w:t xml:space="preserve">to be </w:t>
      </w:r>
      <w:r w:rsidRPr="004A3983">
        <w:t>inform</w:t>
      </w:r>
      <w:r w:rsidR="00200FE8" w:rsidRPr="004A3983">
        <w:t xml:space="preserve">ed </w:t>
      </w:r>
      <w:r w:rsidRPr="004A3983">
        <w:t>abou</w:t>
      </w:r>
      <w:r w:rsidR="003F0450" w:rsidRPr="004A3983">
        <w:t>t their reporting obligations (</w:t>
      </w:r>
      <w:r w:rsidRPr="004A3983">
        <w:t>s 9C(3)).</w:t>
      </w:r>
    </w:p>
    <w:p w14:paraId="229819C4" w14:textId="015E2648" w:rsidR="007414CA" w:rsidRPr="004A3983" w:rsidRDefault="007414CA" w:rsidP="00062C0B">
      <w:pPr>
        <w:spacing w:after="160"/>
        <w:ind w:right="-2"/>
      </w:pPr>
      <w:r w:rsidRPr="004A3983">
        <w:t>It may be that a person ‘becomes</w:t>
      </w:r>
      <w:r w:rsidR="009161C2" w:rsidRPr="004A3983">
        <w:t xml:space="preserve">’ a </w:t>
      </w:r>
      <w:r w:rsidR="004159EF" w:rsidRPr="004A3983">
        <w:t>corresponding registrable person</w:t>
      </w:r>
      <w:r w:rsidRPr="004A3983">
        <w:t xml:space="preserve"> when they are advised that they are registrable in </w:t>
      </w:r>
      <w:r w:rsidR="008C665C" w:rsidRPr="004A3983">
        <w:t>New South Wales</w:t>
      </w:r>
      <w:r w:rsidRPr="004A3983">
        <w:t xml:space="preserve"> under s 9C(3). Under s 19</w:t>
      </w:r>
      <w:r w:rsidR="009161C2" w:rsidRPr="004A3983">
        <w:t>BD, the person would then have seven</w:t>
      </w:r>
      <w:r w:rsidRPr="004A3983">
        <w:t xml:space="preserve"> days from that advice to make their initial report. A </w:t>
      </w:r>
      <w:r w:rsidR="004159EF" w:rsidRPr="004A3983">
        <w:t>corresponding registrable person</w:t>
      </w:r>
      <w:r w:rsidRPr="004A3983">
        <w:t xml:space="preserve"> cannot be convicted for failure to c</w:t>
      </w:r>
      <w:r w:rsidR="002771F8" w:rsidRPr="004A3983">
        <w:t>omply with s </w:t>
      </w:r>
      <w:r w:rsidR="00D81DB7" w:rsidRPr="004A3983">
        <w:t xml:space="preserve">19BD if the </w:t>
      </w:r>
      <w:r w:rsidR="004159EF" w:rsidRPr="004A3983">
        <w:t>person</w:t>
      </w:r>
      <w:r w:rsidR="00D81DB7" w:rsidRPr="004A3983">
        <w:t xml:space="preserve"> has</w:t>
      </w:r>
      <w:r w:rsidRPr="004A3983">
        <w:t xml:space="preserve"> not received notice, or otherwise been made aware, of his or her reporting obligations under that section.</w:t>
      </w:r>
      <w:r w:rsidRPr="004A3983">
        <w:rPr>
          <w:rStyle w:val="FootnoteReference"/>
          <w:rFonts w:cs="Arial"/>
        </w:rPr>
        <w:footnoteReference w:id="725"/>
      </w:r>
      <w:r w:rsidRPr="004A3983">
        <w:t xml:space="preserve"> Accord</w:t>
      </w:r>
      <w:r w:rsidR="0057285F" w:rsidRPr="004A3983">
        <w:t>ingly, it would be logical if s</w:t>
      </w:r>
      <w:r w:rsidR="002771F8" w:rsidRPr="004A3983">
        <w:t> </w:t>
      </w:r>
      <w:r w:rsidRPr="004A3983">
        <w:t xml:space="preserve">9C(3) and </w:t>
      </w:r>
      <w:r w:rsidR="0057285F" w:rsidRPr="004A3983">
        <w:t xml:space="preserve">s </w:t>
      </w:r>
      <w:r w:rsidRPr="004A3983">
        <w:t>19BD were to be read together in this way.</w:t>
      </w:r>
    </w:p>
    <w:p w14:paraId="53552BDF" w14:textId="222F1CE0" w:rsidR="007414CA" w:rsidRPr="004A3983" w:rsidRDefault="007414CA" w:rsidP="00062C0B">
      <w:pPr>
        <w:spacing w:after="160"/>
        <w:ind w:right="-2"/>
      </w:pPr>
      <w:r w:rsidRPr="004A3983">
        <w:t xml:space="preserve">However, a further complicating factor when attempting to identify the timeframe for a </w:t>
      </w:r>
      <w:r w:rsidR="004159EF" w:rsidRPr="004A3983">
        <w:t>corresponding registrable person</w:t>
      </w:r>
      <w:r w:rsidRPr="004A3983">
        <w:t>’s initial repor</w:t>
      </w:r>
      <w:r w:rsidR="00D33BF8" w:rsidRPr="004A3983">
        <w:t>t is the relationship between s </w:t>
      </w:r>
      <w:r w:rsidRPr="004A3983">
        <w:t>19BD and the table in s 9A titled ‘When an initial report must be made’. The last item (item 3) in that table states:</w:t>
      </w:r>
    </w:p>
    <w:p w14:paraId="407AA849" w14:textId="1C1A327B" w:rsidR="007414CA" w:rsidRPr="004A3983" w:rsidRDefault="007414CA" w:rsidP="008F34A3">
      <w:pPr>
        <w:pStyle w:val="Quotesmall1cm"/>
      </w:pPr>
      <w:r w:rsidRPr="004A3983">
        <w:t>A registrable person who enters New South Wales from a foreign jurisdiction and who had not previously been required under this Act to report his or her personal information to the Commissioner of Police…[must make an initial report] [w]ithin 7 days after entering and remaining in New South Wales for 14 or more consecutive days…</w:t>
      </w:r>
    </w:p>
    <w:p w14:paraId="7FD79330" w14:textId="77B3ECA6" w:rsidR="007414CA" w:rsidRPr="004A3983" w:rsidRDefault="007414CA" w:rsidP="00062C0B">
      <w:pPr>
        <w:spacing w:after="160"/>
        <w:ind w:right="-2"/>
      </w:pPr>
      <w:r w:rsidRPr="004A3983">
        <w:t xml:space="preserve">As the definition of a ‘registrable person’ includes a </w:t>
      </w:r>
      <w:r w:rsidR="004159EF" w:rsidRPr="004A3983">
        <w:t>corresponding registrable person</w:t>
      </w:r>
      <w:r w:rsidRPr="004A3983">
        <w:t>,</w:t>
      </w:r>
      <w:r w:rsidRPr="004A3983">
        <w:rPr>
          <w:rStyle w:val="FootnoteReference"/>
          <w:rFonts w:cs="Arial"/>
        </w:rPr>
        <w:footnoteReference w:id="726"/>
      </w:r>
      <w:r w:rsidRPr="004A3983">
        <w:t xml:space="preserve"> on its face this obligation would appear to apply to </w:t>
      </w:r>
      <w:r w:rsidR="004159EF" w:rsidRPr="004A3983">
        <w:t>corresponding registrable person</w:t>
      </w:r>
      <w:r w:rsidRPr="004A3983">
        <w:t xml:space="preserve">s. On the basis of that provision, it could be argued that a </w:t>
      </w:r>
      <w:r w:rsidR="004159EF" w:rsidRPr="004A3983">
        <w:t>corresponding registrable person</w:t>
      </w:r>
      <w:r w:rsidRPr="004A3983">
        <w:t xml:space="preserve"> could have up to 21 days after entering </w:t>
      </w:r>
      <w:r w:rsidR="008C665C" w:rsidRPr="004A3983">
        <w:t>New South Wales</w:t>
      </w:r>
      <w:r w:rsidRPr="004A3983">
        <w:t xml:space="preserve"> to make an initial report. </w:t>
      </w:r>
    </w:p>
    <w:p w14:paraId="23CD114C" w14:textId="5C5DB28A" w:rsidR="007414CA" w:rsidRPr="004A3983" w:rsidRDefault="007414CA" w:rsidP="00062C0B">
      <w:pPr>
        <w:spacing w:after="160"/>
        <w:ind w:right="-2"/>
      </w:pPr>
      <w:r w:rsidRPr="004A3983">
        <w:t xml:space="preserve">However a review of the legislative history of s 9A reveals that there previously was a fourth item in that table, which was specifically addressed to </w:t>
      </w:r>
      <w:r w:rsidR="004159EF" w:rsidRPr="004A3983">
        <w:t>corresponding registrable person</w:t>
      </w:r>
      <w:r w:rsidRPr="004A3983">
        <w:t>s.</w:t>
      </w:r>
      <w:r w:rsidRPr="004A3983">
        <w:rPr>
          <w:rStyle w:val="FootnoteReference"/>
          <w:rFonts w:cs="Arial"/>
        </w:rPr>
        <w:footnoteReference w:id="727"/>
      </w:r>
      <w:r w:rsidRPr="004A3983">
        <w:t xml:space="preserve"> That section was removed and became s 19BD.</w:t>
      </w:r>
      <w:r w:rsidRPr="004A3983">
        <w:rPr>
          <w:rStyle w:val="FootnoteReference"/>
          <w:rFonts w:cs="Arial"/>
        </w:rPr>
        <w:footnoteReference w:id="728"/>
      </w:r>
      <w:r w:rsidRPr="004A3983">
        <w:t xml:space="preserve"> This suggests that item 3 of the table was not designed with </w:t>
      </w:r>
      <w:r w:rsidR="004159EF" w:rsidRPr="004A3983">
        <w:t>corresponding registrable person</w:t>
      </w:r>
      <w:r w:rsidRPr="004A3983">
        <w:t>s specifically in mind, a reading which is supported by the legislative history of that provision.</w:t>
      </w:r>
      <w:r w:rsidRPr="004A3983">
        <w:rPr>
          <w:rStyle w:val="FootnoteReference"/>
          <w:rFonts w:cs="Arial"/>
        </w:rPr>
        <w:footnoteReference w:id="729"/>
      </w:r>
    </w:p>
    <w:p w14:paraId="3A75C760" w14:textId="6E158B08" w:rsidR="007414CA" w:rsidRPr="004A3983" w:rsidRDefault="007414CA" w:rsidP="00062C0B">
      <w:pPr>
        <w:spacing w:after="160"/>
        <w:ind w:right="-2"/>
      </w:pPr>
      <w:r w:rsidRPr="004A3983">
        <w:lastRenderedPageBreak/>
        <w:t xml:space="preserve">The Registry officers </w:t>
      </w:r>
      <w:r w:rsidR="00775D5E" w:rsidRPr="004A3983">
        <w:t xml:space="preserve">that </w:t>
      </w:r>
      <w:r w:rsidRPr="004A3983">
        <w:t>the Commission consulted stated that the corresponding registrable person</w:t>
      </w:r>
      <w:r w:rsidR="003056E5" w:rsidRPr="004A3983">
        <w:t xml:space="preserve"> provisions in the Act</w:t>
      </w:r>
      <w:r w:rsidRPr="004A3983">
        <w:t xml:space="preserve"> need to be reviewed. They agreed that the Act needs to define at what point a person becomes a corresponding registrable person for the purpose of calculating the timeframe f</w:t>
      </w:r>
      <w:r w:rsidR="00572816" w:rsidRPr="004A3983">
        <w:t>or their initial report under s </w:t>
      </w:r>
      <w:r w:rsidRPr="004A3983">
        <w:t>19BD. The officers also agree</w:t>
      </w:r>
      <w:r w:rsidR="006F4D56" w:rsidRPr="004A3983">
        <w:t>d</w:t>
      </w:r>
      <w:r w:rsidRPr="004A3983">
        <w:t xml:space="preserve"> that the Act needs to make explicit the relationship between s 9C, the last item in s 9A(1) and s 19BD.</w:t>
      </w:r>
    </w:p>
    <w:p w14:paraId="518D3255" w14:textId="4E37DA90" w:rsidR="007414CA" w:rsidRPr="004A3983" w:rsidRDefault="007414CA" w:rsidP="00062C0B">
      <w:pPr>
        <w:spacing w:after="160"/>
        <w:ind w:right="-2"/>
        <w:rPr>
          <w:b/>
          <w:u w:val="single"/>
        </w:rPr>
      </w:pPr>
      <w:r w:rsidRPr="004A3983">
        <w:rPr>
          <w:b/>
          <w:u w:val="single"/>
        </w:rPr>
        <w:t xml:space="preserve">Conclusions following consultation with the </w:t>
      </w:r>
      <w:r w:rsidR="00E266B3" w:rsidRPr="004A3983">
        <w:rPr>
          <w:b/>
          <w:u w:val="single"/>
        </w:rPr>
        <w:t>NSW Police Force</w:t>
      </w:r>
      <w:r w:rsidRPr="004A3983">
        <w:rPr>
          <w:b/>
          <w:u w:val="single"/>
        </w:rPr>
        <w:t>:</w:t>
      </w:r>
    </w:p>
    <w:p w14:paraId="7E86B957" w14:textId="2A4BDD25" w:rsidR="00805D81" w:rsidRPr="004A3983" w:rsidRDefault="007414CA" w:rsidP="00062C0B">
      <w:pPr>
        <w:spacing w:after="160"/>
        <w:ind w:right="-2"/>
        <w:rPr>
          <w:b/>
        </w:rPr>
      </w:pPr>
      <w:r w:rsidRPr="004A3983">
        <w:rPr>
          <w:b/>
        </w:rPr>
        <w:t>The CPOR Act needs to make clear exactly when a corresponding registrable person is required to make his or her initial report to the NSW</w:t>
      </w:r>
      <w:r w:rsidR="00C11F4B" w:rsidRPr="004A3983">
        <w:rPr>
          <w:b/>
        </w:rPr>
        <w:t xml:space="preserve"> Police Force</w:t>
      </w:r>
      <w:r w:rsidRPr="004A3983">
        <w:rPr>
          <w:b/>
        </w:rPr>
        <w:t>. Within the framework of the existing provisions, this would include inserting a definition of when a person ‘becomes a corresponding registrable person’ for the purpose of s 19BD, and making explicit how s 9C, s 9A(1) and s 19BD relate to each other.</w:t>
      </w:r>
    </w:p>
    <w:p w14:paraId="3DE3CD41" w14:textId="77777777" w:rsidR="00DD5CCA" w:rsidRPr="004A3983" w:rsidRDefault="00DD5CCA" w:rsidP="00F84ADE">
      <w:pPr>
        <w:pStyle w:val="AppendixHeading2"/>
      </w:pPr>
      <w:bookmarkStart w:id="697" w:name="_Toc22627882"/>
      <w:r w:rsidRPr="004A3983">
        <w:t xml:space="preserve">Error in provisions </w:t>
      </w:r>
      <w:r w:rsidRPr="00F84ADE">
        <w:t>regarding</w:t>
      </w:r>
      <w:r w:rsidRPr="004A3983">
        <w:t xml:space="preserve"> modified obligations for protected witnesses</w:t>
      </w:r>
      <w:bookmarkEnd w:id="697"/>
    </w:p>
    <w:p w14:paraId="25E11268" w14:textId="00F62584" w:rsidR="00C160BE" w:rsidRPr="004A3983" w:rsidRDefault="00C160BE" w:rsidP="00062C0B">
      <w:pPr>
        <w:spacing w:after="160"/>
        <w:ind w:right="-2"/>
      </w:pPr>
      <w:r w:rsidRPr="004A3983">
        <w:t xml:space="preserve">Part 3, Division 5 of the CPOR Act concerns the </w:t>
      </w:r>
      <w:r w:rsidR="009E04C3" w:rsidRPr="004A3983">
        <w:t xml:space="preserve">power of the </w:t>
      </w:r>
      <w:r w:rsidR="00713690" w:rsidRPr="004A3983">
        <w:t xml:space="preserve">NSW </w:t>
      </w:r>
      <w:r w:rsidRPr="004A3983">
        <w:t>Commissio</w:t>
      </w:r>
      <w:r w:rsidR="009E04C3" w:rsidRPr="004A3983">
        <w:t xml:space="preserve">ner of Police </w:t>
      </w:r>
      <w:r w:rsidRPr="004A3983">
        <w:t xml:space="preserve">to modify the reporting obligations which apply to protected witnesses. Section 13, in sub-ss (8), (9) and </w:t>
      </w:r>
      <w:r w:rsidR="001D7882" w:rsidRPr="004A3983">
        <w:t>(</w:t>
      </w:r>
      <w:r w:rsidRPr="004A3983">
        <w:t>10</w:t>
      </w:r>
      <w:r w:rsidR="001D7882" w:rsidRPr="004A3983">
        <w:t>)</w:t>
      </w:r>
      <w:r w:rsidRPr="004A3983">
        <w:t>(c), refers to persons aggrieved by decisions of the Commissioner of Police having a right to appeal to the NSW Ombudsman. However the Ombudsman no longer has this function; that role was taken over by the Commission on 9 July 2017.</w:t>
      </w:r>
      <w:r w:rsidRPr="004A3983">
        <w:rPr>
          <w:rStyle w:val="FootnoteReference"/>
        </w:rPr>
        <w:footnoteReference w:id="730"/>
      </w:r>
      <w:r w:rsidRPr="004A3983">
        <w:t xml:space="preserve"> </w:t>
      </w:r>
    </w:p>
    <w:p w14:paraId="7FF77CD5" w14:textId="6DDB4DEB" w:rsidR="00C160BE" w:rsidRPr="004A3983" w:rsidRDefault="00C160BE" w:rsidP="00062C0B">
      <w:pPr>
        <w:spacing w:after="160"/>
        <w:ind w:right="-2"/>
        <w:rPr>
          <w:b/>
          <w:u w:val="single"/>
        </w:rPr>
      </w:pPr>
      <w:r w:rsidRPr="004A3983">
        <w:rPr>
          <w:b/>
          <w:u w:val="single"/>
        </w:rPr>
        <w:t>Conclusion following consultation with the NSW</w:t>
      </w:r>
      <w:r w:rsidR="00C11F4B" w:rsidRPr="004A3983">
        <w:rPr>
          <w:b/>
          <w:u w:val="single"/>
        </w:rPr>
        <w:t xml:space="preserve"> Police Force</w:t>
      </w:r>
      <w:r w:rsidRPr="004A3983">
        <w:rPr>
          <w:b/>
          <w:u w:val="single"/>
        </w:rPr>
        <w:t>:</w:t>
      </w:r>
    </w:p>
    <w:p w14:paraId="547CE6CC" w14:textId="68C8A306" w:rsidR="00C160BE" w:rsidRPr="004A3983" w:rsidRDefault="001D7882" w:rsidP="00062C0B">
      <w:pPr>
        <w:spacing w:after="160"/>
        <w:ind w:right="-2"/>
        <w:rPr>
          <w:rFonts w:cs="Arial"/>
          <w:b/>
        </w:rPr>
      </w:pPr>
      <w:r w:rsidRPr="004A3983">
        <w:rPr>
          <w:rFonts w:cs="Arial"/>
          <w:b/>
        </w:rPr>
        <w:t xml:space="preserve">Section 13 sub-ss </w:t>
      </w:r>
      <w:r w:rsidR="00C160BE" w:rsidRPr="004A3983">
        <w:rPr>
          <w:rFonts w:cs="Arial"/>
          <w:b/>
        </w:rPr>
        <w:t>(8</w:t>
      </w:r>
      <w:r w:rsidR="00C160BE" w:rsidRPr="004A3983">
        <w:rPr>
          <w:b/>
        </w:rPr>
        <w:t xml:space="preserve">), (9) and 10(c) need to be amended to replace all references to the Ombudsman with references to the Law Enforcement Conduct Commission. </w:t>
      </w:r>
    </w:p>
    <w:p w14:paraId="1734C5DA" w14:textId="778D8D42" w:rsidR="001751F3" w:rsidRPr="004A3983" w:rsidRDefault="001751F3" w:rsidP="00F84ADE">
      <w:pPr>
        <w:pStyle w:val="AppendixHeading1"/>
      </w:pPr>
      <w:bookmarkStart w:id="698" w:name="_Toc8908762"/>
      <w:bookmarkStart w:id="699" w:name="_Ref9929951"/>
      <w:bookmarkStart w:id="700" w:name="_Toc22627883"/>
      <w:r w:rsidRPr="004A3983">
        <w:t xml:space="preserve">Calculating </w:t>
      </w:r>
      <w:r w:rsidRPr="00F84ADE">
        <w:t>extensions</w:t>
      </w:r>
      <w:r w:rsidRPr="004A3983">
        <w:t xml:space="preserve"> to reporting obligations for travel</w:t>
      </w:r>
      <w:bookmarkEnd w:id="698"/>
      <w:bookmarkEnd w:id="699"/>
      <w:bookmarkEnd w:id="700"/>
    </w:p>
    <w:p w14:paraId="7E020D24" w14:textId="6AE5081D" w:rsidR="001751F3" w:rsidRPr="004A3983" w:rsidRDefault="00B235ED" w:rsidP="00062C0B">
      <w:pPr>
        <w:spacing w:after="160"/>
        <w:ind w:right="-2"/>
      </w:pPr>
      <w:r w:rsidRPr="004A3983">
        <w:t xml:space="preserve">Under </w:t>
      </w:r>
      <w:r w:rsidR="004A019B" w:rsidRPr="004A3983">
        <w:t>s 15</w:t>
      </w:r>
      <w:r w:rsidR="001751F3" w:rsidRPr="004A3983">
        <w:t>(1)(b) of the CPOR Act</w:t>
      </w:r>
      <w:r w:rsidR="00177EFD" w:rsidRPr="004A3983">
        <w:t>,</w:t>
      </w:r>
      <w:r w:rsidR="001751F3" w:rsidRPr="004A3983">
        <w:t xml:space="preserve"> a registrable person’s reporting obligations are suspended for any period during which they are outside </w:t>
      </w:r>
      <w:r w:rsidR="008C665C" w:rsidRPr="004A3983">
        <w:t>New South Wales</w:t>
      </w:r>
      <w:r w:rsidR="001751F3" w:rsidRPr="004A3983">
        <w:t>.</w:t>
      </w:r>
      <w:r w:rsidR="001751F3" w:rsidRPr="004A3983">
        <w:rPr>
          <w:rStyle w:val="FootnoteReference"/>
        </w:rPr>
        <w:footnoteReference w:id="731"/>
      </w:r>
      <w:r w:rsidR="001751F3" w:rsidRPr="004A3983">
        <w:t xml:space="preserve"> </w:t>
      </w:r>
    </w:p>
    <w:p w14:paraId="2FBF1D15" w14:textId="36895679" w:rsidR="001751F3" w:rsidRPr="004A3983" w:rsidRDefault="004A019B" w:rsidP="00062C0B">
      <w:pPr>
        <w:spacing w:after="160"/>
        <w:ind w:right="-2"/>
      </w:pPr>
      <w:r w:rsidRPr="004A3983">
        <w:t>Section 15</w:t>
      </w:r>
      <w:r w:rsidR="00177EFD" w:rsidRPr="004A3983">
        <w:t>(3) states that the</w:t>
      </w:r>
      <w:r w:rsidR="001751F3" w:rsidRPr="004A3983">
        <w:t xml:space="preserve"> period for which a person’s reporting obligations continue will be extended ‘by the length of time that their obligations were suspended’ if, ‘during the time in which the obligations were suspended’, the registrable person:</w:t>
      </w:r>
    </w:p>
    <w:p w14:paraId="51CB83F9" w14:textId="77777777" w:rsidR="001751F3" w:rsidRPr="00C710C5" w:rsidRDefault="001751F3" w:rsidP="00C710C5">
      <w:pPr>
        <w:pStyle w:val="ListNumber3"/>
      </w:pPr>
      <w:r w:rsidRPr="004A3983">
        <w:t xml:space="preserve">is </w:t>
      </w:r>
      <w:r w:rsidRPr="00C710C5">
        <w:t xml:space="preserve">outside of Australia for ‘one month or more’, and </w:t>
      </w:r>
    </w:p>
    <w:p w14:paraId="0792BD07" w14:textId="77777777" w:rsidR="001751F3" w:rsidRPr="004A3983" w:rsidRDefault="001751F3" w:rsidP="00C710C5">
      <w:pPr>
        <w:pStyle w:val="ListNumber3"/>
      </w:pPr>
      <w:r w:rsidRPr="00C710C5">
        <w:t>is not required</w:t>
      </w:r>
      <w:r w:rsidRPr="004A3983">
        <w:t xml:space="preserve"> to report under any corresponding Act.</w:t>
      </w:r>
    </w:p>
    <w:p w14:paraId="32335D42" w14:textId="3ADF4FB0" w:rsidR="001751F3" w:rsidRPr="004A3983" w:rsidRDefault="001751F3" w:rsidP="00062C0B">
      <w:pPr>
        <w:spacing w:after="160"/>
        <w:ind w:right="-2"/>
      </w:pPr>
      <w:r w:rsidRPr="004A3983">
        <w:lastRenderedPageBreak/>
        <w:t>The wording of these sub-sections is somewhat confusing and creates room for inconsistency and error, as discussed below.</w:t>
      </w:r>
    </w:p>
    <w:p w14:paraId="1A5C1A34" w14:textId="34FD09A3" w:rsidR="007414CA" w:rsidRPr="004A3983" w:rsidRDefault="001751F3" w:rsidP="00F84ADE">
      <w:pPr>
        <w:pStyle w:val="AppendixHeading2"/>
      </w:pPr>
      <w:bookmarkStart w:id="701" w:name="_Toc14790602"/>
      <w:bookmarkStart w:id="702" w:name="_Toc22627884"/>
      <w:r w:rsidRPr="004A3983">
        <w:t xml:space="preserve">Threshold for </w:t>
      </w:r>
      <w:r w:rsidRPr="00F84ADE">
        <w:t>when</w:t>
      </w:r>
      <w:r w:rsidRPr="004A3983">
        <w:t xml:space="preserve"> travel will trigger extension</w:t>
      </w:r>
      <w:bookmarkEnd w:id="701"/>
      <w:bookmarkEnd w:id="702"/>
    </w:p>
    <w:p w14:paraId="6A04A20E" w14:textId="4612723E" w:rsidR="001751F3" w:rsidRPr="004A3983" w:rsidRDefault="001751F3" w:rsidP="00062C0B">
      <w:pPr>
        <w:spacing w:after="160"/>
        <w:ind w:right="-2"/>
      </w:pPr>
      <w:r w:rsidRPr="004A3983">
        <w:t>It is not clear what exact period of time represents ‘one month’, after which the extension provision may be triggered under the CPOR Act. Documents provided by the NSW</w:t>
      </w:r>
      <w:r w:rsidR="00FD7E42" w:rsidRPr="004A3983">
        <w:t xml:space="preserve"> Police Force</w:t>
      </w:r>
      <w:r w:rsidRPr="004A3983">
        <w:t xml:space="preserve"> show that it has interpreted this period variously as 28 days, 30 days and 31 days. </w:t>
      </w:r>
    </w:p>
    <w:p w14:paraId="34BDCD19" w14:textId="2FBE8BB8" w:rsidR="001751F3" w:rsidRPr="004A3983" w:rsidRDefault="001751F3" w:rsidP="00062C0B">
      <w:pPr>
        <w:spacing w:after="160"/>
        <w:ind w:right="-2"/>
      </w:pPr>
      <w:r w:rsidRPr="004A3983">
        <w:t>This lack of clarity will lead to inconsistent extensions of reporting periods for registrable persons who travel overseas. A difference in interpretation of one day can result in an extra month of reporting obligations for the registrable person.</w:t>
      </w:r>
    </w:p>
    <w:p w14:paraId="62D8BFE5" w14:textId="488836A7" w:rsidR="001751F3" w:rsidRPr="004A3983" w:rsidRDefault="001751F3" w:rsidP="00062C0B">
      <w:pPr>
        <w:spacing w:after="160"/>
        <w:ind w:right="-2"/>
      </w:pPr>
      <w:r w:rsidRPr="004A3983">
        <w:t xml:space="preserve">The Registry officers that the Commission consulted agreed that the </w:t>
      </w:r>
      <w:r w:rsidR="00EC75A7" w:rsidRPr="004A3983">
        <w:t xml:space="preserve">CPOR </w:t>
      </w:r>
      <w:r w:rsidRPr="004A3983">
        <w:t xml:space="preserve">Act needs to specify how many days a registrable person is required to be outside </w:t>
      </w:r>
      <w:r w:rsidR="008C665C" w:rsidRPr="004A3983">
        <w:t>New South Wales</w:t>
      </w:r>
      <w:r w:rsidRPr="004A3983">
        <w:t xml:space="preserve"> to trigger th</w:t>
      </w:r>
      <w:r w:rsidR="00167ADF" w:rsidRPr="004A3983">
        <w:t xml:space="preserve">e extension provision in </w:t>
      </w:r>
      <w:r w:rsidRPr="004A3983">
        <w:t>s 15(3).</w:t>
      </w:r>
    </w:p>
    <w:p w14:paraId="22E25F9C" w14:textId="0181D64E" w:rsidR="001751F3" w:rsidRPr="004A3983" w:rsidRDefault="001751F3" w:rsidP="00062C0B">
      <w:pPr>
        <w:spacing w:after="160"/>
        <w:ind w:right="-2"/>
        <w:rPr>
          <w:b/>
          <w:u w:val="single"/>
        </w:rPr>
      </w:pPr>
      <w:r w:rsidRPr="004A3983">
        <w:rPr>
          <w:b/>
          <w:u w:val="single"/>
        </w:rPr>
        <w:t>Conclusion following consultation with the NSW</w:t>
      </w:r>
      <w:r w:rsidR="00FD7E42" w:rsidRPr="004A3983">
        <w:rPr>
          <w:b/>
          <w:u w:val="single"/>
        </w:rPr>
        <w:t xml:space="preserve"> Police Force</w:t>
      </w:r>
      <w:r w:rsidRPr="004A3983">
        <w:rPr>
          <w:b/>
          <w:u w:val="single"/>
        </w:rPr>
        <w:t>:</w:t>
      </w:r>
    </w:p>
    <w:p w14:paraId="617A974C" w14:textId="1109B9B6" w:rsidR="001751F3" w:rsidRPr="004A3983" w:rsidRDefault="00AF0DA3" w:rsidP="00062C0B">
      <w:pPr>
        <w:spacing w:after="160"/>
        <w:ind w:right="-2"/>
        <w:rPr>
          <w:b/>
        </w:rPr>
      </w:pPr>
      <w:r w:rsidRPr="004A3983">
        <w:rPr>
          <w:b/>
        </w:rPr>
        <w:t xml:space="preserve">The CPOR Act needs to </w:t>
      </w:r>
      <w:r w:rsidR="001751F3" w:rsidRPr="004A3983">
        <w:rPr>
          <w:b/>
        </w:rPr>
        <w:t>specify how many days a registrable person is required to be outside Australia to trigger the extension of the period of their reporting obligations.</w:t>
      </w:r>
    </w:p>
    <w:p w14:paraId="43267255" w14:textId="705BF688" w:rsidR="001751F3" w:rsidRPr="004A3983" w:rsidRDefault="003B418D" w:rsidP="00F84ADE">
      <w:pPr>
        <w:pStyle w:val="AppendixHeading2"/>
      </w:pPr>
      <w:bookmarkStart w:id="703" w:name="_Toc14790603"/>
      <w:bookmarkStart w:id="704" w:name="_Toc22627885"/>
      <w:r w:rsidRPr="004A3983">
        <w:t xml:space="preserve">Length of </w:t>
      </w:r>
      <w:r w:rsidRPr="00F84ADE">
        <w:t>extensions</w:t>
      </w:r>
      <w:r w:rsidRPr="004A3983">
        <w:t xml:space="preserve"> for international travel</w:t>
      </w:r>
      <w:bookmarkEnd w:id="703"/>
      <w:bookmarkEnd w:id="704"/>
    </w:p>
    <w:p w14:paraId="1216F7BE" w14:textId="6B726619" w:rsidR="003B418D" w:rsidRPr="004A3983" w:rsidRDefault="003B418D" w:rsidP="00062C0B">
      <w:pPr>
        <w:spacing w:after="160"/>
        <w:ind w:right="-2"/>
      </w:pPr>
      <w:r w:rsidRPr="004A3983">
        <w:t>It is difficult to determine the length of the extensions to a person’s reporting oblig</w:t>
      </w:r>
      <w:r w:rsidR="00E2769D" w:rsidRPr="004A3983">
        <w:t xml:space="preserve">ations that are required by </w:t>
      </w:r>
      <w:r w:rsidRPr="004A3983">
        <w:t xml:space="preserve">s 15(3). It is unclear whether that </w:t>
      </w:r>
      <w:r w:rsidR="00E2769D" w:rsidRPr="004A3983">
        <w:t>sub-sectio</w:t>
      </w:r>
      <w:r w:rsidRPr="004A3983">
        <w:t>n requires they be extended:</w:t>
      </w:r>
    </w:p>
    <w:p w14:paraId="162AE900" w14:textId="2CDC246F" w:rsidR="003B418D" w:rsidRPr="004A3983" w:rsidRDefault="003B418D" w:rsidP="00677139">
      <w:pPr>
        <w:pStyle w:val="ListNumber"/>
        <w:numPr>
          <w:ilvl w:val="0"/>
          <w:numId w:val="29"/>
        </w:numPr>
        <w:ind w:left="924" w:hanging="567"/>
      </w:pPr>
      <w:r w:rsidRPr="004A3983">
        <w:t xml:space="preserve">by the </w:t>
      </w:r>
      <w:r w:rsidRPr="00C710C5">
        <w:rPr>
          <w:b/>
        </w:rPr>
        <w:t>entire length of the period</w:t>
      </w:r>
      <w:r w:rsidRPr="004A3983">
        <w:t xml:space="preserve"> the person’s reporting period was </w:t>
      </w:r>
      <w:r w:rsidRPr="00C710C5">
        <w:rPr>
          <w:b/>
        </w:rPr>
        <w:t>suspended</w:t>
      </w:r>
      <w:r w:rsidR="00B50A43" w:rsidRPr="004A3983">
        <w:t xml:space="preserve"> under </w:t>
      </w:r>
      <w:r w:rsidR="005E4AE9" w:rsidRPr="004A3983">
        <w:t>s </w:t>
      </w:r>
      <w:r w:rsidRPr="004A3983">
        <w:t>15(1)(b), provided t</w:t>
      </w:r>
      <w:r w:rsidR="00B50A43" w:rsidRPr="004A3983">
        <w:t xml:space="preserve">hat the two requirements in </w:t>
      </w:r>
      <w:r w:rsidRPr="004A3983">
        <w:t xml:space="preserve">s 15(3)(a) and </w:t>
      </w:r>
      <w:r w:rsidR="00B50A43" w:rsidRPr="004A3983">
        <w:t>(</w:t>
      </w:r>
      <w:r w:rsidRPr="004A3983">
        <w:t xml:space="preserve">b) were met at </w:t>
      </w:r>
      <w:r w:rsidRPr="00C710C5">
        <w:rPr>
          <w:b/>
        </w:rPr>
        <w:t>any point during</w:t>
      </w:r>
      <w:r w:rsidRPr="004A3983">
        <w:t xml:space="preserve"> the suspension period, or </w:t>
      </w:r>
    </w:p>
    <w:p w14:paraId="5A560527" w14:textId="66201A26" w:rsidR="003B418D" w:rsidRPr="004A3983" w:rsidRDefault="003B418D" w:rsidP="00C710C5">
      <w:pPr>
        <w:pStyle w:val="ListNumber"/>
      </w:pPr>
      <w:r w:rsidRPr="004A3983">
        <w:t xml:space="preserve">only by the </w:t>
      </w:r>
      <w:r w:rsidRPr="004A3983">
        <w:rPr>
          <w:b/>
        </w:rPr>
        <w:t>periods in whi</w:t>
      </w:r>
      <w:r w:rsidR="00BE5033" w:rsidRPr="004A3983">
        <w:rPr>
          <w:b/>
        </w:rPr>
        <w:t xml:space="preserve">ch both the requirements in </w:t>
      </w:r>
      <w:r w:rsidRPr="004A3983">
        <w:rPr>
          <w:b/>
        </w:rPr>
        <w:t>s 15(3)(a) and</w:t>
      </w:r>
      <w:r w:rsidR="00BE5033" w:rsidRPr="004A3983">
        <w:rPr>
          <w:b/>
        </w:rPr>
        <w:t xml:space="preserve"> </w:t>
      </w:r>
      <w:r w:rsidRPr="004A3983">
        <w:rPr>
          <w:b/>
        </w:rPr>
        <w:t>(b) were met</w:t>
      </w:r>
      <w:r w:rsidRPr="004A3983">
        <w:t xml:space="preserve"> (during the person’s suspension period).</w:t>
      </w:r>
    </w:p>
    <w:p w14:paraId="661380A2" w14:textId="65B378F0" w:rsidR="003B418D" w:rsidRPr="004A3983" w:rsidRDefault="003B418D" w:rsidP="00062C0B">
      <w:pPr>
        <w:spacing w:after="160"/>
        <w:ind w:right="-2"/>
      </w:pPr>
      <w:r w:rsidRPr="004A3983">
        <w:t xml:space="preserve">If the first interpretation is adopted, the length of time by which a person’s reporting obligations will be extended </w:t>
      </w:r>
      <w:r w:rsidRPr="004A3983">
        <w:rPr>
          <w:b/>
        </w:rPr>
        <w:t>because of</w:t>
      </w:r>
      <w:r w:rsidRPr="004A3983">
        <w:t xml:space="preserve"> international travel will not necessarily match the amount of time the person was actually travelling outside of Australia.</w:t>
      </w:r>
    </w:p>
    <w:p w14:paraId="061F2D5F" w14:textId="2759CE80" w:rsidR="003B418D" w:rsidRPr="004A3983" w:rsidRDefault="003B418D" w:rsidP="00062C0B">
      <w:pPr>
        <w:spacing w:after="160"/>
        <w:ind w:right="-2"/>
      </w:pPr>
      <w:r w:rsidRPr="004A3983">
        <w:t xml:space="preserve">For example, assume a registrable person leaves </w:t>
      </w:r>
      <w:r w:rsidR="008C665C" w:rsidRPr="004A3983">
        <w:t>New South Wales</w:t>
      </w:r>
      <w:r w:rsidRPr="004A3983">
        <w:t xml:space="preserve"> to visit</w:t>
      </w:r>
      <w:r w:rsidR="005E4AE9" w:rsidRPr="004A3983">
        <w:t xml:space="preserve"> Victoria for five</w:t>
      </w:r>
      <w:r w:rsidRPr="004A3983">
        <w:t xml:space="preserve"> days, then travels to a country that does not have an offender register, and after 40 days in that country returns to Victoria for another 20 days before returning to </w:t>
      </w:r>
      <w:r w:rsidR="008C665C" w:rsidRPr="004A3983">
        <w:t>New South Wales</w:t>
      </w:r>
      <w:r w:rsidRPr="004A3983">
        <w:t xml:space="preserve">. </w:t>
      </w:r>
    </w:p>
    <w:p w14:paraId="5A3157AF" w14:textId="31337F22" w:rsidR="003B418D" w:rsidRPr="004A3983" w:rsidRDefault="003B418D" w:rsidP="00062C0B">
      <w:pPr>
        <w:spacing w:after="160"/>
        <w:ind w:right="-2"/>
      </w:pPr>
      <w:r w:rsidRPr="004A3983">
        <w:t>The person’s reporting obligations will be suspended for the full 65 days. It is unclear however by what period the person’s reporting period should be extended.</w:t>
      </w:r>
    </w:p>
    <w:p w14:paraId="6CB9E2EF" w14:textId="215F980B" w:rsidR="003B418D" w:rsidRPr="004A3983" w:rsidRDefault="003B418D" w:rsidP="00062C0B">
      <w:pPr>
        <w:spacing w:after="160"/>
        <w:ind w:right="-2"/>
      </w:pPr>
      <w:r w:rsidRPr="004A3983">
        <w:t xml:space="preserve">Under the first interpretation, the answer is the full 65 days, because the requirements in </w:t>
      </w:r>
      <w:r w:rsidR="005E4AE9" w:rsidRPr="004A3983">
        <w:t>s 15(3) (</w:t>
      </w:r>
      <w:r w:rsidRPr="004A3983">
        <w:t>a) and</w:t>
      </w:r>
      <w:r w:rsidR="005E4AE9" w:rsidRPr="004A3983">
        <w:t xml:space="preserve"> </w:t>
      </w:r>
      <w:r w:rsidRPr="004A3983">
        <w:t xml:space="preserve">(b) were met at a certain point ‘during’ the suspension period (specifically, during the 40 days spent overseas). </w:t>
      </w:r>
    </w:p>
    <w:p w14:paraId="3243E9FB" w14:textId="77777777" w:rsidR="003B418D" w:rsidRPr="004A3983" w:rsidRDefault="003B418D" w:rsidP="00062C0B">
      <w:pPr>
        <w:spacing w:after="160"/>
        <w:ind w:right="-2"/>
      </w:pPr>
      <w:r w:rsidRPr="004A3983">
        <w:lastRenderedPageBreak/>
        <w:t>Under the second interpretation, the answer is the person’s reporting obligations should only be extended by 10 days.</w:t>
      </w:r>
      <w:r w:rsidRPr="004A3983">
        <w:rPr>
          <w:rStyle w:val="FootnoteReference"/>
        </w:rPr>
        <w:footnoteReference w:id="732"/>
      </w:r>
      <w:r w:rsidRPr="004A3983">
        <w:t xml:space="preserve"> This is because:</w:t>
      </w:r>
    </w:p>
    <w:p w14:paraId="7273FF19" w14:textId="5655724A" w:rsidR="003B418D" w:rsidRPr="004A3983" w:rsidRDefault="003B418D" w:rsidP="00C710C5">
      <w:pPr>
        <w:pStyle w:val="ListBullet"/>
      </w:pPr>
      <w:r w:rsidRPr="004A3983">
        <w:t>For the first five days in Victoria, neither of the requirements in sub-s</w:t>
      </w:r>
      <w:r w:rsidR="00396448" w:rsidRPr="004A3983">
        <w:t xml:space="preserve">s </w:t>
      </w:r>
      <w:r w:rsidRPr="004A3983">
        <w:t>(3)(a) or (3)(b) were met (because a registrable person has to stay in Victoria for 14 days before being required to report).</w:t>
      </w:r>
    </w:p>
    <w:p w14:paraId="670E55C5" w14:textId="52752DC3" w:rsidR="003B418D" w:rsidRPr="004A3983" w:rsidRDefault="003B418D" w:rsidP="00C710C5">
      <w:pPr>
        <w:pStyle w:val="ListBullet"/>
      </w:pPr>
      <w:r w:rsidRPr="004A3983">
        <w:t>For the 40 days overs</w:t>
      </w:r>
      <w:r w:rsidR="00BD2DD2" w:rsidRPr="004A3983">
        <w:t xml:space="preserve">eas, the requirement in sub-s </w:t>
      </w:r>
      <w:r w:rsidRPr="004A3983">
        <w:t>(3)(b) was met,</w:t>
      </w:r>
      <w:r w:rsidR="00BD2DD2" w:rsidRPr="004A3983">
        <w:t xml:space="preserve"> but the requirement in sub-s </w:t>
      </w:r>
      <w:r w:rsidRPr="004A3983">
        <w:t>(3)(a) was only met after the person has been in the country for ‘one month’ (so only for the last 10 days).</w:t>
      </w:r>
    </w:p>
    <w:p w14:paraId="30378973" w14:textId="73A7D437" w:rsidR="003B418D" w:rsidRPr="004A3983" w:rsidRDefault="003B418D" w:rsidP="00C710C5">
      <w:pPr>
        <w:pStyle w:val="ListBullet"/>
      </w:pPr>
      <w:r w:rsidRPr="004A3983">
        <w:t>For the last 20 days in Victo</w:t>
      </w:r>
      <w:r w:rsidR="00BD2DD2" w:rsidRPr="004A3983">
        <w:t xml:space="preserve">ria, the requirement in sub-s </w:t>
      </w:r>
      <w:r w:rsidRPr="004A3983">
        <w:t>(3)(a) was not met.</w:t>
      </w:r>
    </w:p>
    <w:p w14:paraId="7F516CAB" w14:textId="6A470C57" w:rsidR="003B418D" w:rsidRPr="004A3983" w:rsidRDefault="003B418D" w:rsidP="00062C0B">
      <w:pPr>
        <w:spacing w:after="160"/>
        <w:ind w:right="-2"/>
      </w:pPr>
      <w:r w:rsidRPr="004A3983">
        <w:t xml:space="preserve">This lack of clarity in sub-s 15(3) may lead to inconsistencies and errors in the calculation of extensions. </w:t>
      </w:r>
    </w:p>
    <w:p w14:paraId="5D7997A7" w14:textId="7742C80D" w:rsidR="003B418D" w:rsidRPr="004A3983" w:rsidRDefault="003B418D" w:rsidP="00062C0B">
      <w:pPr>
        <w:spacing w:after="160"/>
        <w:ind w:right="-2"/>
      </w:pPr>
      <w:r w:rsidRPr="004A3983">
        <w:t>The Registry officers consulted by</w:t>
      </w:r>
      <w:r w:rsidR="00AF4B86" w:rsidRPr="004A3983">
        <w:t xml:space="preserve"> the Commission agreed that </w:t>
      </w:r>
      <w:r w:rsidRPr="004A3983">
        <w:t xml:space="preserve">s 15(3) is unclear and needs amendment. They informed the Commission that the provision is </w:t>
      </w:r>
      <w:r w:rsidR="00AF4B86" w:rsidRPr="004A3983">
        <w:t xml:space="preserve">particularly </w:t>
      </w:r>
      <w:r w:rsidRPr="004A3983">
        <w:t>problematic for the NSW</w:t>
      </w:r>
      <w:r w:rsidR="00AF4B86" w:rsidRPr="004A3983">
        <w:t xml:space="preserve"> </w:t>
      </w:r>
      <w:r w:rsidRPr="004A3983">
        <w:t>P</w:t>
      </w:r>
      <w:r w:rsidR="00AF4B86" w:rsidRPr="004A3983">
        <w:t xml:space="preserve">olice </w:t>
      </w:r>
      <w:r w:rsidRPr="004A3983">
        <w:t>F</w:t>
      </w:r>
      <w:r w:rsidR="00AF4B86" w:rsidRPr="004A3983">
        <w:t>orce</w:t>
      </w:r>
      <w:r w:rsidRPr="004A3983">
        <w:t xml:space="preserve"> when attempting to calculate extensions for ‘fly in fly out’ workers, who work interstate and are frequently required to go in and out of different jurisdictions, and registrable persons who live or work i</w:t>
      </w:r>
      <w:r w:rsidR="00800671" w:rsidRPr="004A3983">
        <w:t>n border areas such as Albury-Wo</w:t>
      </w:r>
      <w:r w:rsidRPr="004A3983">
        <w:t>donga.</w:t>
      </w:r>
    </w:p>
    <w:p w14:paraId="6D148DDB" w14:textId="5717EAEE" w:rsidR="003B418D" w:rsidRPr="004A3983" w:rsidRDefault="003B418D" w:rsidP="00062C0B">
      <w:pPr>
        <w:spacing w:after="160"/>
        <w:ind w:right="-2"/>
        <w:rPr>
          <w:b/>
        </w:rPr>
      </w:pPr>
      <w:r w:rsidRPr="004A3983">
        <w:rPr>
          <w:b/>
          <w:u w:val="single"/>
        </w:rPr>
        <w:t>Conclusion following consultation with the NSW</w:t>
      </w:r>
      <w:r w:rsidR="006A677B" w:rsidRPr="004A3983">
        <w:rPr>
          <w:b/>
          <w:u w:val="single"/>
        </w:rPr>
        <w:t xml:space="preserve"> </w:t>
      </w:r>
      <w:r w:rsidRPr="004A3983">
        <w:rPr>
          <w:b/>
          <w:u w:val="single"/>
        </w:rPr>
        <w:t>P</w:t>
      </w:r>
      <w:r w:rsidR="006A677B" w:rsidRPr="004A3983">
        <w:rPr>
          <w:b/>
          <w:u w:val="single"/>
        </w:rPr>
        <w:t xml:space="preserve">olice </w:t>
      </w:r>
      <w:r w:rsidRPr="004A3983">
        <w:rPr>
          <w:b/>
          <w:u w:val="single"/>
        </w:rPr>
        <w:t>F</w:t>
      </w:r>
      <w:r w:rsidR="006A677B" w:rsidRPr="004A3983">
        <w:rPr>
          <w:b/>
          <w:u w:val="single"/>
        </w:rPr>
        <w:t>orce</w:t>
      </w:r>
      <w:r w:rsidRPr="004A3983">
        <w:rPr>
          <w:b/>
          <w:u w:val="single"/>
        </w:rPr>
        <w:t>:</w:t>
      </w:r>
    </w:p>
    <w:p w14:paraId="48930105" w14:textId="6D2A47A8" w:rsidR="003B418D" w:rsidRPr="004A3983" w:rsidRDefault="003B418D" w:rsidP="00062C0B">
      <w:pPr>
        <w:spacing w:after="160"/>
        <w:ind w:right="-2"/>
      </w:pPr>
      <w:r w:rsidRPr="004A3983">
        <w:rPr>
          <w:b/>
        </w:rPr>
        <w:t>The CPOR Act needs to be amended to clearly identify the amount of time a person’s reporting obligations will be exten</w:t>
      </w:r>
      <w:r w:rsidR="00800671" w:rsidRPr="004A3983">
        <w:rPr>
          <w:b/>
        </w:rPr>
        <w:t>ded by</w:t>
      </w:r>
      <w:r w:rsidR="00DC71FC" w:rsidRPr="004A3983">
        <w:rPr>
          <w:b/>
        </w:rPr>
        <w:t xml:space="preserve"> under </w:t>
      </w:r>
      <w:r w:rsidRPr="004A3983">
        <w:rPr>
          <w:b/>
        </w:rPr>
        <w:t>s 15(3).</w:t>
      </w:r>
    </w:p>
    <w:p w14:paraId="0B7ECAF3" w14:textId="77777777" w:rsidR="008A2CDE" w:rsidRPr="004A3983" w:rsidRDefault="00531884" w:rsidP="00F84ADE">
      <w:pPr>
        <w:pStyle w:val="NonNumberHeading1"/>
      </w:pPr>
      <w:bookmarkStart w:id="705" w:name="_Toc8913585"/>
      <w:bookmarkStart w:id="706" w:name="_Toc22627886"/>
      <w:r w:rsidRPr="00F84ADE">
        <w:lastRenderedPageBreak/>
        <w:t>Glossary</w:t>
      </w:r>
      <w:bookmarkEnd w:id="136"/>
      <w:bookmarkEnd w:id="137"/>
      <w:bookmarkEnd w:id="138"/>
      <w:bookmarkEnd w:id="139"/>
      <w:bookmarkEnd w:id="705"/>
      <w:bookmarkEnd w:id="706"/>
    </w:p>
    <w:tbl>
      <w:tblPr>
        <w:tblStyle w:val="ListTable4-Accent1"/>
        <w:tblW w:w="5000" w:type="pct"/>
        <w:tblLook w:val="04A0" w:firstRow="1" w:lastRow="0" w:firstColumn="1" w:lastColumn="0" w:noHBand="0" w:noVBand="1"/>
      </w:tblPr>
      <w:tblGrid>
        <w:gridCol w:w="2041"/>
        <w:gridCol w:w="7303"/>
      </w:tblGrid>
      <w:tr w:rsidR="0089497D" w:rsidRPr="004A3983" w14:paraId="353AE77F" w14:textId="77777777" w:rsidTr="009C5DAD">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1A3C8CB8" w14:textId="77777777" w:rsidR="0089497D" w:rsidRPr="004A3983" w:rsidRDefault="006F5F6D" w:rsidP="00E42A61">
            <w:pPr>
              <w:spacing w:after="160" w:line="259" w:lineRule="auto"/>
              <w:ind w:right="-2"/>
            </w:pPr>
            <w:r w:rsidRPr="004A3983">
              <w:t>Glossary</w:t>
            </w:r>
          </w:p>
        </w:tc>
        <w:tc>
          <w:tcPr>
            <w:tcW w:w="3908" w:type="pct"/>
          </w:tcPr>
          <w:p w14:paraId="1FEF2A6A" w14:textId="0E6C826A" w:rsidR="0089497D" w:rsidRPr="004A3983" w:rsidRDefault="009C5DAD" w:rsidP="00E42A61">
            <w:pPr>
              <w:spacing w:after="160" w:line="259" w:lineRule="auto"/>
              <w:ind w:right="-2"/>
              <w:cnfStyle w:val="100000000000" w:firstRow="1" w:lastRow="0" w:firstColumn="0" w:lastColumn="0" w:oddVBand="0" w:evenVBand="0" w:oddHBand="0" w:evenHBand="0" w:firstRowFirstColumn="0" w:firstRowLastColumn="0" w:lastRowFirstColumn="0" w:lastRowLastColumn="0"/>
            </w:pPr>
            <w:r w:rsidRPr="004A3983">
              <w:t>De</w:t>
            </w:r>
            <w:r w:rsidR="00747E40" w:rsidRPr="004A3983">
              <w:t>scription</w:t>
            </w:r>
          </w:p>
        </w:tc>
      </w:tr>
      <w:tr w:rsidR="00BA641C" w:rsidRPr="004A3983" w14:paraId="7A3AA9EC" w14:textId="77777777" w:rsidTr="009C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46EBECFE" w14:textId="08F83653" w:rsidR="00BA641C" w:rsidRPr="004A3983" w:rsidRDefault="00BA641C" w:rsidP="00E42A61">
            <w:pPr>
              <w:spacing w:after="160"/>
              <w:ind w:right="-2"/>
            </w:pPr>
            <w:r w:rsidRPr="004A3983">
              <w:t>BTS</w:t>
            </w:r>
          </w:p>
        </w:tc>
        <w:tc>
          <w:tcPr>
            <w:tcW w:w="3908" w:type="pct"/>
          </w:tcPr>
          <w:p w14:paraId="63EF9BD8" w14:textId="3548BA5C" w:rsidR="00BA641C" w:rsidRPr="004A3983" w:rsidRDefault="00BA641C" w:rsidP="00E42A61">
            <w:pPr>
              <w:spacing w:after="160"/>
              <w:ind w:right="-2"/>
              <w:cnfStyle w:val="000000100000" w:firstRow="0" w:lastRow="0" w:firstColumn="0" w:lastColumn="0" w:oddVBand="0" w:evenVBand="0" w:oddHBand="1" w:evenHBand="0" w:firstRowFirstColumn="0" w:firstRowLastColumn="0" w:lastRowFirstColumn="0" w:lastRowLastColumn="0"/>
            </w:pPr>
            <w:r w:rsidRPr="004A3983">
              <w:rPr>
                <w:rFonts w:ascii="Gotham Book" w:hAnsi="Gotham Book"/>
              </w:rPr>
              <w:t>Business and Technology Services, NSW Police Force</w:t>
            </w:r>
          </w:p>
        </w:tc>
      </w:tr>
      <w:tr w:rsidR="009C5DAD" w:rsidRPr="004A3983" w14:paraId="617E7C68" w14:textId="77777777" w:rsidTr="009C5DAD">
        <w:tc>
          <w:tcPr>
            <w:cnfStyle w:val="001000000000" w:firstRow="0" w:lastRow="0" w:firstColumn="1" w:lastColumn="0" w:oddVBand="0" w:evenVBand="0" w:oddHBand="0" w:evenHBand="0" w:firstRowFirstColumn="0" w:firstRowLastColumn="0" w:lastRowFirstColumn="0" w:lastRowLastColumn="0"/>
            <w:tcW w:w="1092" w:type="pct"/>
          </w:tcPr>
          <w:p w14:paraId="23395533" w14:textId="6AF1A329" w:rsidR="009C5DAD" w:rsidRPr="004A3983" w:rsidRDefault="00CD5060" w:rsidP="00E42A61">
            <w:pPr>
              <w:spacing w:after="160" w:line="259" w:lineRule="auto"/>
              <w:ind w:right="-2"/>
            </w:pPr>
            <w:r w:rsidRPr="004A3983">
              <w:t xml:space="preserve">CAM/ Child abuse material </w:t>
            </w:r>
          </w:p>
        </w:tc>
        <w:tc>
          <w:tcPr>
            <w:tcW w:w="3908" w:type="pct"/>
          </w:tcPr>
          <w:p w14:paraId="6986552D" w14:textId="5FF5DE03" w:rsidR="009C5DAD" w:rsidRPr="004A3983" w:rsidRDefault="00933292" w:rsidP="00E42A61">
            <w:pPr>
              <w:spacing w:after="160" w:line="259" w:lineRule="auto"/>
              <w:ind w:right="-2"/>
              <w:cnfStyle w:val="000000000000" w:firstRow="0" w:lastRow="0" w:firstColumn="0" w:lastColumn="0" w:oddVBand="0" w:evenVBand="0" w:oddHBand="0" w:evenHBand="0" w:firstRowFirstColumn="0" w:firstRowLastColumn="0" w:lastRowFirstColumn="0" w:lastRowLastColumn="0"/>
            </w:pPr>
            <w:r w:rsidRPr="004A3983">
              <w:t xml:space="preserve">Defined in s 91FB of the </w:t>
            </w:r>
            <w:r w:rsidRPr="004A3983">
              <w:rPr>
                <w:i/>
              </w:rPr>
              <w:t>Crimes Act 1900</w:t>
            </w:r>
            <w:r w:rsidRPr="004A3983">
              <w:t xml:space="preserve"> (NSW)</w:t>
            </w:r>
            <w:r w:rsidR="000E71A2" w:rsidRPr="004A3983">
              <w:t>, and includes</w:t>
            </w:r>
            <w:r w:rsidRPr="004A3983">
              <w:t xml:space="preserve"> material that depicts or describe</w:t>
            </w:r>
            <w:r w:rsidR="009F0873" w:rsidRPr="004A3983">
              <w:t>s a person under the age of 16</w:t>
            </w:r>
            <w:r w:rsidR="000E71A2" w:rsidRPr="004A3983">
              <w:t xml:space="preserve"> as a victim of</w:t>
            </w:r>
            <w:r w:rsidRPr="004A3983">
              <w:t xml:space="preserve"> tor</w:t>
            </w:r>
            <w:r w:rsidR="00BA4432" w:rsidRPr="004A3983">
              <w:t>ture, cruelty or physical abuse;</w:t>
            </w:r>
            <w:r w:rsidRPr="004A3983">
              <w:t xml:space="preserve"> or engaged in a</w:t>
            </w:r>
            <w:r w:rsidR="00BA4432" w:rsidRPr="004A3983">
              <w:t xml:space="preserve"> sexual pose or sexual activity;</w:t>
            </w:r>
            <w:r w:rsidRPr="004A3983">
              <w:t xml:space="preserve"> or in the presence of another person who is engaged in a</w:t>
            </w:r>
            <w:r w:rsidR="00BA4432" w:rsidRPr="004A3983">
              <w:t xml:space="preserve"> sexual pose or sexual activity;</w:t>
            </w:r>
            <w:r w:rsidRPr="004A3983">
              <w:t xml:space="preserve"> </w:t>
            </w:r>
            <w:r w:rsidR="00DE645F" w:rsidRPr="004A3983">
              <w:t xml:space="preserve">or </w:t>
            </w:r>
            <w:r w:rsidR="009F0873" w:rsidRPr="004A3983">
              <w:t xml:space="preserve">material that </w:t>
            </w:r>
            <w:r w:rsidR="00DE645F" w:rsidRPr="004A3983">
              <w:t>depicts or descri</w:t>
            </w:r>
            <w:r w:rsidR="00AC1E9B" w:rsidRPr="004A3983">
              <w:t>bes the private parts of a person under the age of 16</w:t>
            </w:r>
            <w:r w:rsidR="002964DB" w:rsidRPr="004A3983">
              <w:t>, in a</w:t>
            </w:r>
            <w:r w:rsidR="00EB4339" w:rsidRPr="004A3983">
              <w:t xml:space="preserve"> way that reasonable persons would regard as being, in all the circumstances, offensive.</w:t>
            </w:r>
          </w:p>
        </w:tc>
      </w:tr>
      <w:tr w:rsidR="006E3294" w:rsidRPr="004A3983" w14:paraId="5851E388" w14:textId="77777777" w:rsidTr="009C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757877E0" w14:textId="5C2FC2A4" w:rsidR="006E3294" w:rsidRPr="004A3983" w:rsidRDefault="006E3294" w:rsidP="006E3294">
            <w:pPr>
              <w:spacing w:after="160"/>
              <w:ind w:right="-2"/>
            </w:pPr>
            <w:r w:rsidRPr="004A3983">
              <w:t>Child</w:t>
            </w:r>
          </w:p>
        </w:tc>
        <w:tc>
          <w:tcPr>
            <w:tcW w:w="3908" w:type="pct"/>
          </w:tcPr>
          <w:p w14:paraId="299BC7EF" w14:textId="70147740" w:rsidR="006E3294" w:rsidRPr="004A3983" w:rsidRDefault="006E3294" w:rsidP="006E3294">
            <w:pPr>
              <w:spacing w:after="160"/>
              <w:ind w:right="-2"/>
              <w:cnfStyle w:val="000000100000" w:firstRow="0" w:lastRow="0" w:firstColumn="0" w:lastColumn="0" w:oddVBand="0" w:evenVBand="0" w:oddHBand="1" w:evenHBand="0" w:firstRowFirstColumn="0" w:firstRowLastColumn="0" w:lastRowFirstColumn="0" w:lastRowLastColumn="0"/>
            </w:pPr>
            <w:r w:rsidRPr="004A3983">
              <w:t xml:space="preserve">For the purposes of the </w:t>
            </w:r>
            <w:r w:rsidRPr="0040532D">
              <w:rPr>
                <w:i/>
              </w:rPr>
              <w:t>Child Protection (Offenders Registration) Act 2000</w:t>
            </w:r>
            <w:r w:rsidRPr="004A3983">
              <w:t xml:space="preserve"> (NSW), a ‘child’ is defined as any person who is under the age of 18 years.</w:t>
            </w:r>
          </w:p>
        </w:tc>
      </w:tr>
      <w:tr w:rsidR="00A915E6" w:rsidRPr="004A3983" w14:paraId="289DE6F9" w14:textId="77777777" w:rsidTr="009C5DAD">
        <w:tc>
          <w:tcPr>
            <w:cnfStyle w:val="001000000000" w:firstRow="0" w:lastRow="0" w:firstColumn="1" w:lastColumn="0" w:oddVBand="0" w:evenVBand="0" w:oddHBand="0" w:evenHBand="0" w:firstRowFirstColumn="0" w:firstRowLastColumn="0" w:lastRowFirstColumn="0" w:lastRowLastColumn="0"/>
            <w:tcW w:w="1092" w:type="pct"/>
          </w:tcPr>
          <w:p w14:paraId="10D3906F" w14:textId="77ED3F83" w:rsidR="00A915E6" w:rsidRPr="004A3983" w:rsidRDefault="00A915E6" w:rsidP="00A915E6">
            <w:pPr>
              <w:spacing w:after="160"/>
              <w:ind w:right="-2"/>
            </w:pPr>
            <w:r w:rsidRPr="004A3983">
              <w:t>Child protection p</w:t>
            </w:r>
            <w:r w:rsidR="00B32234" w:rsidRPr="004A3983">
              <w:t>rohibition order</w:t>
            </w:r>
          </w:p>
        </w:tc>
        <w:tc>
          <w:tcPr>
            <w:tcW w:w="3908" w:type="pct"/>
          </w:tcPr>
          <w:p w14:paraId="1F58B17E" w14:textId="294E2448" w:rsidR="00A915E6" w:rsidRPr="004A3983" w:rsidRDefault="00B32234" w:rsidP="00A915E6">
            <w:pPr>
              <w:spacing w:after="160"/>
              <w:ind w:right="-2"/>
              <w:cnfStyle w:val="000000000000" w:firstRow="0" w:lastRow="0" w:firstColumn="0" w:lastColumn="0" w:oddVBand="0" w:evenVBand="0" w:oddHBand="0" w:evenHBand="0" w:firstRowFirstColumn="0" w:firstRowLastColumn="0" w:lastRowFirstColumn="0" w:lastRowLastColumn="0"/>
            </w:pPr>
            <w:r w:rsidRPr="004A3983">
              <w:t xml:space="preserve">Order </w:t>
            </w:r>
            <w:r w:rsidR="00A915E6" w:rsidRPr="004A3983">
              <w:t xml:space="preserve">made under the </w:t>
            </w:r>
            <w:r w:rsidR="00A915E6" w:rsidRPr="004A3983">
              <w:rPr>
                <w:i/>
              </w:rPr>
              <w:t xml:space="preserve">Child Protection (Offenders Prohibition Orders) Act 2004 </w:t>
            </w:r>
            <w:r w:rsidR="00A915E6" w:rsidRPr="004A3983">
              <w:t>(NSW)</w:t>
            </w:r>
          </w:p>
        </w:tc>
      </w:tr>
      <w:tr w:rsidR="009C5DAD" w:rsidRPr="004A3983" w14:paraId="3CB49242" w14:textId="77777777" w:rsidTr="009C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4C77928C" w14:textId="5A6323BA" w:rsidR="009C5DAD" w:rsidRPr="004A3983" w:rsidRDefault="009C5DAD" w:rsidP="00E42A61">
            <w:pPr>
              <w:spacing w:after="160" w:line="259" w:lineRule="auto"/>
              <w:ind w:right="-2"/>
            </w:pPr>
            <w:r w:rsidRPr="004A3983">
              <w:t>Class 1 offence</w:t>
            </w:r>
            <w:r w:rsidR="001C765A" w:rsidRPr="004A3983">
              <w:t>/Class 2 offence</w:t>
            </w:r>
          </w:p>
        </w:tc>
        <w:tc>
          <w:tcPr>
            <w:tcW w:w="3908" w:type="pct"/>
          </w:tcPr>
          <w:p w14:paraId="223DECDD" w14:textId="359F53AA" w:rsidR="009C5DAD" w:rsidRPr="004A3983" w:rsidRDefault="00BF5238" w:rsidP="00E42A61">
            <w:pPr>
              <w:spacing w:after="160" w:line="259" w:lineRule="auto"/>
              <w:ind w:right="-2"/>
              <w:cnfStyle w:val="000000100000" w:firstRow="0" w:lastRow="0" w:firstColumn="0" w:lastColumn="0" w:oddVBand="0" w:evenVBand="0" w:oddHBand="1" w:evenHBand="0" w:firstRowFirstColumn="0" w:firstRowLastColumn="0" w:lastRowFirstColumn="0" w:lastRowLastColumn="0"/>
            </w:pPr>
            <w:r w:rsidRPr="004A3983">
              <w:t>A</w:t>
            </w:r>
            <w:r w:rsidR="001C765A" w:rsidRPr="004A3983">
              <w:t>n</w:t>
            </w:r>
            <w:r w:rsidRPr="004A3983">
              <w:t xml:space="preserve"> offence </w:t>
            </w:r>
            <w:r w:rsidR="001C765A" w:rsidRPr="004A3983">
              <w:t xml:space="preserve">that falls within the definition of ‘Class 1 offence’ </w:t>
            </w:r>
            <w:r w:rsidR="0019765D" w:rsidRPr="004A3983">
              <w:t>or</w:t>
            </w:r>
            <w:r w:rsidR="001C765A" w:rsidRPr="004A3983">
              <w:t xml:space="preserve"> ‘Class 2 offence’ in s 3(1) of the </w:t>
            </w:r>
            <w:r w:rsidR="001C765A" w:rsidRPr="004A3983">
              <w:rPr>
                <w:i/>
              </w:rPr>
              <w:t>Child Protection (Offenders Registration) Act 2000</w:t>
            </w:r>
            <w:r w:rsidR="00D238B6" w:rsidRPr="004A3983">
              <w:t xml:space="preserve"> (NSW)</w:t>
            </w:r>
            <w:r w:rsidR="00484D6E" w:rsidRPr="004A3983">
              <w:t>.</w:t>
            </w:r>
          </w:p>
        </w:tc>
      </w:tr>
      <w:tr w:rsidR="00D444E5" w:rsidRPr="004A3983" w14:paraId="00D242E4" w14:textId="77777777" w:rsidTr="009C5DAD">
        <w:tc>
          <w:tcPr>
            <w:cnfStyle w:val="001000000000" w:firstRow="0" w:lastRow="0" w:firstColumn="1" w:lastColumn="0" w:oddVBand="0" w:evenVBand="0" w:oddHBand="0" w:evenHBand="0" w:firstRowFirstColumn="0" w:firstRowLastColumn="0" w:lastRowFirstColumn="0" w:lastRowLastColumn="0"/>
            <w:tcW w:w="1092" w:type="pct"/>
          </w:tcPr>
          <w:p w14:paraId="3A749187" w14:textId="67A59423" w:rsidR="00D444E5" w:rsidRPr="004A3983" w:rsidRDefault="00D444E5" w:rsidP="00E42A61">
            <w:pPr>
              <w:spacing w:after="160"/>
              <w:ind w:right="-2"/>
            </w:pPr>
            <w:r w:rsidRPr="004A3983">
              <w:t>Commission</w:t>
            </w:r>
          </w:p>
        </w:tc>
        <w:tc>
          <w:tcPr>
            <w:tcW w:w="3908" w:type="pct"/>
          </w:tcPr>
          <w:p w14:paraId="24FFB512" w14:textId="693C68B3" w:rsidR="00D444E5" w:rsidRPr="004A3983" w:rsidRDefault="00D444E5" w:rsidP="00E42A61">
            <w:pPr>
              <w:spacing w:after="160"/>
              <w:ind w:right="-2"/>
              <w:cnfStyle w:val="000000000000" w:firstRow="0" w:lastRow="0" w:firstColumn="0" w:lastColumn="0" w:oddVBand="0" w:evenVBand="0" w:oddHBand="0" w:evenHBand="0" w:firstRowFirstColumn="0" w:firstRowLastColumn="0" w:lastRowFirstColumn="0" w:lastRowLastColumn="0"/>
            </w:pPr>
            <w:r w:rsidRPr="004A3983">
              <w:t>Law Enforcement Conduct Commission</w:t>
            </w:r>
            <w:r w:rsidR="000979AF" w:rsidRPr="004A3983">
              <w:t>, New South Wales</w:t>
            </w:r>
          </w:p>
        </w:tc>
      </w:tr>
      <w:tr w:rsidR="009F556A" w:rsidRPr="004A3983" w14:paraId="6CDD5E55" w14:textId="77777777" w:rsidTr="009C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483139F6" w14:textId="0D85D9D4" w:rsidR="009F556A" w:rsidRPr="004A3983" w:rsidRDefault="009F556A" w:rsidP="00E42A61">
            <w:pPr>
              <w:spacing w:after="160"/>
              <w:ind w:right="-2"/>
            </w:pPr>
            <w:r w:rsidRPr="004A3983">
              <w:t>COMPASS</w:t>
            </w:r>
          </w:p>
        </w:tc>
        <w:tc>
          <w:tcPr>
            <w:tcW w:w="3908" w:type="pct"/>
          </w:tcPr>
          <w:p w14:paraId="23897F17" w14:textId="63025462" w:rsidR="009F556A" w:rsidRPr="004A3983" w:rsidRDefault="009F556A" w:rsidP="00E42A61">
            <w:pPr>
              <w:spacing w:after="160"/>
              <w:ind w:right="-2"/>
              <w:cnfStyle w:val="000000100000" w:firstRow="0" w:lastRow="0" w:firstColumn="0" w:lastColumn="0" w:oddVBand="0" w:evenVBand="0" w:oddHBand="1" w:evenHBand="0" w:firstRowFirstColumn="0" w:firstRowLastColumn="0" w:lastRowFirstColumn="0" w:lastRowLastColumn="0"/>
            </w:pPr>
            <w:r w:rsidRPr="004A3983">
              <w:t>NSW Police Force Command Performance Accountability System</w:t>
            </w:r>
          </w:p>
        </w:tc>
      </w:tr>
      <w:tr w:rsidR="00D444E5" w:rsidRPr="004A3983" w14:paraId="1A39D55B" w14:textId="77777777" w:rsidTr="009C5DAD">
        <w:tc>
          <w:tcPr>
            <w:cnfStyle w:val="001000000000" w:firstRow="0" w:lastRow="0" w:firstColumn="1" w:lastColumn="0" w:oddVBand="0" w:evenVBand="0" w:oddHBand="0" w:evenHBand="0" w:firstRowFirstColumn="0" w:firstRowLastColumn="0" w:lastRowFirstColumn="0" w:lastRowLastColumn="0"/>
            <w:tcW w:w="1092" w:type="pct"/>
          </w:tcPr>
          <w:p w14:paraId="474C5A4F" w14:textId="568A9A9A" w:rsidR="00D444E5" w:rsidRPr="004A3983" w:rsidRDefault="00D444E5" w:rsidP="00E42A61">
            <w:pPr>
              <w:spacing w:after="160" w:line="259" w:lineRule="auto"/>
              <w:ind w:right="-2"/>
            </w:pPr>
            <w:r w:rsidRPr="004A3983">
              <w:t>COPS</w:t>
            </w:r>
          </w:p>
        </w:tc>
        <w:tc>
          <w:tcPr>
            <w:tcW w:w="3908" w:type="pct"/>
          </w:tcPr>
          <w:p w14:paraId="57315294" w14:textId="2BDE6E60" w:rsidR="00D444E5" w:rsidRPr="004A3983" w:rsidRDefault="008953D1" w:rsidP="00E42A61">
            <w:pPr>
              <w:spacing w:after="160" w:line="259" w:lineRule="auto"/>
              <w:ind w:right="-2"/>
              <w:cnfStyle w:val="000000000000" w:firstRow="0" w:lastRow="0" w:firstColumn="0" w:lastColumn="0" w:oddVBand="0" w:evenVBand="0" w:oddHBand="0" w:evenHBand="0" w:firstRowFirstColumn="0" w:firstRowLastColumn="0" w:lastRowFirstColumn="0" w:lastRowLastColumn="0"/>
            </w:pPr>
            <w:r w:rsidRPr="004A3983">
              <w:t>NSW Police Force</w:t>
            </w:r>
            <w:r w:rsidR="00D444E5" w:rsidRPr="004A3983">
              <w:t xml:space="preserve"> Computerised Operational Policing System </w:t>
            </w:r>
          </w:p>
        </w:tc>
      </w:tr>
      <w:tr w:rsidR="009C5DAD" w:rsidRPr="004A3983" w14:paraId="30B815C4" w14:textId="77777777" w:rsidTr="009C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37BAB284" w14:textId="70887AB8" w:rsidR="009C5DAD" w:rsidRPr="004A3983" w:rsidRDefault="009C5DAD" w:rsidP="00E42A61">
            <w:pPr>
              <w:spacing w:after="160" w:line="259" w:lineRule="auto"/>
              <w:ind w:right="-2"/>
            </w:pPr>
            <w:r w:rsidRPr="004A3983">
              <w:t>Corresponding registrable person</w:t>
            </w:r>
          </w:p>
        </w:tc>
        <w:tc>
          <w:tcPr>
            <w:tcW w:w="3908" w:type="pct"/>
          </w:tcPr>
          <w:p w14:paraId="105F3D1C" w14:textId="5B379833" w:rsidR="009C5DAD" w:rsidRPr="004A3983" w:rsidRDefault="000068D6" w:rsidP="00E42A61">
            <w:pPr>
              <w:spacing w:after="160" w:line="259" w:lineRule="auto"/>
              <w:ind w:right="-2"/>
              <w:cnfStyle w:val="000000100000" w:firstRow="0" w:lastRow="0" w:firstColumn="0" w:lastColumn="0" w:oddVBand="0" w:evenVBand="0" w:oddHBand="1" w:evenHBand="0" w:firstRowFirstColumn="0" w:firstRowLastColumn="0" w:lastRowFirstColumn="0" w:lastRowLastColumn="0"/>
            </w:pPr>
            <w:r w:rsidRPr="004A3983">
              <w:t>A person who has been required to report to police under an offender registration law in a jurisdiction other than New South Wales, and who move</w:t>
            </w:r>
            <w:r w:rsidR="009A547D" w:rsidRPr="004A3983">
              <w:t>s to New South Wales while they are still</w:t>
            </w:r>
            <w:r w:rsidRPr="004A3983">
              <w:t xml:space="preserve"> required to </w:t>
            </w:r>
            <w:r w:rsidR="00811CBA" w:rsidRPr="004A3983">
              <w:t>report</w:t>
            </w:r>
            <w:r w:rsidRPr="004A3983">
              <w:t xml:space="preserve"> in that </w:t>
            </w:r>
            <w:r w:rsidR="009A547D" w:rsidRPr="004A3983">
              <w:t xml:space="preserve">other </w:t>
            </w:r>
            <w:r w:rsidRPr="004A3983">
              <w:t xml:space="preserve">jurisdiction: see </w:t>
            </w:r>
            <w:r w:rsidRPr="004A3983">
              <w:rPr>
                <w:i/>
              </w:rPr>
              <w:t>Child Protection (Offenders Registration) Act 2000</w:t>
            </w:r>
            <w:r w:rsidRPr="004A3983">
              <w:t xml:space="preserve"> (NSW) s 19BB.</w:t>
            </w:r>
          </w:p>
        </w:tc>
      </w:tr>
      <w:tr w:rsidR="00090A34" w:rsidRPr="004A3983" w14:paraId="295AF81B" w14:textId="77777777" w:rsidTr="009C5DAD">
        <w:tc>
          <w:tcPr>
            <w:cnfStyle w:val="001000000000" w:firstRow="0" w:lastRow="0" w:firstColumn="1" w:lastColumn="0" w:oddVBand="0" w:evenVBand="0" w:oddHBand="0" w:evenHBand="0" w:firstRowFirstColumn="0" w:firstRowLastColumn="0" w:lastRowFirstColumn="0" w:lastRowLastColumn="0"/>
            <w:tcW w:w="1092" w:type="pct"/>
          </w:tcPr>
          <w:p w14:paraId="2127DBB1" w14:textId="58D2707C" w:rsidR="00090A34" w:rsidRPr="004A3983" w:rsidRDefault="00090A34" w:rsidP="00E42A61">
            <w:pPr>
              <w:spacing w:after="160" w:line="259" w:lineRule="auto"/>
              <w:ind w:right="-2"/>
            </w:pPr>
            <w:r w:rsidRPr="004A3983">
              <w:t>CPOR Act</w:t>
            </w:r>
          </w:p>
        </w:tc>
        <w:tc>
          <w:tcPr>
            <w:tcW w:w="3908" w:type="pct"/>
          </w:tcPr>
          <w:p w14:paraId="1123E6D3" w14:textId="1C321B24" w:rsidR="00090A34" w:rsidRPr="004A3983" w:rsidRDefault="00090A34" w:rsidP="00E42A61">
            <w:pPr>
              <w:spacing w:after="160" w:line="259" w:lineRule="auto"/>
              <w:ind w:right="-2"/>
              <w:cnfStyle w:val="000000000000" w:firstRow="0" w:lastRow="0" w:firstColumn="0" w:lastColumn="0" w:oddVBand="0" w:evenVBand="0" w:oddHBand="0" w:evenHBand="0" w:firstRowFirstColumn="0" w:firstRowLastColumn="0" w:lastRowFirstColumn="0" w:lastRowLastColumn="0"/>
            </w:pPr>
            <w:r w:rsidRPr="004A3983">
              <w:rPr>
                <w:i/>
              </w:rPr>
              <w:t>Child Protection (Offenders Registration) Act 2000</w:t>
            </w:r>
            <w:r w:rsidRPr="004A3983">
              <w:t xml:space="preserve"> (NSW)</w:t>
            </w:r>
          </w:p>
        </w:tc>
      </w:tr>
      <w:tr w:rsidR="00090A34" w:rsidRPr="004A3983" w14:paraId="7BE8BB79" w14:textId="77777777" w:rsidTr="009C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1D2479F8" w14:textId="4948029A" w:rsidR="00090A34" w:rsidRPr="004A3983" w:rsidRDefault="00090A34" w:rsidP="00E42A61">
            <w:pPr>
              <w:spacing w:after="160"/>
              <w:ind w:right="-2"/>
            </w:pPr>
            <w:r w:rsidRPr="004A3983">
              <w:t>CPOR Regulation</w:t>
            </w:r>
          </w:p>
        </w:tc>
        <w:tc>
          <w:tcPr>
            <w:tcW w:w="3908" w:type="pct"/>
          </w:tcPr>
          <w:p w14:paraId="1B67E5D4" w14:textId="2DB7C2A1" w:rsidR="00090A34" w:rsidRPr="004A3983" w:rsidRDefault="00644445" w:rsidP="00E42A61">
            <w:pPr>
              <w:spacing w:after="160"/>
              <w:ind w:right="-2"/>
              <w:cnfStyle w:val="000000100000" w:firstRow="0" w:lastRow="0" w:firstColumn="0" w:lastColumn="0" w:oddVBand="0" w:evenVBand="0" w:oddHBand="1" w:evenHBand="0" w:firstRowFirstColumn="0" w:firstRowLastColumn="0" w:lastRowFirstColumn="0" w:lastRowLastColumn="0"/>
            </w:pPr>
            <w:r w:rsidRPr="004A3983">
              <w:rPr>
                <w:i/>
              </w:rPr>
              <w:t>Child Protection (Offenders Registration) Regulation 2015</w:t>
            </w:r>
            <w:r w:rsidRPr="004A3983">
              <w:t xml:space="preserve"> (NSW)</w:t>
            </w:r>
          </w:p>
        </w:tc>
      </w:tr>
      <w:tr w:rsidR="00D444E5" w:rsidRPr="004A3983" w14:paraId="0C05FFD8" w14:textId="77777777" w:rsidTr="009C5DAD">
        <w:tc>
          <w:tcPr>
            <w:cnfStyle w:val="001000000000" w:firstRow="0" w:lastRow="0" w:firstColumn="1" w:lastColumn="0" w:oddVBand="0" w:evenVBand="0" w:oddHBand="0" w:evenHBand="0" w:firstRowFirstColumn="0" w:firstRowLastColumn="0" w:lastRowFirstColumn="0" w:lastRowLastColumn="0"/>
            <w:tcW w:w="1092" w:type="pct"/>
          </w:tcPr>
          <w:p w14:paraId="1846625D" w14:textId="22732A5B" w:rsidR="00D444E5" w:rsidRPr="004A3983" w:rsidRDefault="00090A34" w:rsidP="00E42A61">
            <w:pPr>
              <w:spacing w:after="160"/>
              <w:ind w:right="-2"/>
            </w:pPr>
            <w:r w:rsidRPr="004A3983">
              <w:t>CPR</w:t>
            </w:r>
          </w:p>
        </w:tc>
        <w:tc>
          <w:tcPr>
            <w:tcW w:w="3908" w:type="pct"/>
          </w:tcPr>
          <w:p w14:paraId="5F384042" w14:textId="7CE775A6" w:rsidR="00D444E5" w:rsidRPr="004A3983" w:rsidRDefault="00380B0E" w:rsidP="00E42A61">
            <w:pPr>
              <w:spacing w:after="160"/>
              <w:ind w:right="-2"/>
              <w:cnfStyle w:val="000000000000" w:firstRow="0" w:lastRow="0" w:firstColumn="0" w:lastColumn="0" w:oddVBand="0" w:evenVBand="0" w:oddHBand="0" w:evenHBand="0" w:firstRowFirstColumn="0" w:firstRowLastColumn="0" w:lastRowFirstColumn="0" w:lastRowLastColumn="0"/>
            </w:pPr>
            <w:r w:rsidRPr="004A3983">
              <w:t>N</w:t>
            </w:r>
            <w:r w:rsidR="00684015" w:rsidRPr="004A3983">
              <w:t xml:space="preserve">ew </w:t>
            </w:r>
            <w:r w:rsidRPr="004A3983">
              <w:t>S</w:t>
            </w:r>
            <w:r w:rsidR="00684015" w:rsidRPr="004A3983">
              <w:t xml:space="preserve">outh </w:t>
            </w:r>
            <w:r w:rsidRPr="004A3983">
              <w:t>W</w:t>
            </w:r>
            <w:r w:rsidR="00684015" w:rsidRPr="004A3983">
              <w:t>ales</w:t>
            </w:r>
            <w:r w:rsidRPr="004A3983">
              <w:t xml:space="preserve"> Child Protection Register</w:t>
            </w:r>
          </w:p>
        </w:tc>
      </w:tr>
      <w:tr w:rsidR="00D444E5" w:rsidRPr="004A3983" w14:paraId="593BB0CE" w14:textId="77777777" w:rsidTr="009C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2A4388F5" w14:textId="5644E52B" w:rsidR="00D444E5" w:rsidRPr="004A3983" w:rsidRDefault="00090A34" w:rsidP="00E42A61">
            <w:pPr>
              <w:spacing w:after="160"/>
              <w:ind w:right="-2"/>
            </w:pPr>
            <w:r w:rsidRPr="004A3983">
              <w:t>CPR case review</w:t>
            </w:r>
          </w:p>
        </w:tc>
        <w:tc>
          <w:tcPr>
            <w:tcW w:w="3908" w:type="pct"/>
          </w:tcPr>
          <w:p w14:paraId="7BE9F3D2" w14:textId="336D5156" w:rsidR="00D444E5" w:rsidRPr="004A3983" w:rsidRDefault="000319DD" w:rsidP="00E42A61">
            <w:pPr>
              <w:spacing w:after="160"/>
              <w:ind w:right="-2"/>
              <w:cnfStyle w:val="000000100000" w:firstRow="0" w:lastRow="0" w:firstColumn="0" w:lastColumn="0" w:oddVBand="0" w:evenVBand="0" w:oddHBand="1" w:evenHBand="0" w:firstRowFirstColumn="0" w:firstRowLastColumn="0" w:lastRowFirstColumn="0" w:lastRowLastColumn="0"/>
            </w:pPr>
            <w:r w:rsidRPr="004A3983">
              <w:rPr>
                <w:rFonts w:ascii="Gotham Book" w:hAnsi="Gotham Book" w:cs="Arial"/>
              </w:rPr>
              <w:t xml:space="preserve">Internal review of </w:t>
            </w:r>
            <w:r w:rsidR="00684015" w:rsidRPr="004A3983">
              <w:rPr>
                <w:rFonts w:ascii="Gotham Book" w:hAnsi="Gotham Book"/>
              </w:rPr>
              <w:t>5,749 Child Protection Register case</w:t>
            </w:r>
            <w:r w:rsidR="008F3A9E" w:rsidRPr="004A3983">
              <w:rPr>
                <w:rFonts w:ascii="Gotham Book" w:hAnsi="Gotham Book"/>
              </w:rPr>
              <w:t xml:space="preserve"> files</w:t>
            </w:r>
            <w:r w:rsidRPr="004A3983">
              <w:rPr>
                <w:rFonts w:ascii="Gotham Book" w:hAnsi="Gotham Book"/>
              </w:rPr>
              <w:t xml:space="preserve"> initiated by the NSW Police Force in </w:t>
            </w:r>
            <w:r w:rsidR="00684015" w:rsidRPr="004A3983">
              <w:rPr>
                <w:rFonts w:ascii="Gotham Book" w:hAnsi="Gotham Book" w:cs="Arial"/>
              </w:rPr>
              <w:t>July 2016</w:t>
            </w:r>
            <w:r w:rsidRPr="004A3983">
              <w:rPr>
                <w:rFonts w:ascii="Gotham Book" w:hAnsi="Gotham Book" w:cs="Arial"/>
              </w:rPr>
              <w:t xml:space="preserve">, and completed in </w:t>
            </w:r>
            <w:r w:rsidR="008F3A9E" w:rsidRPr="004A3983">
              <w:rPr>
                <w:rFonts w:ascii="Gotham Book" w:hAnsi="Gotham Book"/>
              </w:rPr>
              <w:t>October 2018</w:t>
            </w:r>
            <w:r w:rsidRPr="004A3983">
              <w:rPr>
                <w:rFonts w:ascii="Gotham Book" w:hAnsi="Gotham Book"/>
              </w:rPr>
              <w:t>.</w:t>
            </w:r>
          </w:p>
        </w:tc>
      </w:tr>
      <w:tr w:rsidR="00D444E5" w:rsidRPr="004A3983" w14:paraId="2A6EE076" w14:textId="77777777" w:rsidTr="009C5DAD">
        <w:tc>
          <w:tcPr>
            <w:cnfStyle w:val="001000000000" w:firstRow="0" w:lastRow="0" w:firstColumn="1" w:lastColumn="0" w:oddVBand="0" w:evenVBand="0" w:oddHBand="0" w:evenHBand="0" w:firstRowFirstColumn="0" w:firstRowLastColumn="0" w:lastRowFirstColumn="0" w:lastRowLastColumn="0"/>
            <w:tcW w:w="1092" w:type="pct"/>
          </w:tcPr>
          <w:p w14:paraId="2166D217" w14:textId="513FEF07" w:rsidR="00D444E5" w:rsidRPr="004A3983" w:rsidRDefault="00090A34" w:rsidP="00E42A61">
            <w:pPr>
              <w:spacing w:after="160"/>
              <w:ind w:right="-2"/>
            </w:pPr>
            <w:r w:rsidRPr="004A3983">
              <w:t>CPR COPS</w:t>
            </w:r>
          </w:p>
        </w:tc>
        <w:tc>
          <w:tcPr>
            <w:tcW w:w="3908" w:type="pct"/>
          </w:tcPr>
          <w:p w14:paraId="00968B69" w14:textId="07EC4AD0" w:rsidR="00D444E5" w:rsidRPr="004A3983" w:rsidRDefault="004C7378" w:rsidP="00E42A61">
            <w:pPr>
              <w:spacing w:after="160"/>
              <w:ind w:right="-2"/>
              <w:cnfStyle w:val="000000000000" w:firstRow="0" w:lastRow="0" w:firstColumn="0" w:lastColumn="0" w:oddVBand="0" w:evenVBand="0" w:oddHBand="0" w:evenHBand="0" w:firstRowFirstColumn="0" w:firstRowLastColumn="0" w:lastRowFirstColumn="0" w:lastRowLastColumn="0"/>
            </w:pPr>
            <w:r w:rsidRPr="004A3983">
              <w:t xml:space="preserve">The section of the </w:t>
            </w:r>
            <w:r w:rsidR="008953D1" w:rsidRPr="004A3983">
              <w:t>NSW Police Force</w:t>
            </w:r>
            <w:r w:rsidRPr="004A3983">
              <w:t xml:space="preserve"> Computerised Operational Policing System (COPS) that contains information about </w:t>
            </w:r>
            <w:r w:rsidRPr="004A3983">
              <w:lastRenderedPageBreak/>
              <w:t xml:space="preserve">registrable persons </w:t>
            </w:r>
            <w:r w:rsidR="00380B0E" w:rsidRPr="004A3983">
              <w:t>under</w:t>
            </w:r>
            <w:r w:rsidRPr="004A3983">
              <w:t xml:space="preserve"> the </w:t>
            </w:r>
            <w:r w:rsidR="00380B0E" w:rsidRPr="004A3983">
              <w:rPr>
                <w:i/>
              </w:rPr>
              <w:t>Child Protection (Offenders Registration) Act</w:t>
            </w:r>
            <w:r w:rsidR="00380B0E" w:rsidRPr="004A3983">
              <w:t xml:space="preserve"> </w:t>
            </w:r>
            <w:r w:rsidR="00380B0E" w:rsidRPr="004A3983">
              <w:rPr>
                <w:i/>
              </w:rPr>
              <w:t>2000</w:t>
            </w:r>
            <w:r w:rsidR="00B32234" w:rsidRPr="004A3983">
              <w:t xml:space="preserve"> (NSW)</w:t>
            </w:r>
            <w:r w:rsidR="00484D6E" w:rsidRPr="004A3983">
              <w:t>.</w:t>
            </w:r>
          </w:p>
        </w:tc>
      </w:tr>
      <w:tr w:rsidR="00380B0E" w:rsidRPr="004A3983" w14:paraId="080D5CC3" w14:textId="77777777" w:rsidTr="009C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564783F1" w14:textId="62CDB24F" w:rsidR="00380B0E" w:rsidRPr="004A3983" w:rsidRDefault="00380B0E" w:rsidP="00E42A61">
            <w:pPr>
              <w:spacing w:after="160"/>
              <w:ind w:right="-2"/>
            </w:pPr>
            <w:r w:rsidRPr="004A3983">
              <w:lastRenderedPageBreak/>
              <w:t>Form 3</w:t>
            </w:r>
          </w:p>
        </w:tc>
        <w:tc>
          <w:tcPr>
            <w:tcW w:w="3908" w:type="pct"/>
          </w:tcPr>
          <w:p w14:paraId="109D9297" w14:textId="6E4D8FE2" w:rsidR="00380B0E" w:rsidRPr="004A3983" w:rsidRDefault="00665650" w:rsidP="00E42A61">
            <w:pPr>
              <w:spacing w:after="160"/>
              <w:ind w:right="-2"/>
              <w:cnfStyle w:val="000000100000" w:firstRow="0" w:lastRow="0" w:firstColumn="0" w:lastColumn="0" w:oddVBand="0" w:evenVBand="0" w:oddHBand="1" w:evenHBand="0" w:firstRowFirstColumn="0" w:firstRowLastColumn="0" w:lastRowFirstColumn="0" w:lastRowLastColumn="0"/>
            </w:pPr>
            <w:r w:rsidRPr="004A3983">
              <w:t>A</w:t>
            </w:r>
            <w:r w:rsidR="0036202D" w:rsidRPr="004A3983">
              <w:t xml:space="preserve"> written notice that </w:t>
            </w:r>
            <w:r w:rsidR="00380B0E" w:rsidRPr="004A3983">
              <w:t xml:space="preserve">informs a registrable person that they are required to </w:t>
            </w:r>
            <w:r w:rsidRPr="004A3983">
              <w:t>attend a police station within seven</w:t>
            </w:r>
            <w:r w:rsidR="00380B0E" w:rsidRPr="004A3983">
              <w:t xml:space="preserve"> days to provide the personal information required under the CPOR Act. It must be signed by the registrable person.</w:t>
            </w:r>
          </w:p>
        </w:tc>
      </w:tr>
      <w:tr w:rsidR="0081362D" w:rsidRPr="004A3983" w14:paraId="717FACEC" w14:textId="77777777" w:rsidTr="009C5DAD">
        <w:tc>
          <w:tcPr>
            <w:cnfStyle w:val="001000000000" w:firstRow="0" w:lastRow="0" w:firstColumn="1" w:lastColumn="0" w:oddVBand="0" w:evenVBand="0" w:oddHBand="0" w:evenHBand="0" w:firstRowFirstColumn="0" w:firstRowLastColumn="0" w:lastRowFirstColumn="0" w:lastRowLastColumn="0"/>
            <w:tcW w:w="1092" w:type="pct"/>
          </w:tcPr>
          <w:p w14:paraId="5A120C8A" w14:textId="29410398" w:rsidR="0081362D" w:rsidRPr="004A3983" w:rsidRDefault="0081362D" w:rsidP="00E42A61">
            <w:pPr>
              <w:spacing w:after="160"/>
              <w:ind w:right="-2"/>
            </w:pPr>
            <w:r w:rsidRPr="004A3983">
              <w:t>IBAC</w:t>
            </w:r>
          </w:p>
        </w:tc>
        <w:tc>
          <w:tcPr>
            <w:tcW w:w="3908" w:type="pct"/>
          </w:tcPr>
          <w:p w14:paraId="0177F1B0" w14:textId="7652F553" w:rsidR="0081362D" w:rsidRPr="004A3983" w:rsidRDefault="0081362D" w:rsidP="00E42A61">
            <w:pPr>
              <w:spacing w:after="160"/>
              <w:ind w:right="-2"/>
              <w:cnfStyle w:val="000000000000" w:firstRow="0" w:lastRow="0" w:firstColumn="0" w:lastColumn="0" w:oddVBand="0" w:evenVBand="0" w:oddHBand="0" w:evenHBand="0" w:firstRowFirstColumn="0" w:firstRowLastColumn="0" w:lastRowFirstColumn="0" w:lastRowLastColumn="0"/>
            </w:pPr>
            <w:r w:rsidRPr="004A3983">
              <w:t>Independent Broad-based Anti-corruption Commission</w:t>
            </w:r>
            <w:r w:rsidR="000979AF" w:rsidRPr="004A3983">
              <w:t>, Victoria</w:t>
            </w:r>
          </w:p>
        </w:tc>
      </w:tr>
      <w:tr w:rsidR="0081362D" w:rsidRPr="004A3983" w14:paraId="0AA74447" w14:textId="77777777" w:rsidTr="009C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7540FD80" w14:textId="7439788F" w:rsidR="0081362D" w:rsidRPr="004A3983" w:rsidRDefault="0081362D" w:rsidP="00E42A61">
            <w:pPr>
              <w:spacing w:after="160"/>
              <w:ind w:right="-2"/>
            </w:pPr>
            <w:r w:rsidRPr="004A3983">
              <w:t>JusticeLink</w:t>
            </w:r>
          </w:p>
        </w:tc>
        <w:tc>
          <w:tcPr>
            <w:tcW w:w="3908" w:type="pct"/>
          </w:tcPr>
          <w:p w14:paraId="594A18D3" w14:textId="7232DD3C" w:rsidR="0081362D" w:rsidRPr="004A3983" w:rsidRDefault="00876BD9" w:rsidP="00E42A61">
            <w:pPr>
              <w:spacing w:after="160"/>
              <w:ind w:right="-2"/>
              <w:cnfStyle w:val="000000100000" w:firstRow="0" w:lastRow="0" w:firstColumn="0" w:lastColumn="0" w:oddVBand="0" w:evenVBand="0" w:oddHBand="1" w:evenHBand="0" w:firstRowFirstColumn="0" w:firstRowLastColumn="0" w:lastRowFirstColumn="0" w:lastRowLastColumn="0"/>
            </w:pPr>
            <w:r w:rsidRPr="004A3983">
              <w:t>Electronic database</w:t>
            </w:r>
            <w:r w:rsidR="009B368B" w:rsidRPr="004A3983">
              <w:t xml:space="preserve"> used by all </w:t>
            </w:r>
            <w:r w:rsidR="001A466E" w:rsidRPr="004A3983">
              <w:t>courts in New South Wales to record court proceedings and outcome</w:t>
            </w:r>
            <w:r w:rsidR="00D238B6" w:rsidRPr="004A3983">
              <w:t>s</w:t>
            </w:r>
          </w:p>
        </w:tc>
      </w:tr>
      <w:tr w:rsidR="0081362D" w:rsidRPr="004A3983" w14:paraId="1FBD7CDD" w14:textId="77777777" w:rsidTr="009C5DAD">
        <w:tc>
          <w:tcPr>
            <w:cnfStyle w:val="001000000000" w:firstRow="0" w:lastRow="0" w:firstColumn="1" w:lastColumn="0" w:oddVBand="0" w:evenVBand="0" w:oddHBand="0" w:evenHBand="0" w:firstRowFirstColumn="0" w:firstRowLastColumn="0" w:lastRowFirstColumn="0" w:lastRowLastColumn="0"/>
            <w:tcW w:w="1092" w:type="pct"/>
          </w:tcPr>
          <w:p w14:paraId="4E6C97D9" w14:textId="60AFC62B" w:rsidR="0081362D" w:rsidRPr="004A3983" w:rsidRDefault="0081362D" w:rsidP="00E42A61">
            <w:pPr>
              <w:spacing w:after="160"/>
              <w:ind w:right="-2"/>
            </w:pPr>
            <w:r w:rsidRPr="004A3983">
              <w:t>LECC</w:t>
            </w:r>
          </w:p>
        </w:tc>
        <w:tc>
          <w:tcPr>
            <w:tcW w:w="3908" w:type="pct"/>
          </w:tcPr>
          <w:p w14:paraId="370A431D" w14:textId="35A04625" w:rsidR="0081362D" w:rsidRPr="004A3983" w:rsidRDefault="0081362D" w:rsidP="00E42A61">
            <w:pPr>
              <w:spacing w:after="160"/>
              <w:ind w:right="-2"/>
              <w:cnfStyle w:val="000000000000" w:firstRow="0" w:lastRow="0" w:firstColumn="0" w:lastColumn="0" w:oddVBand="0" w:evenVBand="0" w:oddHBand="0" w:evenHBand="0" w:firstRowFirstColumn="0" w:firstRowLastColumn="0" w:lastRowFirstColumn="0" w:lastRowLastColumn="0"/>
            </w:pPr>
            <w:r w:rsidRPr="004A3983">
              <w:t>Law Enforcement Conduct Commission</w:t>
            </w:r>
          </w:p>
        </w:tc>
      </w:tr>
      <w:tr w:rsidR="0081362D" w:rsidRPr="004A3983" w14:paraId="26DEFB47" w14:textId="77777777" w:rsidTr="009C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0C2C0B5B" w14:textId="1D53DF0A" w:rsidR="0081362D" w:rsidRPr="004A3983" w:rsidRDefault="0081362D" w:rsidP="00E42A61">
            <w:pPr>
              <w:spacing w:after="160"/>
              <w:ind w:right="-2"/>
            </w:pPr>
            <w:r w:rsidRPr="004A3983">
              <w:t>LECC Act</w:t>
            </w:r>
          </w:p>
        </w:tc>
        <w:tc>
          <w:tcPr>
            <w:tcW w:w="3908" w:type="pct"/>
          </w:tcPr>
          <w:p w14:paraId="10BC6798" w14:textId="22512061" w:rsidR="0081362D" w:rsidRPr="004A3983" w:rsidRDefault="0081362D" w:rsidP="00E42A61">
            <w:pPr>
              <w:spacing w:after="160"/>
              <w:ind w:right="-2"/>
              <w:cnfStyle w:val="000000100000" w:firstRow="0" w:lastRow="0" w:firstColumn="0" w:lastColumn="0" w:oddVBand="0" w:evenVBand="0" w:oddHBand="1" w:evenHBand="0" w:firstRowFirstColumn="0" w:firstRowLastColumn="0" w:lastRowFirstColumn="0" w:lastRowLastColumn="0"/>
            </w:pPr>
            <w:r w:rsidRPr="004A3983">
              <w:rPr>
                <w:i/>
              </w:rPr>
              <w:t>Law Enforcement Conduct Commission Act 2016</w:t>
            </w:r>
            <w:r w:rsidRPr="004A3983">
              <w:t xml:space="preserve"> (NSW)</w:t>
            </w:r>
          </w:p>
        </w:tc>
      </w:tr>
      <w:tr w:rsidR="0081362D" w:rsidRPr="004A3983" w14:paraId="5707655E" w14:textId="77777777" w:rsidTr="009C5DAD">
        <w:tc>
          <w:tcPr>
            <w:cnfStyle w:val="001000000000" w:firstRow="0" w:lastRow="0" w:firstColumn="1" w:lastColumn="0" w:oddVBand="0" w:evenVBand="0" w:oddHBand="0" w:evenHBand="0" w:firstRowFirstColumn="0" w:firstRowLastColumn="0" w:lastRowFirstColumn="0" w:lastRowLastColumn="0"/>
            <w:tcW w:w="1092" w:type="pct"/>
          </w:tcPr>
          <w:p w14:paraId="3E3C8AB1" w14:textId="382E7B64" w:rsidR="0081362D" w:rsidRPr="004A3983" w:rsidRDefault="0081362D" w:rsidP="00E42A61">
            <w:pPr>
              <w:spacing w:after="160"/>
              <w:ind w:right="-2"/>
            </w:pPr>
            <w:r w:rsidRPr="004A3983">
              <w:t>Local commands</w:t>
            </w:r>
          </w:p>
        </w:tc>
        <w:tc>
          <w:tcPr>
            <w:tcW w:w="3908" w:type="pct"/>
          </w:tcPr>
          <w:p w14:paraId="33A188BC" w14:textId="6A407FC5" w:rsidR="0081362D" w:rsidRPr="004A3983" w:rsidRDefault="0081362D" w:rsidP="00E42A61">
            <w:pPr>
              <w:spacing w:after="160"/>
              <w:ind w:right="-2"/>
              <w:cnfStyle w:val="000000000000" w:firstRow="0" w:lastRow="0" w:firstColumn="0" w:lastColumn="0" w:oddVBand="0" w:evenVBand="0" w:oddHBand="0" w:evenHBand="0" w:firstRowFirstColumn="0" w:firstRowLastColumn="0" w:lastRowFirstColumn="0" w:lastRowLastColumn="0"/>
            </w:pPr>
            <w:r w:rsidRPr="004A3983">
              <w:t xml:space="preserve">NSW Police Force Police Area Commands and Police Districts </w:t>
            </w:r>
          </w:p>
        </w:tc>
      </w:tr>
      <w:tr w:rsidR="004B1F87" w:rsidRPr="004A3983" w14:paraId="11528D9B" w14:textId="77777777" w:rsidTr="009C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39731300" w14:textId="00283C59" w:rsidR="004B1F87" w:rsidRPr="004A3983" w:rsidRDefault="004B1F87" w:rsidP="004B1F87">
            <w:pPr>
              <w:spacing w:after="160"/>
              <w:ind w:right="-2"/>
            </w:pPr>
            <w:r w:rsidRPr="004A3983">
              <w:t>Mental Health (FP) Act</w:t>
            </w:r>
          </w:p>
        </w:tc>
        <w:tc>
          <w:tcPr>
            <w:tcW w:w="3908" w:type="pct"/>
          </w:tcPr>
          <w:p w14:paraId="0EACAC16" w14:textId="229FCDA5" w:rsidR="004B1F87" w:rsidRPr="004A3983" w:rsidRDefault="004B1F87" w:rsidP="004B1F87">
            <w:pPr>
              <w:spacing w:after="160"/>
              <w:ind w:right="-2"/>
              <w:cnfStyle w:val="000000100000" w:firstRow="0" w:lastRow="0" w:firstColumn="0" w:lastColumn="0" w:oddVBand="0" w:evenVBand="0" w:oddHBand="1" w:evenHBand="0" w:firstRowFirstColumn="0" w:firstRowLastColumn="0" w:lastRowFirstColumn="0" w:lastRowLastColumn="0"/>
            </w:pPr>
            <w:r w:rsidRPr="004A3983">
              <w:rPr>
                <w:i/>
              </w:rPr>
              <w:t>Mental Health (Forensic Provisions) Act 1990</w:t>
            </w:r>
            <w:r w:rsidRPr="004A3983">
              <w:t xml:space="preserve"> (NSW)</w:t>
            </w:r>
          </w:p>
        </w:tc>
      </w:tr>
      <w:tr w:rsidR="008A1642" w:rsidRPr="004A3983" w14:paraId="36953AFD" w14:textId="77777777" w:rsidTr="009C5DAD">
        <w:tc>
          <w:tcPr>
            <w:cnfStyle w:val="001000000000" w:firstRow="0" w:lastRow="0" w:firstColumn="1" w:lastColumn="0" w:oddVBand="0" w:evenVBand="0" w:oddHBand="0" w:evenHBand="0" w:firstRowFirstColumn="0" w:firstRowLastColumn="0" w:lastRowFirstColumn="0" w:lastRowLastColumn="0"/>
            <w:tcW w:w="1092" w:type="pct"/>
          </w:tcPr>
          <w:p w14:paraId="2E3FCA91" w14:textId="2AC8A84C" w:rsidR="008A1642" w:rsidRPr="004A3983" w:rsidRDefault="008A1642" w:rsidP="008A1642">
            <w:pPr>
              <w:spacing w:after="160"/>
              <w:ind w:right="-2"/>
            </w:pPr>
            <w:r w:rsidRPr="004A3983">
              <w:t>NSW</w:t>
            </w:r>
          </w:p>
        </w:tc>
        <w:tc>
          <w:tcPr>
            <w:tcW w:w="3908" w:type="pct"/>
          </w:tcPr>
          <w:p w14:paraId="604AF491" w14:textId="6EED3CD4" w:rsidR="008A1642" w:rsidRPr="004A3983" w:rsidRDefault="008A1642" w:rsidP="008A1642">
            <w:pPr>
              <w:spacing w:after="160"/>
              <w:ind w:right="-2"/>
              <w:cnfStyle w:val="000000000000" w:firstRow="0" w:lastRow="0" w:firstColumn="0" w:lastColumn="0" w:oddVBand="0" w:evenVBand="0" w:oddHBand="0" w:evenHBand="0" w:firstRowFirstColumn="0" w:firstRowLastColumn="0" w:lastRowFirstColumn="0" w:lastRowLastColumn="0"/>
            </w:pPr>
            <w:r w:rsidRPr="004A3983">
              <w:t>New South Wales</w:t>
            </w:r>
          </w:p>
        </w:tc>
      </w:tr>
      <w:tr w:rsidR="008A1642" w:rsidRPr="004A3983" w14:paraId="02A80695" w14:textId="77777777" w:rsidTr="009C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3AD255A9" w14:textId="2E5A008D" w:rsidR="008A1642" w:rsidRPr="004A3983" w:rsidRDefault="008A1642" w:rsidP="008A1642">
            <w:pPr>
              <w:spacing w:after="160"/>
              <w:ind w:right="-2"/>
            </w:pPr>
            <w:r w:rsidRPr="004A3983">
              <w:t>NSWPF</w:t>
            </w:r>
          </w:p>
        </w:tc>
        <w:tc>
          <w:tcPr>
            <w:tcW w:w="3908" w:type="pct"/>
          </w:tcPr>
          <w:p w14:paraId="322CFB0E" w14:textId="4DD3EE53" w:rsidR="008A1642" w:rsidRPr="004A3983" w:rsidRDefault="008A1642" w:rsidP="008A1642">
            <w:pPr>
              <w:spacing w:after="160"/>
              <w:ind w:right="-2"/>
              <w:cnfStyle w:val="000000100000" w:firstRow="0" w:lastRow="0" w:firstColumn="0" w:lastColumn="0" w:oddVBand="0" w:evenVBand="0" w:oddHBand="1" w:evenHBand="0" w:firstRowFirstColumn="0" w:firstRowLastColumn="0" w:lastRowFirstColumn="0" w:lastRowLastColumn="0"/>
            </w:pPr>
            <w:r w:rsidRPr="004A3983">
              <w:t>New South Wales Police Force</w:t>
            </w:r>
          </w:p>
        </w:tc>
      </w:tr>
      <w:tr w:rsidR="008A1642" w:rsidRPr="004A3983" w14:paraId="6F2F6A54" w14:textId="77777777" w:rsidTr="009C5DAD">
        <w:tc>
          <w:tcPr>
            <w:cnfStyle w:val="001000000000" w:firstRow="0" w:lastRow="0" w:firstColumn="1" w:lastColumn="0" w:oddVBand="0" w:evenVBand="0" w:oddHBand="0" w:evenHBand="0" w:firstRowFirstColumn="0" w:firstRowLastColumn="0" w:lastRowFirstColumn="0" w:lastRowLastColumn="0"/>
            <w:tcW w:w="1092" w:type="pct"/>
          </w:tcPr>
          <w:p w14:paraId="567C2F56" w14:textId="78B53B17" w:rsidR="008A1642" w:rsidRPr="004A3983" w:rsidRDefault="008A1642" w:rsidP="008A1642">
            <w:pPr>
              <w:spacing w:after="160"/>
              <w:ind w:right="-2"/>
            </w:pPr>
            <w:r w:rsidRPr="004A3983">
              <w:t>Offender registration laws</w:t>
            </w:r>
          </w:p>
        </w:tc>
        <w:tc>
          <w:tcPr>
            <w:tcW w:w="3908" w:type="pct"/>
          </w:tcPr>
          <w:p w14:paraId="7530E0DD" w14:textId="0A861307" w:rsidR="008A1642" w:rsidRPr="004A3983" w:rsidRDefault="008A1642" w:rsidP="008A1642">
            <w:pPr>
              <w:spacing w:after="160"/>
              <w:ind w:right="-2"/>
              <w:cnfStyle w:val="000000000000" w:firstRow="0" w:lastRow="0" w:firstColumn="0" w:lastColumn="0" w:oddVBand="0" w:evenVBand="0" w:oddHBand="0" w:evenHBand="0" w:firstRowFirstColumn="0" w:firstRowLastColumn="0" w:lastRowFirstColumn="0" w:lastRowLastColumn="0"/>
            </w:pPr>
            <w:r w:rsidRPr="004A3983">
              <w:t>Laws in jurisdictions other than New South Wales which require certain offenders to register and report their details to police on an ongoing basis</w:t>
            </w:r>
          </w:p>
        </w:tc>
      </w:tr>
      <w:tr w:rsidR="008A1642" w:rsidRPr="004A3983" w14:paraId="5236C343" w14:textId="77777777" w:rsidTr="009C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3E474837" w14:textId="5BA8DA4A" w:rsidR="008A1642" w:rsidRPr="004A3983" w:rsidRDefault="008A1642" w:rsidP="008A1642">
            <w:pPr>
              <w:spacing w:after="160"/>
              <w:ind w:right="-2"/>
            </w:pPr>
            <w:r w:rsidRPr="004A3983">
              <w:t>OGC</w:t>
            </w:r>
          </w:p>
        </w:tc>
        <w:tc>
          <w:tcPr>
            <w:tcW w:w="3908" w:type="pct"/>
          </w:tcPr>
          <w:p w14:paraId="4FAA4570" w14:textId="5D3B2B1A" w:rsidR="008A1642" w:rsidRPr="004A3983" w:rsidRDefault="008A1642" w:rsidP="008A1642">
            <w:pPr>
              <w:spacing w:after="160"/>
              <w:ind w:right="-2"/>
              <w:cnfStyle w:val="000000100000" w:firstRow="0" w:lastRow="0" w:firstColumn="0" w:lastColumn="0" w:oddVBand="0" w:evenVBand="0" w:oddHBand="1" w:evenHBand="0" w:firstRowFirstColumn="0" w:firstRowLastColumn="0" w:lastRowFirstColumn="0" w:lastRowLastColumn="0"/>
            </w:pPr>
            <w:r w:rsidRPr="004A3983">
              <w:t xml:space="preserve">Office of the General Counsel, </w:t>
            </w:r>
            <w:r w:rsidRPr="004A3983">
              <w:rPr>
                <w:rFonts w:ascii="Gotham Book" w:hAnsi="Gotham Book" w:cs="Arial"/>
              </w:rPr>
              <w:t>a command within the NSW Police Force that provides legal services to the Commissioner of Police and other police officers</w:t>
            </w:r>
          </w:p>
        </w:tc>
      </w:tr>
      <w:tr w:rsidR="008A1642" w:rsidRPr="004A3983" w14:paraId="2F662988" w14:textId="77777777" w:rsidTr="009C5DAD">
        <w:tc>
          <w:tcPr>
            <w:cnfStyle w:val="001000000000" w:firstRow="0" w:lastRow="0" w:firstColumn="1" w:lastColumn="0" w:oddVBand="0" w:evenVBand="0" w:oddHBand="0" w:evenHBand="0" w:firstRowFirstColumn="0" w:firstRowLastColumn="0" w:lastRowFirstColumn="0" w:lastRowLastColumn="0"/>
            <w:tcW w:w="1092" w:type="pct"/>
          </w:tcPr>
          <w:p w14:paraId="7486EBDA" w14:textId="47FCD980" w:rsidR="008A1642" w:rsidRPr="004A3983" w:rsidRDefault="008A1642" w:rsidP="008A1642">
            <w:pPr>
              <w:spacing w:after="160"/>
              <w:ind w:right="-2"/>
            </w:pPr>
            <w:r w:rsidRPr="004A3983">
              <w:t>OIMS</w:t>
            </w:r>
          </w:p>
        </w:tc>
        <w:tc>
          <w:tcPr>
            <w:tcW w:w="3908" w:type="pct"/>
          </w:tcPr>
          <w:p w14:paraId="771302FA" w14:textId="1CC1082B" w:rsidR="008A1642" w:rsidRPr="004A3983" w:rsidRDefault="008A1642" w:rsidP="008A1642">
            <w:pPr>
              <w:spacing w:after="160"/>
              <w:ind w:right="-2"/>
              <w:cnfStyle w:val="000000000000" w:firstRow="0" w:lastRow="0" w:firstColumn="0" w:lastColumn="0" w:oddVBand="0" w:evenVBand="0" w:oddHBand="0" w:evenHBand="0" w:firstRowFirstColumn="0" w:firstRowLastColumn="0" w:lastRowFirstColumn="0" w:lastRowLastColumn="0"/>
            </w:pPr>
            <w:r w:rsidRPr="004A3983">
              <w:t>Offender Integrated Management System, the electronic system used by Corrective Services NSW to manage offenders in custodial facilities</w:t>
            </w:r>
          </w:p>
        </w:tc>
      </w:tr>
      <w:tr w:rsidR="008A1642" w:rsidRPr="004A3983" w14:paraId="32A69462" w14:textId="77777777" w:rsidTr="009C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3BE5D8C8" w14:textId="4D01C2CC" w:rsidR="008A1642" w:rsidRPr="004A3983" w:rsidRDefault="008A1642" w:rsidP="008A1642">
            <w:pPr>
              <w:spacing w:after="160"/>
              <w:ind w:right="-2"/>
            </w:pPr>
            <w:r w:rsidRPr="004A3983">
              <w:t>Operation Tusket</w:t>
            </w:r>
          </w:p>
        </w:tc>
        <w:tc>
          <w:tcPr>
            <w:tcW w:w="3908" w:type="pct"/>
          </w:tcPr>
          <w:p w14:paraId="7BBA3C41" w14:textId="5A2904B6" w:rsidR="008A1642" w:rsidRPr="004A3983" w:rsidRDefault="008A1642" w:rsidP="008A1642">
            <w:pPr>
              <w:spacing w:after="160"/>
              <w:ind w:right="-2"/>
              <w:cnfStyle w:val="000000100000" w:firstRow="0" w:lastRow="0" w:firstColumn="0" w:lastColumn="0" w:oddVBand="0" w:evenVBand="0" w:oddHBand="1" w:evenHBand="0" w:firstRowFirstColumn="0" w:firstRowLastColumn="0" w:lastRowFirstColumn="0" w:lastRowLastColumn="0"/>
            </w:pPr>
            <w:r w:rsidRPr="004A3983">
              <w:t xml:space="preserve">Investigation by the Commission under Part 6 of the </w:t>
            </w:r>
            <w:r w:rsidRPr="004A3983">
              <w:rPr>
                <w:i/>
              </w:rPr>
              <w:t>Law Enforcement Conduct Commission Act 2016</w:t>
            </w:r>
            <w:r w:rsidRPr="004A3983">
              <w:t xml:space="preserve"> (NSW) into alleged ‘agency maladministration’ by the NSW Police Force in relation to the Child Protection Register</w:t>
            </w:r>
          </w:p>
        </w:tc>
      </w:tr>
      <w:tr w:rsidR="008A1642" w:rsidRPr="004A3983" w14:paraId="665A8E68" w14:textId="77777777" w:rsidTr="009C5DAD">
        <w:tc>
          <w:tcPr>
            <w:cnfStyle w:val="001000000000" w:firstRow="0" w:lastRow="0" w:firstColumn="1" w:lastColumn="0" w:oddVBand="0" w:evenVBand="0" w:oddHBand="0" w:evenHBand="0" w:firstRowFirstColumn="0" w:firstRowLastColumn="0" w:lastRowFirstColumn="0" w:lastRowLastColumn="0"/>
            <w:tcW w:w="1092" w:type="pct"/>
          </w:tcPr>
          <w:p w14:paraId="22AB9C4F" w14:textId="2D3BD5EA" w:rsidR="008A1642" w:rsidRPr="004A3983" w:rsidRDefault="008A1642" w:rsidP="008A1642">
            <w:pPr>
              <w:spacing w:after="160"/>
              <w:ind w:right="-2"/>
            </w:pPr>
            <w:r w:rsidRPr="004A3983">
              <w:t>Register</w:t>
            </w:r>
          </w:p>
        </w:tc>
        <w:tc>
          <w:tcPr>
            <w:tcW w:w="3908" w:type="pct"/>
          </w:tcPr>
          <w:p w14:paraId="2C9835F4" w14:textId="40FFC0BB" w:rsidR="008A1642" w:rsidRPr="004A3983" w:rsidRDefault="008A1642" w:rsidP="008A1642">
            <w:pPr>
              <w:spacing w:after="160"/>
              <w:ind w:right="-2"/>
              <w:cnfStyle w:val="000000000000" w:firstRow="0" w:lastRow="0" w:firstColumn="0" w:lastColumn="0" w:oddVBand="0" w:evenVBand="0" w:oddHBand="0" w:evenHBand="0" w:firstRowFirstColumn="0" w:firstRowLastColumn="0" w:lastRowFirstColumn="0" w:lastRowLastColumn="0"/>
            </w:pPr>
            <w:r w:rsidRPr="004A3983">
              <w:t xml:space="preserve">NSW Child Protection Register, established under s 19 of the </w:t>
            </w:r>
            <w:r w:rsidRPr="004A3983">
              <w:rPr>
                <w:i/>
              </w:rPr>
              <w:t>Child Protection (Offenders Registration) Act 2000</w:t>
            </w:r>
            <w:r w:rsidRPr="004A3983">
              <w:t xml:space="preserve"> (NSW)</w:t>
            </w:r>
          </w:p>
        </w:tc>
      </w:tr>
      <w:tr w:rsidR="008A1642" w:rsidRPr="004A3983" w14:paraId="265C1007" w14:textId="77777777" w:rsidTr="009C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0CEB35DE" w14:textId="5A932E94" w:rsidR="008A1642" w:rsidRPr="004A3983" w:rsidRDefault="008A1642" w:rsidP="008A1642">
            <w:pPr>
              <w:spacing w:after="160"/>
              <w:ind w:right="-2"/>
            </w:pPr>
            <w:r w:rsidRPr="004A3983">
              <w:t>Register Staffing Review</w:t>
            </w:r>
          </w:p>
        </w:tc>
        <w:tc>
          <w:tcPr>
            <w:tcW w:w="3908" w:type="pct"/>
          </w:tcPr>
          <w:p w14:paraId="367E4CFB" w14:textId="7D9F8C0A" w:rsidR="008A1642" w:rsidRPr="004A3983" w:rsidRDefault="008A1642" w:rsidP="008A1642">
            <w:pPr>
              <w:spacing w:after="160"/>
              <w:ind w:right="-2"/>
              <w:cnfStyle w:val="000000100000" w:firstRow="0" w:lastRow="0" w:firstColumn="0" w:lastColumn="0" w:oddVBand="0" w:evenVBand="0" w:oddHBand="1" w:evenHBand="0" w:firstRowFirstColumn="0" w:firstRowLastColumn="0" w:lastRowFirstColumn="0" w:lastRowLastColumn="0"/>
            </w:pPr>
            <w:r w:rsidRPr="004A3983">
              <w:t>Review of the NSW Police Force Child Protection Register staffing, conducted by the Workforce Intelligence Unit in the New South Wales Human Resources Command, finalised in July 2017.</w:t>
            </w:r>
          </w:p>
        </w:tc>
      </w:tr>
      <w:tr w:rsidR="008A1642" w:rsidRPr="004A3983" w14:paraId="4E1003CA" w14:textId="77777777" w:rsidTr="009C5DAD">
        <w:tc>
          <w:tcPr>
            <w:cnfStyle w:val="001000000000" w:firstRow="0" w:lastRow="0" w:firstColumn="1" w:lastColumn="0" w:oddVBand="0" w:evenVBand="0" w:oddHBand="0" w:evenHBand="0" w:firstRowFirstColumn="0" w:firstRowLastColumn="0" w:lastRowFirstColumn="0" w:lastRowLastColumn="0"/>
            <w:tcW w:w="1092" w:type="pct"/>
          </w:tcPr>
          <w:p w14:paraId="148CAE1E" w14:textId="629C0F6B" w:rsidR="008A1642" w:rsidRPr="004A3983" w:rsidRDefault="008A1642" w:rsidP="008A1642">
            <w:pPr>
              <w:spacing w:after="160"/>
              <w:ind w:right="-2"/>
            </w:pPr>
            <w:r w:rsidRPr="004A3983">
              <w:t>Registrable offence</w:t>
            </w:r>
          </w:p>
        </w:tc>
        <w:tc>
          <w:tcPr>
            <w:tcW w:w="3908" w:type="pct"/>
          </w:tcPr>
          <w:p w14:paraId="7400642D" w14:textId="0DD2B374" w:rsidR="008A1642" w:rsidRPr="004A3983" w:rsidRDefault="008A1642" w:rsidP="008A1642">
            <w:pPr>
              <w:spacing w:after="160"/>
              <w:ind w:right="-2"/>
              <w:cnfStyle w:val="000000000000" w:firstRow="0" w:lastRow="0" w:firstColumn="0" w:lastColumn="0" w:oddVBand="0" w:evenVBand="0" w:oddHBand="0" w:evenHBand="0" w:firstRowFirstColumn="0" w:firstRowLastColumn="0" w:lastRowFirstColumn="0" w:lastRowLastColumn="0"/>
            </w:pPr>
            <w:r w:rsidRPr="004A3983">
              <w:t xml:space="preserve">Defined in s 3 of the </w:t>
            </w:r>
            <w:r w:rsidRPr="004A3983">
              <w:rPr>
                <w:i/>
              </w:rPr>
              <w:t>Child Protection (Offenders Registration) Act 2000</w:t>
            </w:r>
            <w:r w:rsidRPr="004A3983">
              <w:t xml:space="preserve"> (NSW). If a person is convicted of a ‘registrable offence’ they may become a ‘registrable person’ under that Act.</w:t>
            </w:r>
          </w:p>
        </w:tc>
      </w:tr>
      <w:tr w:rsidR="008A1642" w:rsidRPr="004A3983" w14:paraId="23ECAEC9" w14:textId="77777777" w:rsidTr="009C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3954D321" w14:textId="4A227219" w:rsidR="008A1642" w:rsidRPr="004A3983" w:rsidRDefault="008A1642" w:rsidP="008A1642">
            <w:pPr>
              <w:spacing w:after="160"/>
              <w:ind w:right="-2"/>
            </w:pPr>
            <w:r w:rsidRPr="004A3983">
              <w:t>Registrable person</w:t>
            </w:r>
          </w:p>
        </w:tc>
        <w:tc>
          <w:tcPr>
            <w:tcW w:w="3908" w:type="pct"/>
          </w:tcPr>
          <w:p w14:paraId="06346AAA" w14:textId="082337DB" w:rsidR="008A1642" w:rsidRPr="004A3983" w:rsidRDefault="008A1642" w:rsidP="008A1642">
            <w:pPr>
              <w:spacing w:after="160"/>
              <w:ind w:right="-2"/>
              <w:cnfStyle w:val="000000100000" w:firstRow="0" w:lastRow="0" w:firstColumn="0" w:lastColumn="0" w:oddVBand="0" w:evenVBand="0" w:oddHBand="1" w:evenHBand="0" w:firstRowFirstColumn="0" w:firstRowLastColumn="0" w:lastRowFirstColumn="0" w:lastRowLastColumn="0"/>
            </w:pPr>
            <w:r w:rsidRPr="004A3983">
              <w:t>Defined in s 3A of the</w:t>
            </w:r>
            <w:r w:rsidRPr="004A3983">
              <w:rPr>
                <w:i/>
              </w:rPr>
              <w:t xml:space="preserve"> Child Protection (Offenders Registration) Act 2000</w:t>
            </w:r>
            <w:r w:rsidRPr="004A3983">
              <w:t xml:space="preserve"> (NSW) as a person who has been sentenced for a registrable offence.</w:t>
            </w:r>
          </w:p>
        </w:tc>
      </w:tr>
      <w:tr w:rsidR="008A1642" w:rsidRPr="004A3983" w14:paraId="6D15B18A" w14:textId="77777777" w:rsidTr="009C5DAD">
        <w:tc>
          <w:tcPr>
            <w:cnfStyle w:val="001000000000" w:firstRow="0" w:lastRow="0" w:firstColumn="1" w:lastColumn="0" w:oddVBand="0" w:evenVBand="0" w:oddHBand="0" w:evenHBand="0" w:firstRowFirstColumn="0" w:firstRowLastColumn="0" w:lastRowFirstColumn="0" w:lastRowLastColumn="0"/>
            <w:tcW w:w="1092" w:type="pct"/>
          </w:tcPr>
          <w:p w14:paraId="3D92A21C" w14:textId="5CFF8169" w:rsidR="008A1642" w:rsidRPr="004A3983" w:rsidRDefault="008A1642" w:rsidP="008A1642">
            <w:pPr>
              <w:spacing w:after="160"/>
              <w:ind w:right="-2"/>
            </w:pPr>
            <w:r w:rsidRPr="004A3983">
              <w:lastRenderedPageBreak/>
              <w:t>Registry</w:t>
            </w:r>
          </w:p>
        </w:tc>
        <w:tc>
          <w:tcPr>
            <w:tcW w:w="3908" w:type="pct"/>
          </w:tcPr>
          <w:p w14:paraId="3D61D42E" w14:textId="51147C46" w:rsidR="008A1642" w:rsidRPr="004A3983" w:rsidRDefault="008A1642" w:rsidP="008A1642">
            <w:pPr>
              <w:spacing w:after="160"/>
              <w:ind w:right="-2"/>
              <w:cnfStyle w:val="000000000000" w:firstRow="0" w:lastRow="0" w:firstColumn="0" w:lastColumn="0" w:oddVBand="0" w:evenVBand="0" w:oddHBand="0" w:evenHBand="0" w:firstRowFirstColumn="0" w:firstRowLastColumn="0" w:lastRowFirstColumn="0" w:lastRowLastColumn="0"/>
            </w:pPr>
            <w:r w:rsidRPr="004A3983">
              <w:t>The Child Protection Registry, a specialist unit in the Child Abuse and Sex Crimes Squad, in the State Crime Command of the NSW Police Force</w:t>
            </w:r>
          </w:p>
        </w:tc>
      </w:tr>
      <w:tr w:rsidR="008A1642" w:rsidRPr="004A3983" w14:paraId="53B0BA92" w14:textId="77777777" w:rsidTr="009C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7D1AD786" w14:textId="19F06F2F" w:rsidR="008A1642" w:rsidRPr="004A3983" w:rsidRDefault="008A1642" w:rsidP="008A1642">
            <w:pPr>
              <w:spacing w:after="160"/>
              <w:ind w:right="-2"/>
            </w:pPr>
            <w:r w:rsidRPr="004A3983">
              <w:t>Registry Manager</w:t>
            </w:r>
          </w:p>
        </w:tc>
        <w:tc>
          <w:tcPr>
            <w:tcW w:w="3908" w:type="pct"/>
          </w:tcPr>
          <w:p w14:paraId="09CB34AE" w14:textId="37E62B2D" w:rsidR="008A1642" w:rsidRPr="004A3983" w:rsidRDefault="008A1642" w:rsidP="008A1642">
            <w:pPr>
              <w:spacing w:after="160"/>
              <w:ind w:right="-2"/>
              <w:cnfStyle w:val="000000100000" w:firstRow="0" w:lastRow="0" w:firstColumn="0" w:lastColumn="0" w:oddVBand="0" w:evenVBand="0" w:oddHBand="1" w:evenHBand="0" w:firstRowFirstColumn="0" w:firstRowLastColumn="0" w:lastRowFirstColumn="0" w:lastRowLastColumn="0"/>
            </w:pPr>
            <w:r w:rsidRPr="004A3983">
              <w:t>Manager of the New South Wales Police Force Child Protection Registry</w:t>
            </w:r>
          </w:p>
        </w:tc>
      </w:tr>
      <w:tr w:rsidR="008A1642" w:rsidRPr="004A3983" w14:paraId="364F6BC5" w14:textId="77777777" w:rsidTr="009C5DAD">
        <w:tc>
          <w:tcPr>
            <w:cnfStyle w:val="001000000000" w:firstRow="0" w:lastRow="0" w:firstColumn="1" w:lastColumn="0" w:oddVBand="0" w:evenVBand="0" w:oddHBand="0" w:evenHBand="0" w:firstRowFirstColumn="0" w:firstRowLastColumn="0" w:lastRowFirstColumn="0" w:lastRowLastColumn="0"/>
            <w:tcW w:w="1092" w:type="pct"/>
          </w:tcPr>
          <w:p w14:paraId="55B3C61C" w14:textId="0C0EC1D4" w:rsidR="008A1642" w:rsidRPr="004A3983" w:rsidRDefault="008A1642" w:rsidP="008A1642">
            <w:pPr>
              <w:spacing w:after="160"/>
              <w:ind w:right="-2"/>
            </w:pPr>
            <w:r w:rsidRPr="004A3983">
              <w:t>Reporting obligations</w:t>
            </w:r>
          </w:p>
        </w:tc>
        <w:tc>
          <w:tcPr>
            <w:tcW w:w="3908" w:type="pct"/>
          </w:tcPr>
          <w:p w14:paraId="6CC40061" w14:textId="73F1531F" w:rsidR="008A1642" w:rsidRPr="004A3983" w:rsidRDefault="008A1642" w:rsidP="008A1642">
            <w:pPr>
              <w:spacing w:after="160"/>
              <w:ind w:right="-2"/>
              <w:cnfStyle w:val="000000000000" w:firstRow="0" w:lastRow="0" w:firstColumn="0" w:lastColumn="0" w:oddVBand="0" w:evenVBand="0" w:oddHBand="0" w:evenHBand="0" w:firstRowFirstColumn="0" w:firstRowLastColumn="0" w:lastRowFirstColumn="0" w:lastRowLastColumn="0"/>
            </w:pPr>
            <w:r w:rsidRPr="004A3983">
              <w:t xml:space="preserve">Requirements in Part 3 of the </w:t>
            </w:r>
            <w:r w:rsidRPr="004A3983">
              <w:rPr>
                <w:i/>
              </w:rPr>
              <w:t>Child Protection (Offenders Registration) Act 2000</w:t>
            </w:r>
            <w:r w:rsidRPr="004A3983">
              <w:t xml:space="preserve"> (NSW) that registrable persons report certain personal information to the NSW Police Force within certain timeframes</w:t>
            </w:r>
          </w:p>
        </w:tc>
      </w:tr>
      <w:tr w:rsidR="008A1642" w:rsidRPr="004A3983" w14:paraId="3BC8BE3C" w14:textId="77777777" w:rsidTr="009C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74B58ED4" w14:textId="56A6811D" w:rsidR="008A1642" w:rsidRPr="004A3983" w:rsidRDefault="008A1642" w:rsidP="008A1642">
            <w:pPr>
              <w:spacing w:after="160"/>
              <w:ind w:right="-2"/>
            </w:pPr>
            <w:r w:rsidRPr="004A3983">
              <w:t>Reporting period</w:t>
            </w:r>
          </w:p>
        </w:tc>
        <w:tc>
          <w:tcPr>
            <w:tcW w:w="3908" w:type="pct"/>
          </w:tcPr>
          <w:p w14:paraId="74354C9B" w14:textId="49C1587C" w:rsidR="008A1642" w:rsidRPr="004A3983" w:rsidRDefault="008A1642" w:rsidP="008A1642">
            <w:pPr>
              <w:spacing w:after="160"/>
              <w:ind w:right="-2"/>
              <w:cnfStyle w:val="000000100000" w:firstRow="0" w:lastRow="0" w:firstColumn="0" w:lastColumn="0" w:oddVBand="0" w:evenVBand="0" w:oddHBand="1" w:evenHBand="0" w:firstRowFirstColumn="0" w:firstRowLastColumn="0" w:lastRowFirstColumn="0" w:lastRowLastColumn="0"/>
            </w:pPr>
            <w:r w:rsidRPr="004A3983">
              <w:t>Length of time for which a person must comply with the reporting obligations in the</w:t>
            </w:r>
            <w:r w:rsidRPr="004A3983">
              <w:rPr>
                <w:i/>
              </w:rPr>
              <w:t xml:space="preserve"> Child Protection (Offenders Registration) Act 2000</w:t>
            </w:r>
            <w:r w:rsidRPr="004A3983">
              <w:t xml:space="preserve"> (NSW)</w:t>
            </w:r>
          </w:p>
        </w:tc>
      </w:tr>
      <w:tr w:rsidR="008A1642" w:rsidRPr="004A3983" w14:paraId="0F813D0A" w14:textId="77777777" w:rsidTr="009C5DAD">
        <w:tc>
          <w:tcPr>
            <w:cnfStyle w:val="001000000000" w:firstRow="0" w:lastRow="0" w:firstColumn="1" w:lastColumn="0" w:oddVBand="0" w:evenVBand="0" w:oddHBand="0" w:evenHBand="0" w:firstRowFirstColumn="0" w:firstRowLastColumn="0" w:lastRowFirstColumn="0" w:lastRowLastColumn="0"/>
            <w:tcW w:w="1092" w:type="pct"/>
          </w:tcPr>
          <w:p w14:paraId="2F66ABFB" w14:textId="4265EC7F" w:rsidR="008A1642" w:rsidRPr="004A3983" w:rsidRDefault="008A1642" w:rsidP="008A1642">
            <w:pPr>
              <w:spacing w:after="160"/>
              <w:ind w:right="-2"/>
            </w:pPr>
            <w:r w:rsidRPr="004A3983">
              <w:t>Supervising authority</w:t>
            </w:r>
          </w:p>
        </w:tc>
        <w:tc>
          <w:tcPr>
            <w:tcW w:w="3908" w:type="pct"/>
          </w:tcPr>
          <w:p w14:paraId="10E07F53" w14:textId="6542ADFA" w:rsidR="008A1642" w:rsidRPr="004A3983" w:rsidRDefault="008A1642" w:rsidP="008A1642">
            <w:pPr>
              <w:spacing w:after="160"/>
              <w:ind w:right="-2"/>
              <w:cnfStyle w:val="000000000000" w:firstRow="0" w:lastRow="0" w:firstColumn="0" w:lastColumn="0" w:oddVBand="0" w:evenVBand="0" w:oddHBand="0" w:evenHBand="0" w:firstRowFirstColumn="0" w:firstRowLastColumn="0" w:lastRowFirstColumn="0" w:lastRowLastColumn="0"/>
              <w:rPr>
                <w:rFonts w:ascii="Gotham Book" w:eastAsia="Source Sans Pro Light" w:hAnsi="Gotham Book" w:cs="ArialMT"/>
              </w:rPr>
            </w:pPr>
            <w:r w:rsidRPr="004A3983">
              <w:rPr>
                <w:rFonts w:ascii="Gotham Book" w:eastAsia="Source Sans Pro Light" w:hAnsi="Gotham Book" w:cs="ArialMT"/>
              </w:rPr>
              <w:t xml:space="preserve">A government agency that is prescribed under the </w:t>
            </w:r>
            <w:r w:rsidRPr="004A3983">
              <w:rPr>
                <w:rFonts w:ascii="Gotham Book" w:eastAsia="Source Sans Pro Light" w:hAnsi="Gotham Book" w:cs="ArialMT"/>
                <w:i/>
              </w:rPr>
              <w:t>Child Protection (Offenders Registration) Regulation 2015</w:t>
            </w:r>
            <w:r w:rsidRPr="004A3983">
              <w:rPr>
                <w:rFonts w:ascii="Gotham Book" w:eastAsia="Source Sans Pro Light" w:hAnsi="Gotham Book" w:cs="ArialMT"/>
              </w:rPr>
              <w:t xml:space="preserve"> (NSW) as having control of a registrable person (for example, Corrective Services NSW). </w:t>
            </w:r>
          </w:p>
        </w:tc>
      </w:tr>
      <w:tr w:rsidR="008A1642" w:rsidRPr="004A3983" w14:paraId="1DC5D532" w14:textId="77777777" w:rsidTr="009C5DAD">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092" w:type="pct"/>
          </w:tcPr>
          <w:p w14:paraId="707DFFD0" w14:textId="0665A5A7" w:rsidR="008A1642" w:rsidRPr="004A3983" w:rsidRDefault="008A1642" w:rsidP="008A1642">
            <w:pPr>
              <w:spacing w:after="160"/>
              <w:ind w:right="-2"/>
            </w:pPr>
            <w:r w:rsidRPr="004A3983">
              <w:t>Treasury Managed Fund</w:t>
            </w:r>
          </w:p>
        </w:tc>
        <w:tc>
          <w:tcPr>
            <w:tcW w:w="3908" w:type="pct"/>
          </w:tcPr>
          <w:p w14:paraId="2CCBB404" w14:textId="0A90819E" w:rsidR="008A1642" w:rsidRPr="004A3983" w:rsidRDefault="008A1642" w:rsidP="008A1642">
            <w:pPr>
              <w:spacing w:after="160"/>
              <w:ind w:right="-2"/>
              <w:cnfStyle w:val="000000100000" w:firstRow="0" w:lastRow="0" w:firstColumn="0" w:lastColumn="0" w:oddVBand="0" w:evenVBand="0" w:oddHBand="1" w:evenHBand="0" w:firstRowFirstColumn="0" w:firstRowLastColumn="0" w:lastRowFirstColumn="0" w:lastRowLastColumn="0"/>
            </w:pPr>
            <w:r w:rsidRPr="004A3983">
              <w:t>An insurance</w:t>
            </w:r>
            <w:r w:rsidRPr="004A3983">
              <w:rPr>
                <w:lang w:val="en"/>
              </w:rPr>
              <w:t xml:space="preserve"> scheme created by the NSW Government to insure NSW government agencies </w:t>
            </w:r>
          </w:p>
        </w:tc>
      </w:tr>
    </w:tbl>
    <w:p w14:paraId="21ECFA47" w14:textId="77777777" w:rsidR="00A6283A" w:rsidRPr="004A3983" w:rsidRDefault="00A6283A" w:rsidP="00E42A61">
      <w:pPr>
        <w:spacing w:after="160"/>
        <w:ind w:right="-2"/>
      </w:pPr>
    </w:p>
    <w:p w14:paraId="1B4A40CC" w14:textId="77777777" w:rsidR="008A6F8A" w:rsidRPr="004A3983" w:rsidRDefault="008A6F8A" w:rsidP="00E42A61">
      <w:pPr>
        <w:spacing w:after="160"/>
        <w:ind w:right="-2"/>
      </w:pPr>
    </w:p>
    <w:p w14:paraId="0AA4A522" w14:textId="77777777" w:rsidR="00496A71" w:rsidRPr="004A3983" w:rsidRDefault="00496A71" w:rsidP="00E42A61">
      <w:pPr>
        <w:spacing w:after="160"/>
        <w:ind w:right="-2"/>
        <w:sectPr w:rsidR="00496A71" w:rsidRPr="004A3983" w:rsidSect="00C36AFD">
          <w:headerReference w:type="even" r:id="rId66"/>
          <w:headerReference w:type="default" r:id="rId67"/>
          <w:headerReference w:type="first" r:id="rId68"/>
          <w:pgSz w:w="11906" w:h="16838"/>
          <w:pgMar w:top="720" w:right="1276" w:bottom="1418" w:left="1276" w:header="709" w:footer="567" w:gutter="0"/>
          <w:cols w:space="708"/>
          <w:titlePg/>
          <w:docGrid w:linePitch="360"/>
        </w:sectPr>
      </w:pPr>
    </w:p>
    <w:p w14:paraId="235558D7" w14:textId="77777777" w:rsidR="008A6F8A" w:rsidRPr="004A3983" w:rsidRDefault="008A6F8A" w:rsidP="00E42A61">
      <w:pPr>
        <w:spacing w:after="160"/>
        <w:ind w:right="-2"/>
        <w:sectPr w:rsidR="008A6F8A" w:rsidRPr="004A3983" w:rsidSect="00C36AFD">
          <w:headerReference w:type="even" r:id="rId69"/>
          <w:headerReference w:type="default" r:id="rId70"/>
          <w:headerReference w:type="first" r:id="rId71"/>
          <w:type w:val="continuous"/>
          <w:pgSz w:w="11906" w:h="16838"/>
          <w:pgMar w:top="720" w:right="1276" w:bottom="1418" w:left="1276" w:header="709" w:footer="567" w:gutter="0"/>
          <w:cols w:space="708"/>
          <w:docGrid w:linePitch="360"/>
        </w:sectPr>
      </w:pPr>
    </w:p>
    <w:p w14:paraId="5844F024" w14:textId="6DAA8D1F" w:rsidR="00EB10B3" w:rsidRPr="004A3983" w:rsidRDefault="00EB10B3" w:rsidP="00F84ADE">
      <w:pPr>
        <w:pStyle w:val="NonTOCHeading1"/>
      </w:pPr>
      <w:r w:rsidRPr="004A3983">
        <w:lastRenderedPageBreak/>
        <w:t xml:space="preserve">CONTACT </w:t>
      </w:r>
      <w:r w:rsidRPr="00F84ADE">
        <w:t>INFORMATION</w:t>
      </w:r>
    </w:p>
    <w:p w14:paraId="33DB3465" w14:textId="77777777" w:rsidR="00153F07" w:rsidRPr="004A3983" w:rsidRDefault="00153F07" w:rsidP="00D60629">
      <w:pPr>
        <w:spacing w:after="160"/>
        <w:ind w:right="260"/>
      </w:pPr>
    </w:p>
    <w:p w14:paraId="71B30897" w14:textId="5E8F7950" w:rsidR="00D60629" w:rsidRPr="004A3983" w:rsidRDefault="00D60629" w:rsidP="00D60629">
      <w:pPr>
        <w:spacing w:after="160"/>
        <w:ind w:right="260"/>
      </w:pPr>
      <w:r w:rsidRPr="004A3983">
        <w:t xml:space="preserve">Law Enforcement Conduct Commission </w:t>
      </w:r>
      <w:r w:rsidRPr="004A3983">
        <w:br/>
        <w:t>Level 3, 111 Elizabeth Street</w:t>
      </w:r>
      <w:r w:rsidRPr="004A3983">
        <w:br/>
        <w:t xml:space="preserve">Sydney NSW 2000 </w:t>
      </w:r>
      <w:r w:rsidRPr="004A3983">
        <w:br/>
        <w:t xml:space="preserve">email: </w:t>
      </w:r>
      <w:hyperlink r:id="rId72" w:history="1">
        <w:r w:rsidRPr="004A3983">
          <w:rPr>
            <w:rStyle w:val="Hyperlink"/>
            <w:i/>
            <w:iCs/>
            <w:color w:val="5B9BD5"/>
          </w:rPr>
          <w:t>contactus@lecc.nsw.gov.au</w:t>
        </w:r>
      </w:hyperlink>
      <w:r w:rsidRPr="004A3983">
        <w:rPr>
          <w:i/>
          <w:iCs/>
          <w:color w:val="5B9BD5"/>
          <w:u w:val="single"/>
        </w:rPr>
        <w:br/>
      </w:r>
      <w:r w:rsidRPr="004A3983">
        <w:rPr>
          <w:i/>
          <w:iCs/>
          <w:color w:val="5B9BD5"/>
          <w:u w:val="single"/>
        </w:rPr>
        <w:br/>
      </w:r>
      <w:r w:rsidRPr="004A3983">
        <w:t>Postal address</w:t>
      </w:r>
      <w:r w:rsidRPr="004A3983">
        <w:br/>
        <w:t>GPO Box 3880</w:t>
      </w:r>
      <w:r w:rsidRPr="004A3983">
        <w:br/>
        <w:t>Sydney NSW 2001</w:t>
      </w:r>
      <w:r w:rsidRPr="004A3983">
        <w:br/>
        <w:t>Phone: (02) 9321 6700</w:t>
      </w:r>
      <w:r w:rsidRPr="004A3983">
        <w:br/>
        <w:t xml:space="preserve">Toll free: 1800 657 079 </w:t>
      </w:r>
      <w:r w:rsidRPr="004A3983">
        <w:br/>
        <w:t>Fax: (02) 9321 6799</w:t>
      </w:r>
      <w:r w:rsidRPr="004A3983">
        <w:br/>
      </w:r>
      <w:r w:rsidRPr="004A3983">
        <w:br/>
        <w:t>Hours of operation</w:t>
      </w:r>
      <w:r w:rsidRPr="004A3983">
        <w:br/>
        <w:t>08:30am to 4:30pm Monday to Friday (excluding weekends and public holidays)</w:t>
      </w:r>
      <w:r w:rsidRPr="004A3983">
        <w:br/>
      </w:r>
      <w:r w:rsidRPr="004A3983">
        <w:br/>
      </w:r>
      <w:r w:rsidRPr="004A3983">
        <w:br/>
        <w:t xml:space="preserve">Copyright: © State of New South Wales through the Law Enforcement Conduct Commission, NSW, Australia, 2000. You may copy, distribute, display, download and otherwise freely deal with this work for any purpose, provided that you attribute the Law Enforcement Conduct Commission as the owner. However, you must obtain permission from the Commission if you wish to (a) charge others for access to the work (other than at cost), (b) include the work in advertising or a product for sale, or (c) modify the work. </w:t>
      </w:r>
      <w:r w:rsidRPr="004A3983">
        <w:br/>
      </w:r>
      <w:r w:rsidRPr="004A3983">
        <w:br/>
      </w:r>
      <w:r w:rsidRPr="004A3983">
        <w:br/>
        <w:t xml:space="preserve">Disclaimer: This document has been prepared by the Law Enforcement Conduct Commission for general information purposes. While every care has been taken in relation to its accuracy, no warranty is given or implied. Further, recipients should obtain their own independent advice before making any decision that relies on this information. This report is available on the Commission’s website: </w:t>
      </w:r>
      <w:hyperlink r:id="rId73" w:history="1">
        <w:r w:rsidRPr="004A3983">
          <w:rPr>
            <w:rStyle w:val="Hyperlink"/>
            <w:color w:val="auto"/>
          </w:rPr>
          <w:t>www.lecc.nsw.gov.au</w:t>
        </w:r>
      </w:hyperlink>
      <w:r w:rsidRPr="004A3983">
        <w:t xml:space="preserve">. For alternative formats such as Braille, audiotape, large print or computer disk, contact the Manager, Community Engagement by email: </w:t>
      </w:r>
      <w:hyperlink r:id="rId74" w:history="1">
        <w:r w:rsidRPr="004A3983">
          <w:rPr>
            <w:rStyle w:val="Hyperlink"/>
            <w:i/>
            <w:iCs/>
            <w:color w:val="5B9BD5"/>
          </w:rPr>
          <w:t>media@lecc.nsw.gov.au</w:t>
        </w:r>
      </w:hyperlink>
      <w:r w:rsidRPr="004A3983">
        <w:t xml:space="preserve"> or phone: (02) 9321 6700, toll free: 1800 657 079 or fax: (02) 9321 6799. </w:t>
      </w:r>
    </w:p>
    <w:p w14:paraId="7C5D8815" w14:textId="77777777" w:rsidR="00D60629" w:rsidRPr="004A3983" w:rsidRDefault="00D60629" w:rsidP="00D60629"/>
    <w:p w14:paraId="7D189BE3" w14:textId="74A4A943" w:rsidR="00D60629" w:rsidRPr="004A3983" w:rsidRDefault="00D60629" w:rsidP="00D60629">
      <w:pPr>
        <w:rPr>
          <w:b/>
          <w:bCs/>
        </w:rPr>
      </w:pPr>
      <w:r w:rsidRPr="004A3983">
        <w:t xml:space="preserve">ISBN: </w:t>
      </w:r>
      <w:r w:rsidRPr="004A3983">
        <w:rPr>
          <w:b/>
          <w:bCs/>
        </w:rPr>
        <w:t>978-1-74003-016-8</w:t>
      </w:r>
    </w:p>
    <w:p w14:paraId="752D8E60" w14:textId="77777777" w:rsidR="00432366" w:rsidRPr="004A3983" w:rsidRDefault="00432366" w:rsidP="00D60629">
      <w:pPr>
        <w:sectPr w:rsidR="00432366" w:rsidRPr="004A3983" w:rsidSect="00C36AFD">
          <w:headerReference w:type="even" r:id="rId75"/>
          <w:headerReference w:type="default" r:id="rId76"/>
          <w:headerReference w:type="first" r:id="rId77"/>
          <w:pgSz w:w="11906" w:h="16838"/>
          <w:pgMar w:top="720" w:right="1276" w:bottom="1418" w:left="1276" w:header="709" w:footer="567" w:gutter="0"/>
          <w:cols w:space="708"/>
          <w:docGrid w:linePitch="360"/>
        </w:sectPr>
      </w:pPr>
    </w:p>
    <w:p w14:paraId="588390D2" w14:textId="3CF74562" w:rsidR="00432366" w:rsidRPr="004A3983" w:rsidRDefault="00432366" w:rsidP="00D60629"/>
    <w:p w14:paraId="6899492E" w14:textId="5B99480B" w:rsidR="00503778" w:rsidRPr="004A3983" w:rsidRDefault="00503778" w:rsidP="00503778"/>
    <w:p w14:paraId="226DC223" w14:textId="3D5F9F65" w:rsidR="00432366" w:rsidRPr="004A3983" w:rsidRDefault="00503778" w:rsidP="00503778">
      <w:pPr>
        <w:tabs>
          <w:tab w:val="left" w:pos="5145"/>
        </w:tabs>
      </w:pPr>
      <w:r w:rsidRPr="004A3983">
        <w:tab/>
      </w:r>
    </w:p>
    <w:p w14:paraId="5F149A3E" w14:textId="77777777" w:rsidR="00432366" w:rsidRPr="004A3983" w:rsidRDefault="00432366" w:rsidP="007332E4">
      <w:pPr>
        <w:jc w:val="center"/>
      </w:pPr>
    </w:p>
    <w:p w14:paraId="7F52846F" w14:textId="77777777" w:rsidR="00432366" w:rsidRPr="004A3983" w:rsidRDefault="00432366" w:rsidP="00432366"/>
    <w:p w14:paraId="399351C6" w14:textId="77777777" w:rsidR="00432366" w:rsidRPr="004A3983" w:rsidRDefault="00432366" w:rsidP="00432366"/>
    <w:p w14:paraId="2FA7232E" w14:textId="77777777" w:rsidR="00432366" w:rsidRPr="004A3983" w:rsidRDefault="00432366" w:rsidP="00432366"/>
    <w:p w14:paraId="49462E68" w14:textId="77777777" w:rsidR="00432366" w:rsidRPr="004A3983" w:rsidRDefault="00432366" w:rsidP="00432366"/>
    <w:p w14:paraId="571175C9" w14:textId="77777777" w:rsidR="00432366" w:rsidRPr="004A3983" w:rsidRDefault="00432366" w:rsidP="00432366"/>
    <w:p w14:paraId="6847C0B8" w14:textId="77777777" w:rsidR="00432366" w:rsidRPr="004A3983" w:rsidRDefault="00432366" w:rsidP="00432366"/>
    <w:p w14:paraId="12F3DBBD" w14:textId="77777777" w:rsidR="00432366" w:rsidRPr="004A3983" w:rsidRDefault="00432366" w:rsidP="00432366"/>
    <w:p w14:paraId="6178B510" w14:textId="77777777" w:rsidR="00432366" w:rsidRPr="004A3983" w:rsidRDefault="00432366" w:rsidP="0065252E">
      <w:pPr>
        <w:jc w:val="center"/>
      </w:pPr>
    </w:p>
    <w:p w14:paraId="661A19B0" w14:textId="2CBE3F8D" w:rsidR="00432366" w:rsidRPr="004A3983" w:rsidRDefault="00432366" w:rsidP="00432366"/>
    <w:p w14:paraId="63E0D6C9" w14:textId="77777777" w:rsidR="00432366" w:rsidRPr="004A3983" w:rsidRDefault="00432366" w:rsidP="00432366"/>
    <w:p w14:paraId="728C74A3" w14:textId="77777777" w:rsidR="00432366" w:rsidRPr="004A3983" w:rsidRDefault="00432366" w:rsidP="00432366"/>
    <w:p w14:paraId="1872AAB4" w14:textId="11638488" w:rsidR="00432366" w:rsidRPr="004A3983" w:rsidRDefault="00432366" w:rsidP="00432366"/>
    <w:p w14:paraId="31E01DDD" w14:textId="65B0C6FB" w:rsidR="008A6F8A" w:rsidRPr="00432366" w:rsidRDefault="00432366" w:rsidP="00432366">
      <w:pPr>
        <w:tabs>
          <w:tab w:val="left" w:pos="2835"/>
        </w:tabs>
      </w:pPr>
      <w:r w:rsidRPr="004A3983">
        <w:tab/>
      </w:r>
      <w:r w:rsidR="004843AC" w:rsidRPr="004A3983">
        <w:rPr>
          <w:noProof/>
          <w:lang w:eastAsia="en-AU"/>
        </w:rPr>
        <mc:AlternateContent>
          <mc:Choice Requires="wps">
            <w:drawing>
              <wp:anchor distT="0" distB="0" distL="114300" distR="114300" simplePos="0" relativeHeight="251658247" behindDoc="0" locked="1" layoutInCell="1" allowOverlap="1" wp14:anchorId="49CE73A2" wp14:editId="56B5AC9E">
                <wp:simplePos x="0" y="0"/>
                <wp:positionH relativeFrom="column">
                  <wp:posOffset>0</wp:posOffset>
                </wp:positionH>
                <wp:positionV relativeFrom="paragraph">
                  <wp:posOffset>1181100</wp:posOffset>
                </wp:positionV>
                <wp:extent cx="2037080" cy="2789555"/>
                <wp:effectExtent l="0" t="0" r="0" b="0"/>
                <wp:wrapNone/>
                <wp:docPr id="29" name="Text Box 29"/>
                <wp:cNvGraphicFramePr/>
                <a:graphic xmlns:a="http://schemas.openxmlformats.org/drawingml/2006/main">
                  <a:graphicData uri="http://schemas.microsoft.com/office/word/2010/wordprocessingShape">
                    <wps:wsp>
                      <wps:cNvSpPr txBox="1"/>
                      <wps:spPr>
                        <a:xfrm>
                          <a:off x="0" y="0"/>
                          <a:ext cx="2037080" cy="2789555"/>
                        </a:xfrm>
                        <a:prstGeom prst="rect">
                          <a:avLst/>
                        </a:prstGeom>
                        <a:noFill/>
                        <a:ln w="6350">
                          <a:noFill/>
                        </a:ln>
                      </wps:spPr>
                      <wps:txbx>
                        <w:txbxContent>
                          <w:p w14:paraId="37613586" w14:textId="77777777" w:rsidR="0042789D" w:rsidRDefault="0042789D" w:rsidP="004843AC">
                            <w:pPr>
                              <w:spacing w:before="200" w:after="0" w:line="220" w:lineRule="atLeast"/>
                              <w:rPr>
                                <w:color w:val="0067A0" w:themeColor="accent1"/>
                                <w:sz w:val="18"/>
                              </w:rPr>
                            </w:pPr>
                            <w:r>
                              <w:rPr>
                                <w:noProof/>
                                <w:lang w:eastAsia="en-AU"/>
                              </w:rPr>
                              <w:drawing>
                                <wp:inline distT="0" distB="0" distL="0" distR="0" wp14:anchorId="4081C26A" wp14:editId="4D0C233D">
                                  <wp:extent cx="1846580" cy="925064"/>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blue.png"/>
                                          <pic:cNvPicPr/>
                                        </pic:nvPicPr>
                                        <pic:blipFill>
                                          <a:blip r:embed="rId78" cstate="print">
                                            <a:extLst>
                                              <a:ext uri="{28A0092B-C50C-407E-A947-70E740481C1C}">
                                                <a14:useLocalDpi xmlns:a14="http://schemas.microsoft.com/office/drawing/2010/main" val="0"/>
                                              </a:ext>
                                            </a:extLst>
                                          </a:blip>
                                          <a:stretch>
                                            <a:fillRect/>
                                          </a:stretch>
                                        </pic:blipFill>
                                        <pic:spPr>
                                          <a:xfrm>
                                            <a:off x="0" y="0"/>
                                            <a:ext cx="1846580" cy="925064"/>
                                          </a:xfrm>
                                          <a:prstGeom prst="rect">
                                            <a:avLst/>
                                          </a:prstGeom>
                                        </pic:spPr>
                                      </pic:pic>
                                    </a:graphicData>
                                  </a:graphic>
                                </wp:inline>
                              </w:drawing>
                            </w:r>
                          </w:p>
                          <w:p w14:paraId="274F3285" w14:textId="77777777" w:rsidR="0042789D" w:rsidRDefault="0042789D" w:rsidP="004843AC">
                            <w:pPr>
                              <w:pStyle w:val="Contactdetails"/>
                            </w:pPr>
                          </w:p>
                          <w:p w14:paraId="2451CDD1" w14:textId="77777777" w:rsidR="0042789D" w:rsidRPr="00AE58C8" w:rsidRDefault="0042789D" w:rsidP="004843AC">
                            <w:pPr>
                              <w:pStyle w:val="Contactdetails"/>
                            </w:pPr>
                            <w:r w:rsidRPr="00AE58C8">
                              <w:rPr>
                                <w:color w:val="0067A0" w:themeColor="accent1"/>
                              </w:rPr>
                              <w:t>Phone</w:t>
                            </w:r>
                            <w:r w:rsidRPr="00AE58C8">
                              <w:t xml:space="preserve"> 02 9321 6700</w:t>
                            </w:r>
                            <w:r w:rsidRPr="00AE58C8">
                              <w:br/>
                            </w:r>
                            <w:r w:rsidRPr="00AE58C8">
                              <w:rPr>
                                <w:color w:val="0067A0" w:themeColor="accent1"/>
                              </w:rPr>
                              <w:t>Fax</w:t>
                            </w:r>
                            <w:r w:rsidRPr="00AE58C8">
                              <w:t xml:space="preserve"> 02 9321 6799</w:t>
                            </w:r>
                          </w:p>
                          <w:p w14:paraId="715198EC" w14:textId="77777777" w:rsidR="0042789D" w:rsidRPr="00AE58C8" w:rsidRDefault="0042789D" w:rsidP="004843AC">
                            <w:pPr>
                              <w:pStyle w:val="Contactdetails"/>
                            </w:pPr>
                            <w:r w:rsidRPr="00AE58C8">
                              <w:t xml:space="preserve">Level 3, 111 Elizabeth Street, </w:t>
                            </w:r>
                            <w:r w:rsidRPr="00AE58C8">
                              <w:br/>
                              <w:t>Sydney NSW 2000</w:t>
                            </w:r>
                          </w:p>
                          <w:p w14:paraId="6264994F" w14:textId="77777777" w:rsidR="0042789D" w:rsidRPr="00AE58C8" w:rsidRDefault="0042789D" w:rsidP="004843AC">
                            <w:pPr>
                              <w:pStyle w:val="Contactdetails"/>
                            </w:pPr>
                            <w:r w:rsidRPr="00AE58C8">
                              <w:rPr>
                                <w:color w:val="0067A0" w:themeColor="accent1"/>
                              </w:rPr>
                              <w:t xml:space="preserve">Postal address </w:t>
                            </w:r>
                            <w:r w:rsidRPr="00AE58C8">
                              <w:br/>
                              <w:t xml:space="preserve">GPO Box 3880, </w:t>
                            </w:r>
                            <w:r w:rsidRPr="00AE58C8">
                              <w:br/>
                              <w:t>Sydney NSW 2001</w:t>
                            </w:r>
                          </w:p>
                          <w:p w14:paraId="485A440A" w14:textId="77777777" w:rsidR="0042789D" w:rsidRPr="00AE58C8" w:rsidRDefault="0042789D" w:rsidP="004843AC">
                            <w:pPr>
                              <w:pStyle w:val="Contactdetails"/>
                              <w:rPr>
                                <w:color w:val="0067A0" w:themeColor="accent1"/>
                              </w:rPr>
                            </w:pPr>
                            <w:r w:rsidRPr="00AE58C8">
                              <w:rPr>
                                <w:color w:val="0067A0" w:themeColor="accent1"/>
                              </w:rPr>
                              <w:t>www.lecc.nsw.gov.au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 w14:anchorId="49CE73A2" id="Text Box 29" o:spid="_x0000_s1027" type="#_x0000_t202" style="position:absolute;margin-left:0;margin-top:93pt;width:160.4pt;height:219.65pt;z-index:25165824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" filled="f" stroked="f" strokeweight=".5pt">
                <v:textbox style="mso-fit-shape-to-text:t">
                  <w:txbxContent>
                    <w:p w14:paraId="37613586" w14:textId="77777777" w:rsidR="0042789D" w:rsidRDefault="0042789D" w:rsidP="004843AC">
                      <w:pPr>
                        <w:spacing w:before="200" w:after="0" w:line="220" w:lineRule="atLeast"/>
                        <w:rPr>
                          <w:color w:val="0067A0" w:themeColor="accent1"/>
                          <w:sz w:val="18"/>
                        </w:rPr>
                      </w:pPr>
                      <w:r>
                        <w:rPr>
                          <w:noProof/>
                          <w:lang w:eastAsia="en-AU"/>
                        </w:rPr>
                        <w:drawing>
                          <wp:inline distT="0" distB="0" distL="0" distR="0" wp14:anchorId="4081C26A" wp14:editId="4D0C233D">
                            <wp:extent cx="1846580" cy="925064"/>
                            <wp:effectExtent l="0" t="0" r="0" b="2540"/>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blue.png"/>
                                    <pic:cNvPicPr/>
                                  </pic:nvPicPr>
                                  <pic:blipFill>
                                    <a:blip r:embed="rId81" cstate="print">
                                      <a:extLst>
                                        <a:ext uri="{28A0092B-C50C-407E-A947-70E740481C1C}">
                                          <a14:useLocalDpi xmlns:a14="http://schemas.microsoft.com/office/drawing/2010/main" val="0"/>
                                        </a:ext>
                                      </a:extLst>
                                    </a:blip>
                                    <a:stretch>
                                      <a:fillRect/>
                                    </a:stretch>
                                  </pic:blipFill>
                                  <pic:spPr>
                                    <a:xfrm>
                                      <a:off x="0" y="0"/>
                                      <a:ext cx="1846580" cy="925064"/>
                                    </a:xfrm>
                                    <a:prstGeom prst="rect">
                                      <a:avLst/>
                                    </a:prstGeom>
                                  </pic:spPr>
                                </pic:pic>
                              </a:graphicData>
                            </a:graphic>
                          </wp:inline>
                        </w:drawing>
                      </w:r>
                    </w:p>
                    <w:p w14:paraId="274F3285" w14:textId="77777777" w:rsidR="0042789D" w:rsidRDefault="0042789D" w:rsidP="004843AC">
                      <w:pPr>
                        <w:pStyle w:val="Contactdetails"/>
                      </w:pPr>
                    </w:p>
                    <w:p w14:paraId="2451CDD1" w14:textId="77777777" w:rsidR="0042789D" w:rsidRPr="00AE58C8" w:rsidRDefault="0042789D" w:rsidP="004843AC">
                      <w:pPr>
                        <w:pStyle w:val="Contactdetails"/>
                      </w:pPr>
                      <w:r w:rsidRPr="00AE58C8">
                        <w:rPr>
                          <w:color w:val="0067A0" w:themeColor="accent1"/>
                        </w:rPr>
                        <w:t>Phone</w:t>
                      </w:r>
                      <w:r w:rsidRPr="00AE58C8">
                        <w:t xml:space="preserve"> 02 9321 6700</w:t>
                      </w:r>
                      <w:r w:rsidRPr="00AE58C8">
                        <w:br/>
                      </w:r>
                      <w:r w:rsidRPr="00AE58C8">
                        <w:rPr>
                          <w:color w:val="0067A0" w:themeColor="accent1"/>
                        </w:rPr>
                        <w:t>Fax</w:t>
                      </w:r>
                      <w:r w:rsidRPr="00AE58C8">
                        <w:t xml:space="preserve"> 02 9321 6799</w:t>
                      </w:r>
                    </w:p>
                    <w:p w14:paraId="715198EC" w14:textId="77777777" w:rsidR="0042789D" w:rsidRPr="00AE58C8" w:rsidRDefault="0042789D" w:rsidP="004843AC">
                      <w:pPr>
                        <w:pStyle w:val="Contactdetails"/>
                      </w:pPr>
                      <w:r w:rsidRPr="00AE58C8">
                        <w:t xml:space="preserve">Level 3, 111 Elizabeth Street, </w:t>
                      </w:r>
                      <w:r w:rsidRPr="00AE58C8">
                        <w:br/>
                        <w:t>Sydney NSW 2000</w:t>
                      </w:r>
                    </w:p>
                    <w:p w14:paraId="6264994F" w14:textId="77777777" w:rsidR="0042789D" w:rsidRPr="00AE58C8" w:rsidRDefault="0042789D" w:rsidP="004843AC">
                      <w:pPr>
                        <w:pStyle w:val="Contactdetails"/>
                      </w:pPr>
                      <w:r w:rsidRPr="00AE58C8">
                        <w:rPr>
                          <w:color w:val="0067A0" w:themeColor="accent1"/>
                        </w:rPr>
                        <w:t xml:space="preserve">Postal address </w:t>
                      </w:r>
                      <w:r w:rsidRPr="00AE58C8">
                        <w:br/>
                        <w:t xml:space="preserve">GPO Box 3880, </w:t>
                      </w:r>
                      <w:r w:rsidRPr="00AE58C8">
                        <w:br/>
                        <w:t>Sydney NSW 2001</w:t>
                      </w:r>
                    </w:p>
                    <w:p w14:paraId="485A440A" w14:textId="77777777" w:rsidR="0042789D" w:rsidRPr="00AE58C8" w:rsidRDefault="0042789D" w:rsidP="004843AC">
                      <w:pPr>
                        <w:pStyle w:val="Contactdetails"/>
                        <w:rPr>
                          <w:color w:val="0067A0" w:themeColor="accent1"/>
                        </w:rPr>
                      </w:pPr>
                      <w:r w:rsidRPr="00AE58C8">
                        <w:rPr>
                          <w:color w:val="0067A0" w:themeColor="accent1"/>
                        </w:rPr>
                        <w:t>www.lecc.nsw.gov.au</w:t>
                      </w:r>
                    </w:p>
                  </w:txbxContent>
                </v:textbox>
                <w10:anchorlock/>
              </v:shape>
            </w:pict>
          </mc:Fallback>
        </mc:AlternateContent>
      </w:r>
    </w:p>
    <w:sectPr w:rsidR="008A6F8A" w:rsidRPr="00432366" w:rsidSect="00C36AFD">
      <w:headerReference w:type="default" r:id="rId82"/>
      <w:footerReference w:type="default" r:id="rId83"/>
      <w:pgSz w:w="11906" w:h="16838"/>
      <w:pgMar w:top="720" w:right="1276" w:bottom="1418" w:left="1276" w:header="709"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75B3E8B" w14:textId="77777777" w:rsidR="00AA63DD" w:rsidRDefault="00AA63DD" w:rsidP="002C42A1">
      <w:pPr>
        <w:spacing w:after="0" w:line="240" w:lineRule="auto"/>
      </w:pPr>
      <w:r>
        <w:separator/>
      </w:r>
    </w:p>
  </w:endnote>
  <w:endnote w:type="continuationSeparator" w:id="0">
    <w:p w14:paraId="2A7705B8" w14:textId="77777777" w:rsidR="00AA63DD" w:rsidRDefault="00AA63DD" w:rsidP="002C42A1">
      <w:pPr>
        <w:spacing w:after="0" w:line="240" w:lineRule="auto"/>
      </w:pPr>
      <w:r>
        <w:continuationSeparator/>
      </w:r>
    </w:p>
  </w:endnote>
  <w:endnote w:type="continuationNotice" w:id="1">
    <w:p w14:paraId="67D76D34" w14:textId="77777777" w:rsidR="00AA63DD" w:rsidRDefault="00AA63D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otham Book">
    <w:panose1 w:val="00000000000000000000"/>
    <w:charset w:val="00"/>
    <w:family w:val="modern"/>
    <w:notTrueType/>
    <w:pitch w:val="variable"/>
    <w:sig w:usb0="A00002FF" w:usb1="4000005B" w:usb2="00000000" w:usb3="00000000" w:csb0="0000009F" w:csb1="00000000"/>
  </w:font>
  <w:font w:name="Arial">
    <w:panose1 w:val="020B0604020202020204"/>
    <w:charset w:val="00"/>
    <w:family w:val="swiss"/>
    <w:pitch w:val="variable"/>
    <w:sig w:usb0="E0002EFF" w:usb1="C0007843" w:usb2="00000009" w:usb3="00000000" w:csb0="000001FF" w:csb1="00000000"/>
  </w:font>
  <w:font w:name="Gotham Bold">
    <w:panose1 w:val="00000000000000000000"/>
    <w:charset w:val="00"/>
    <w:family w:val="modern"/>
    <w:notTrueType/>
    <w:pitch w:val="variable"/>
    <w:sig w:usb0="A00002FF" w:usb1="4000005B" w:usb2="00000000" w:usb3="00000000" w:csb0="0000009F" w:csb1="00000000"/>
  </w:font>
  <w:font w:name="Source Sans Pro Light">
    <w:altName w:val="Arial"/>
    <w:panose1 w:val="00000000000000000000"/>
    <w:charset w:val="00"/>
    <w:family w:val="swiss"/>
    <w:notTrueType/>
    <w:pitch w:val="variable"/>
    <w:sig w:usb0="00000001" w:usb1="00000001" w:usb2="00000000" w:usb3="00000000" w:csb0="00000193" w:csb1="00000000"/>
  </w:font>
  <w:font w:name="Gotham Medium">
    <w:panose1 w:val="00000000000000000000"/>
    <w:charset w:val="00"/>
    <w:family w:val="modern"/>
    <w:notTrueType/>
    <w:pitch w:val="variable"/>
    <w:sig w:usb0="A00002FF" w:usb1="4000005B"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MT">
    <w:altName w:val="Times New Roman"/>
    <w:panose1 w:val="00000000000000000000"/>
    <w:charset w:val="00"/>
    <w:family w:val="roman"/>
    <w:notTrueType/>
    <w:pitch w:val="default"/>
  </w:font>
  <w:font w:name="Swiss721BT-Medium">
    <w:panose1 w:val="00000000000000000000"/>
    <w:charset w:val="00"/>
    <w:family w:val="swiss"/>
    <w:notTrueType/>
    <w:pitch w:val="default"/>
    <w:sig w:usb0="00000003" w:usb1="00000000" w:usb2="00000000" w:usb3="00000000" w:csb0="00000001" w:csb1="00000000"/>
  </w:font>
  <w:font w:name="Swiss721BT-MediumItalic">
    <w:panose1 w:val="00000000000000000000"/>
    <w:charset w:val="00"/>
    <w:family w:val="swiss"/>
    <w:notTrueType/>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Light">
    <w:panose1 w:val="00000000000000000000"/>
    <w:charset w:val="00"/>
    <w:family w:val="swiss"/>
    <w:notTrueType/>
    <w:pitch w:val="default"/>
    <w:sig w:usb0="00000003" w:usb1="00000000" w:usb2="00000000" w:usb3="00000000" w:csb0="00000001" w:csb1="00000000"/>
  </w:font>
  <w:font w:name="Calibri-Bold">
    <w:panose1 w:val="00000000000000000000"/>
    <w:charset w:val="00"/>
    <w:family w:val="swiss"/>
    <w:notTrueType/>
    <w:pitch w:val="default"/>
    <w:sig w:usb0="00000003" w:usb1="00000000" w:usb2="00000000" w:usb3="00000000" w:csb0="00000001" w:csb1="00000000"/>
  </w:font>
  <w:font w:name="Fira Sans Light">
    <w:altName w:val="Fira Sans Light"/>
    <w:panose1 w:val="00000000000000000000"/>
    <w:charset w:val="00"/>
    <w:family w:val="swiss"/>
    <w:notTrueType/>
    <w:pitch w:val="default"/>
    <w:sig w:usb0="00000003" w:usb1="00000000" w:usb2="00000000" w:usb3="00000000" w:csb0="00000001" w:csb1="00000000"/>
  </w:font>
  <w:font w:name="Swiss721BT-Light">
    <w:panose1 w:val="00000000000000000000"/>
    <w:charset w:val="00"/>
    <w:family w:val="swiss"/>
    <w:notTrueType/>
    <w:pitch w:val="default"/>
    <w:sig w:usb0="00000003" w:usb1="00000000" w:usb2="00000000" w:usb3="00000000" w:csb0="00000001" w:csb1="00000000"/>
  </w:font>
  <w:font w:name="Arial-BoldMT">
    <w:altName w:val="Times New Roman"/>
    <w:panose1 w:val="00000000000000000000"/>
    <w:charset w:val="00"/>
    <w:family w:val="roman"/>
    <w:notTrueType/>
    <w:pitch w:val="default"/>
  </w:font>
  <w:font w:name="Swiss721BT-LightItalic">
    <w:panose1 w:val="00000000000000000000"/>
    <w:charset w:val="00"/>
    <w:family w:val="swiss"/>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F5655D" w14:textId="6C07F347" w:rsidR="0042789D" w:rsidRDefault="002E5535" w:rsidP="004C1499">
    <w:pPr>
      <w:pStyle w:val="Footer"/>
      <w:framePr w:wrap="none" w:vAnchor="text" w:hAnchor="margin" w:xAlign="outside" w:y="1"/>
      <w:spacing w:before="200"/>
      <w:rPr>
        <w:rStyle w:val="PageNumber"/>
      </w:rPr>
    </w:pPr>
    <w:sdt>
      <w:sdtPr>
        <w:rPr>
          <w:rStyle w:val="PageNumber"/>
        </w:rPr>
        <w:id w:val="-533117805"/>
        <w:docPartObj>
          <w:docPartGallery w:val="Page Numbers (Bottom of Page)"/>
          <w:docPartUnique/>
        </w:docPartObj>
      </w:sdtPr>
      <w:sdtEndPr>
        <w:rPr>
          <w:rStyle w:val="PageNumber"/>
        </w:rPr>
      </w:sdtEndPr>
      <w:sdtContent>
        <w:r w:rsidR="0042789D">
          <w:rPr>
            <w:rStyle w:val="PageNumber"/>
          </w:rPr>
          <w:t xml:space="preserve">Page </w:t>
        </w:r>
        <w:r w:rsidR="0042789D">
          <w:rPr>
            <w:rStyle w:val="PageNumber"/>
          </w:rPr>
          <w:fldChar w:fldCharType="begin"/>
        </w:r>
        <w:r w:rsidR="0042789D">
          <w:rPr>
            <w:rStyle w:val="PageNumber"/>
          </w:rPr>
          <w:instrText xml:space="preserve"> PAGE </w:instrText>
        </w:r>
        <w:r w:rsidR="0042789D">
          <w:rPr>
            <w:rStyle w:val="PageNumber"/>
          </w:rPr>
          <w:fldChar w:fldCharType="separate"/>
        </w:r>
        <w:r w:rsidR="0042789D">
          <w:rPr>
            <w:rStyle w:val="PageNumber"/>
          </w:rPr>
          <w:t>1</w:t>
        </w:r>
        <w:r w:rsidR="0042789D">
          <w:rPr>
            <w:rStyle w:val="PageNumber"/>
          </w:rPr>
          <w:fldChar w:fldCharType="end"/>
        </w:r>
      </w:sdtContent>
    </w:sdt>
  </w:p>
  <w:p w14:paraId="5C05E0F8" w14:textId="1912F279" w:rsidR="0042789D" w:rsidRPr="004C1499" w:rsidRDefault="0042789D" w:rsidP="004C1499">
    <w:pPr>
      <w:pStyle w:val="Footer"/>
      <w:pBdr>
        <w:top w:val="single" w:sz="6" w:space="10" w:color="0067A0" w:themeColor="accent1"/>
      </w:pBdr>
      <w:rPr>
        <w:b/>
        <w:szCs w:val="16"/>
      </w:rPr>
    </w:pPr>
    <w:r w:rsidRPr="00627512">
      <w:rPr>
        <w:b/>
        <w:szCs w:val="16"/>
      </w:rPr>
      <w:t xml:space="preserve">The New South Wales Child Protection Register: Operation Tusket Final Report </w:t>
    </w:r>
    <w:r>
      <w:rPr>
        <w:b/>
        <w:szCs w:val="16"/>
      </w:rPr>
      <w:t>–</w:t>
    </w:r>
    <w:r w:rsidRPr="00627512">
      <w:rPr>
        <w:b/>
        <w:szCs w:val="16"/>
      </w:rPr>
      <w:t xml:space="preserve"> 2019</w: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382374" w14:textId="654A9A04" w:rsidR="0042789D" w:rsidRPr="005D2216" w:rsidRDefault="0042789D" w:rsidP="00495796">
    <w:pPr>
      <w:pStyle w:val="Footer"/>
    </w:pPr>
    <w:r>
      <w:t xml:space="preserve">Page </w:t>
    </w:r>
    <w:r>
      <w:fldChar w:fldCharType="begin"/>
    </w:r>
    <w:r>
      <w:instrText xml:space="preserve"> PAGE   \* MERGEFORMAT </w:instrText>
    </w:r>
    <w:r>
      <w:fldChar w:fldCharType="separate"/>
    </w:r>
    <w:r w:rsidR="002E5535">
      <w:rPr>
        <w:noProof/>
      </w:rPr>
      <w:t>28</w:t>
    </w:r>
    <w:r>
      <w:rPr>
        <w:noProof/>
      </w:rPr>
      <w:fldChar w:fldCharType="end"/>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5AB7DF" w14:textId="5A4392EB" w:rsidR="0042789D" w:rsidRDefault="002E5535" w:rsidP="006605AD">
    <w:pPr>
      <w:pStyle w:val="Footer"/>
      <w:framePr w:wrap="none" w:vAnchor="text" w:hAnchor="margin" w:xAlign="outside" w:y="1"/>
      <w:spacing w:before="200"/>
      <w:rPr>
        <w:rStyle w:val="PageNumber"/>
      </w:rPr>
    </w:pPr>
    <w:sdt>
      <w:sdtPr>
        <w:rPr>
          <w:rStyle w:val="PageNumber"/>
        </w:rPr>
        <w:id w:val="-654299105"/>
        <w:docPartObj>
          <w:docPartGallery w:val="Page Numbers (Bottom of Page)"/>
          <w:docPartUnique/>
        </w:docPartObj>
      </w:sdtPr>
      <w:sdtEndPr>
        <w:rPr>
          <w:rStyle w:val="PageNumber"/>
        </w:rPr>
      </w:sdtEndPr>
      <w:sdtContent>
        <w:r w:rsidR="0042789D">
          <w:rPr>
            <w:rStyle w:val="PageNumber"/>
          </w:rPr>
          <w:t xml:space="preserve">Page </w:t>
        </w:r>
        <w:r w:rsidR="0042789D">
          <w:rPr>
            <w:rStyle w:val="PageNumber"/>
          </w:rPr>
          <w:fldChar w:fldCharType="begin"/>
        </w:r>
        <w:r w:rsidR="0042789D">
          <w:rPr>
            <w:rStyle w:val="PageNumber"/>
          </w:rPr>
          <w:instrText xml:space="preserve"> PAGE </w:instrText>
        </w:r>
        <w:r w:rsidR="0042789D">
          <w:rPr>
            <w:rStyle w:val="PageNumber"/>
          </w:rPr>
          <w:fldChar w:fldCharType="separate"/>
        </w:r>
        <w:r>
          <w:rPr>
            <w:rStyle w:val="PageNumber"/>
            <w:noProof/>
          </w:rPr>
          <w:t>63</w:t>
        </w:r>
        <w:r w:rsidR="0042789D">
          <w:rPr>
            <w:rStyle w:val="PageNumber"/>
          </w:rPr>
          <w:fldChar w:fldCharType="end"/>
        </w:r>
      </w:sdtContent>
    </w:sdt>
  </w:p>
  <w:p w14:paraId="4D0F15D6" w14:textId="0C886AEF" w:rsidR="0042789D" w:rsidRPr="00120E7C" w:rsidRDefault="0042789D" w:rsidP="00120E7C">
    <w:pPr>
      <w:pStyle w:val="Footer"/>
      <w:pBdr>
        <w:top w:val="single" w:sz="6" w:space="9" w:color="0067A0" w:themeColor="accent1"/>
      </w:pBdr>
      <w:rPr>
        <w:b/>
        <w:szCs w:val="16"/>
      </w:rPr>
    </w:pPr>
    <w:r w:rsidRPr="00627512">
      <w:rPr>
        <w:b/>
        <w:szCs w:val="16"/>
      </w:rPr>
      <w:t>The New South Wales Child Protection Register: Operation Tusket Final Report - 2019</w: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343EEBD" w14:textId="28D5C0C9" w:rsidR="0042789D" w:rsidRPr="00A3105B" w:rsidRDefault="0042789D" w:rsidP="00A3105B">
    <w:pPr>
      <w:pStyle w:val="Footer"/>
      <w:jc w:val="right"/>
    </w:pPr>
    <w:r w:rsidRPr="00A3105B">
      <w:t xml:space="preserve">Page </w:t>
    </w:r>
    <w:r w:rsidRPr="00A3105B">
      <w:fldChar w:fldCharType="begin"/>
    </w:r>
    <w:r w:rsidRPr="00A3105B">
      <w:instrText xml:space="preserve"> PAGE </w:instrText>
    </w:r>
    <w:r w:rsidRPr="00A3105B">
      <w:fldChar w:fldCharType="separate"/>
    </w:r>
    <w:r w:rsidR="002E5535">
      <w:rPr>
        <w:noProof/>
      </w:rPr>
      <w:t>37</w:t>
    </w:r>
    <w:r w:rsidRPr="00A3105B">
      <w:fldChar w:fldCharType="end"/>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4EA5C5" w14:textId="147D1F90" w:rsidR="0042789D" w:rsidRDefault="002E5535" w:rsidP="006605AD">
    <w:pPr>
      <w:pStyle w:val="Footer"/>
      <w:framePr w:wrap="none" w:vAnchor="text" w:hAnchor="margin" w:xAlign="outside" w:y="1"/>
      <w:spacing w:before="200"/>
      <w:rPr>
        <w:rStyle w:val="PageNumber"/>
      </w:rPr>
    </w:pPr>
    <w:sdt>
      <w:sdtPr>
        <w:rPr>
          <w:rStyle w:val="PageNumber"/>
        </w:rPr>
        <w:id w:val="1600144341"/>
        <w:docPartObj>
          <w:docPartGallery w:val="Page Numbers (Bottom of Page)"/>
          <w:docPartUnique/>
        </w:docPartObj>
      </w:sdtPr>
      <w:sdtEndPr>
        <w:rPr>
          <w:rStyle w:val="PageNumber"/>
        </w:rPr>
      </w:sdtEndPr>
      <w:sdtContent>
        <w:r w:rsidR="0042789D">
          <w:rPr>
            <w:rStyle w:val="PageNumber"/>
          </w:rPr>
          <w:t xml:space="preserve">Page </w:t>
        </w:r>
        <w:r w:rsidR="0042789D">
          <w:rPr>
            <w:rStyle w:val="PageNumber"/>
          </w:rPr>
          <w:fldChar w:fldCharType="begin"/>
        </w:r>
        <w:r w:rsidR="0042789D">
          <w:rPr>
            <w:rStyle w:val="PageNumber"/>
          </w:rPr>
          <w:instrText xml:space="preserve"> PAGE </w:instrText>
        </w:r>
        <w:r w:rsidR="0042789D">
          <w:rPr>
            <w:rStyle w:val="PageNumber"/>
          </w:rPr>
          <w:fldChar w:fldCharType="separate"/>
        </w:r>
        <w:r>
          <w:rPr>
            <w:rStyle w:val="PageNumber"/>
            <w:noProof/>
          </w:rPr>
          <w:t>219</w:t>
        </w:r>
        <w:r w:rsidR="0042789D">
          <w:rPr>
            <w:rStyle w:val="PageNumber"/>
          </w:rPr>
          <w:fldChar w:fldCharType="end"/>
        </w:r>
      </w:sdtContent>
    </w:sdt>
  </w:p>
  <w:p w14:paraId="4847B3A1" w14:textId="26D9A761" w:rsidR="0042789D" w:rsidRPr="004B15E3" w:rsidRDefault="0042789D" w:rsidP="004B15E3">
    <w:pPr>
      <w:pStyle w:val="Footer"/>
      <w:pBdr>
        <w:top w:val="single" w:sz="6" w:space="9" w:color="0067A0" w:themeColor="accent1"/>
      </w:pBdr>
      <w:rPr>
        <w:b/>
        <w:szCs w:val="16"/>
      </w:rPr>
    </w:pPr>
    <w:r w:rsidRPr="00627512">
      <w:rPr>
        <w:b/>
        <w:szCs w:val="16"/>
      </w:rPr>
      <w:t>The New South Wales Child Protection Register: Operation Tusket Final Report - 2019</w: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40018D" w14:textId="5A3C2EA4" w:rsidR="0042789D" w:rsidRDefault="0042789D" w:rsidP="00791CEB">
    <w:pPr>
      <w:pStyle w:val="Footer"/>
      <w:framePr w:wrap="none" w:vAnchor="text" w:hAnchor="margin" w:xAlign="outside" w:y="1"/>
      <w:rPr>
        <w:rStyle w:val="PageNumber"/>
      </w:rPr>
    </w:pPr>
    <w:r>
      <w:rPr>
        <w:rStyle w:val="PageNumber"/>
      </w:rPr>
      <w:t xml:space="preserve">Page </w:t>
    </w:r>
    <w:sdt>
      <w:sdtPr>
        <w:rPr>
          <w:rStyle w:val="PageNumber"/>
        </w:rPr>
        <w:id w:val="1641618597"/>
        <w:docPartObj>
          <w:docPartGallery w:val="Page Numbers (Bottom of Page)"/>
          <w:docPartUnique/>
        </w:docPartObj>
      </w:sdtPr>
      <w:sdtEndPr>
        <w:rPr>
          <w:rStyle w:val="PageNumber"/>
        </w:rPr>
      </w:sdtEndPr>
      <w:sdtContent>
        <w:r>
          <w:rPr>
            <w:rStyle w:val="PageNumber"/>
          </w:rPr>
          <w:fldChar w:fldCharType="begin"/>
        </w:r>
        <w:r>
          <w:rPr>
            <w:rStyle w:val="PageNumber"/>
          </w:rPr>
          <w:instrText xml:space="preserve"> PAGE </w:instrText>
        </w:r>
        <w:r>
          <w:rPr>
            <w:rStyle w:val="PageNumber"/>
          </w:rPr>
          <w:fldChar w:fldCharType="separate"/>
        </w:r>
        <w:r w:rsidR="002E5535">
          <w:rPr>
            <w:rStyle w:val="PageNumber"/>
            <w:noProof/>
          </w:rPr>
          <w:t>173</w:t>
        </w:r>
        <w:r>
          <w:rPr>
            <w:rStyle w:val="PageNumber"/>
          </w:rPr>
          <w:fldChar w:fldCharType="end"/>
        </w:r>
      </w:sdtContent>
    </w:sdt>
  </w:p>
  <w:p w14:paraId="1574DBC5" w14:textId="544E3295" w:rsidR="0042789D" w:rsidRPr="00A3105B" w:rsidRDefault="0042789D" w:rsidP="00A3105B">
    <w:pPr>
      <w:pStyle w:val="Footer"/>
      <w:ind w:right="360" w:firstLine="360"/>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CB58F7" w14:textId="2C1A53AB" w:rsidR="0042789D" w:rsidRPr="00627512" w:rsidRDefault="0042789D" w:rsidP="007F010F">
    <w:pPr>
      <w:pStyle w:val="Footer"/>
      <w:rPr>
        <w:b/>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503246" w14:textId="7983A38F" w:rsidR="0042789D" w:rsidRPr="005D2216" w:rsidRDefault="0042789D" w:rsidP="002073C8">
    <w:pPr>
      <w:pStyle w:val="Footer"/>
      <w:jc w:val="right"/>
    </w:pPr>
    <w:r>
      <w:t xml:space="preserve">Page </w:t>
    </w:r>
    <w:r>
      <w:fldChar w:fldCharType="begin"/>
    </w:r>
    <w:r>
      <w:instrText xml:space="preserve"> PAGE   \* MERGEFORMAT </w:instrText>
    </w:r>
    <w:r>
      <w:fldChar w:fldCharType="separate"/>
    </w:r>
    <w:r w:rsidR="002E5535">
      <w:rPr>
        <w:noProof/>
      </w:rPr>
      <w:t>1</w:t>
    </w:r>
    <w:r>
      <w:rPr>
        <w:noProof/>
      </w:rPr>
      <w:fldChar w:fldCharType="end"/>
    </w:r>
    <w:r>
      <w:rPr>
        <w:noProof/>
      </w:rPr>
      <w:t xml:space="preserve"> of </w:t>
    </w:r>
    <w:r>
      <w:rPr>
        <w:noProof/>
      </w:rPr>
      <w:fldChar w:fldCharType="begin"/>
    </w:r>
    <w:r>
      <w:rPr>
        <w:noProof/>
      </w:rPr>
      <w:instrText xml:space="preserve"> NUMPAGES  \* Arabic  \* MERGEFORMAT </w:instrText>
    </w:r>
    <w:r>
      <w:rPr>
        <w:noProof/>
      </w:rPr>
      <w:fldChar w:fldCharType="separate"/>
    </w:r>
    <w:r w:rsidR="002E5535">
      <w:rPr>
        <w:noProof/>
      </w:rPr>
      <w:t>223</w:t>
    </w:r>
    <w:r>
      <w:rPr>
        <w:noProof/>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495E9BD" w14:textId="77777777" w:rsidR="0042789D" w:rsidRDefault="002E5535" w:rsidP="004C1499">
    <w:pPr>
      <w:pStyle w:val="Footer"/>
      <w:framePr w:wrap="none" w:vAnchor="text" w:hAnchor="margin" w:xAlign="outside" w:y="1"/>
      <w:spacing w:before="200"/>
      <w:rPr>
        <w:rStyle w:val="PageNumber"/>
      </w:rPr>
    </w:pPr>
    <w:sdt>
      <w:sdtPr>
        <w:rPr>
          <w:rStyle w:val="PageNumber"/>
        </w:rPr>
        <w:id w:val="919059848"/>
        <w:docPartObj>
          <w:docPartGallery w:val="Page Numbers (Bottom of Page)"/>
          <w:docPartUnique/>
        </w:docPartObj>
      </w:sdtPr>
      <w:sdtEndPr>
        <w:rPr>
          <w:rStyle w:val="PageNumber"/>
        </w:rPr>
      </w:sdtEndPr>
      <w:sdtContent>
        <w:r w:rsidR="0042789D">
          <w:rPr>
            <w:rStyle w:val="PageNumber"/>
          </w:rPr>
          <w:t xml:space="preserve">Page </w:t>
        </w:r>
        <w:r w:rsidR="0042789D">
          <w:rPr>
            <w:rStyle w:val="PageNumber"/>
          </w:rPr>
          <w:fldChar w:fldCharType="begin"/>
        </w:r>
        <w:r w:rsidR="0042789D">
          <w:rPr>
            <w:rStyle w:val="PageNumber"/>
          </w:rPr>
          <w:instrText xml:space="preserve"> PAGE </w:instrText>
        </w:r>
        <w:r w:rsidR="0042789D">
          <w:rPr>
            <w:rStyle w:val="PageNumber"/>
          </w:rPr>
          <w:fldChar w:fldCharType="separate"/>
        </w:r>
        <w:r>
          <w:rPr>
            <w:rStyle w:val="PageNumber"/>
            <w:noProof/>
          </w:rPr>
          <w:t>27</w:t>
        </w:r>
        <w:r w:rsidR="0042789D">
          <w:rPr>
            <w:rStyle w:val="PageNumber"/>
          </w:rPr>
          <w:fldChar w:fldCharType="end"/>
        </w:r>
      </w:sdtContent>
    </w:sdt>
  </w:p>
  <w:p w14:paraId="7634D518" w14:textId="77777777" w:rsidR="0042789D" w:rsidRPr="004C1499" w:rsidRDefault="0042789D" w:rsidP="004C1499">
    <w:pPr>
      <w:pStyle w:val="Footer"/>
      <w:pBdr>
        <w:top w:val="single" w:sz="6" w:space="10" w:color="0067A0" w:themeColor="accent1"/>
      </w:pBdr>
      <w:rPr>
        <w:b/>
        <w:szCs w:val="16"/>
      </w:rPr>
    </w:pPr>
    <w:r w:rsidRPr="00627512">
      <w:rPr>
        <w:b/>
        <w:szCs w:val="16"/>
      </w:rPr>
      <w:t xml:space="preserve">The New South Wales Child Protection Register: Operation Tusket Final Report </w:t>
    </w:r>
    <w:r>
      <w:rPr>
        <w:b/>
        <w:szCs w:val="16"/>
      </w:rPr>
      <w:t>–</w:t>
    </w:r>
    <w:r w:rsidRPr="00627512">
      <w:rPr>
        <w:b/>
        <w:szCs w:val="16"/>
      </w:rPr>
      <w:t xml:space="preserve"> 2019</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4656F2" w14:textId="77777777" w:rsidR="0042789D" w:rsidRDefault="002E5535" w:rsidP="00FB524E">
    <w:pPr>
      <w:pStyle w:val="Footer"/>
      <w:framePr w:wrap="none" w:vAnchor="text" w:hAnchor="margin" w:xAlign="outside" w:y="1"/>
      <w:spacing w:before="200"/>
      <w:rPr>
        <w:rStyle w:val="PageNumber"/>
      </w:rPr>
    </w:pPr>
    <w:sdt>
      <w:sdtPr>
        <w:rPr>
          <w:rStyle w:val="PageNumber"/>
        </w:rPr>
        <w:id w:val="-1964565232"/>
        <w:docPartObj>
          <w:docPartGallery w:val="Page Numbers (Bottom of Page)"/>
          <w:docPartUnique/>
        </w:docPartObj>
      </w:sdtPr>
      <w:sdtEndPr>
        <w:rPr>
          <w:rStyle w:val="PageNumber"/>
        </w:rPr>
      </w:sdtEndPr>
      <w:sdtContent>
        <w:r w:rsidR="0042789D">
          <w:rPr>
            <w:rStyle w:val="PageNumber"/>
          </w:rPr>
          <w:t xml:space="preserve">Page </w:t>
        </w:r>
        <w:r w:rsidR="0042789D">
          <w:rPr>
            <w:rStyle w:val="PageNumber"/>
          </w:rPr>
          <w:fldChar w:fldCharType="begin"/>
        </w:r>
        <w:r w:rsidR="0042789D">
          <w:rPr>
            <w:rStyle w:val="PageNumber"/>
          </w:rPr>
          <w:instrText xml:space="preserve"> PAGE </w:instrText>
        </w:r>
        <w:r w:rsidR="0042789D">
          <w:rPr>
            <w:rStyle w:val="PageNumber"/>
          </w:rPr>
          <w:fldChar w:fldCharType="separate"/>
        </w:r>
        <w:r w:rsidR="0042789D">
          <w:rPr>
            <w:rStyle w:val="PageNumber"/>
          </w:rPr>
          <w:t>3</w:t>
        </w:r>
        <w:r w:rsidR="0042789D">
          <w:rPr>
            <w:rStyle w:val="PageNumber"/>
          </w:rPr>
          <w:fldChar w:fldCharType="end"/>
        </w:r>
      </w:sdtContent>
    </w:sdt>
  </w:p>
  <w:p w14:paraId="033107B0" w14:textId="55B41E93" w:rsidR="0042789D" w:rsidRPr="00FB524E" w:rsidRDefault="0042789D" w:rsidP="00FB524E">
    <w:pPr>
      <w:pStyle w:val="Footer"/>
      <w:pBdr>
        <w:top w:val="single" w:sz="6" w:space="10" w:color="0067A0" w:themeColor="accent1"/>
      </w:pBdr>
      <w:rPr>
        <w:b/>
        <w:szCs w:val="16"/>
      </w:rPr>
    </w:pPr>
    <w:r w:rsidRPr="00627512">
      <w:rPr>
        <w:b/>
        <w:szCs w:val="16"/>
      </w:rPr>
      <w:t xml:space="preserve">The New South Wales Child Protection Register: Operation Tusket Final Report </w:t>
    </w:r>
    <w:r>
      <w:rPr>
        <w:b/>
        <w:szCs w:val="16"/>
      </w:rPr>
      <w:t>–</w:t>
    </w:r>
    <w:r w:rsidRPr="00627512">
      <w:rPr>
        <w:b/>
        <w:szCs w:val="16"/>
      </w:rPr>
      <w:t xml:space="preserve"> 2019</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13732F" w14:textId="77777777" w:rsidR="0042789D" w:rsidRDefault="002E5535" w:rsidP="00121B25">
    <w:pPr>
      <w:pStyle w:val="Footer"/>
      <w:framePr w:w="1321" w:wrap="none" w:vAnchor="text" w:hAnchor="margin" w:xAlign="outside" w:y="-5"/>
      <w:spacing w:before="200"/>
      <w:rPr>
        <w:szCs w:val="18"/>
      </w:rPr>
    </w:pPr>
    <w:sdt>
      <w:sdtPr>
        <w:rPr>
          <w:rStyle w:val="PageNumber"/>
        </w:rPr>
        <w:id w:val="900641077"/>
        <w:docPartObj>
          <w:docPartGallery w:val="Page Numbers (Bottom of Page)"/>
          <w:docPartUnique/>
        </w:docPartObj>
      </w:sdtPr>
      <w:sdtEndPr>
        <w:rPr>
          <w:rStyle w:val="PageNumber"/>
        </w:rPr>
      </w:sdtEndPr>
      <w:sdtContent>
        <w:r w:rsidR="0042789D">
          <w:rPr>
            <w:rStyle w:val="PageNumber"/>
          </w:rPr>
          <w:t xml:space="preserve">Page </w:t>
        </w:r>
        <w:r w:rsidR="0042789D">
          <w:rPr>
            <w:rStyle w:val="PageNumber"/>
          </w:rPr>
          <w:fldChar w:fldCharType="begin"/>
        </w:r>
        <w:r w:rsidR="0042789D">
          <w:rPr>
            <w:rStyle w:val="PageNumber"/>
          </w:rPr>
          <w:instrText xml:space="preserve"> PAGE </w:instrText>
        </w:r>
        <w:r w:rsidR="0042789D">
          <w:rPr>
            <w:rStyle w:val="PageNumber"/>
          </w:rPr>
          <w:fldChar w:fldCharType="separate"/>
        </w:r>
        <w:r>
          <w:rPr>
            <w:rStyle w:val="PageNumber"/>
            <w:noProof/>
          </w:rPr>
          <w:t>30</w:t>
        </w:r>
        <w:r w:rsidR="0042789D">
          <w:rPr>
            <w:rStyle w:val="PageNumber"/>
          </w:rPr>
          <w:fldChar w:fldCharType="end"/>
        </w:r>
      </w:sdtContent>
    </w:sdt>
  </w:p>
  <w:p w14:paraId="0A36C0D2" w14:textId="77777777" w:rsidR="0042789D" w:rsidRPr="00121B25" w:rsidRDefault="0042789D" w:rsidP="00121B25">
    <w:pPr>
      <w:pStyle w:val="Footer"/>
      <w:pBdr>
        <w:top w:val="single" w:sz="6" w:space="10" w:color="0067A0" w:themeColor="accent1"/>
      </w:pBdr>
      <w:jc w:val="right"/>
      <w:rPr>
        <w:b/>
        <w:color w:val="FF0000"/>
        <w:sz w:val="24"/>
        <w:szCs w:val="24"/>
      </w:rPr>
    </w:pPr>
    <w:r w:rsidRPr="00627512">
      <w:rPr>
        <w:b/>
        <w:szCs w:val="16"/>
      </w:rPr>
      <w:t>The New South Wales Child Protection Register: Operation Tusket Final Report - 2019</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1EF7F4" w14:textId="1DD8F8B0" w:rsidR="0042789D" w:rsidRDefault="002E5535" w:rsidP="00121B25">
    <w:pPr>
      <w:pStyle w:val="Footer"/>
      <w:framePr w:w="1321" w:wrap="none" w:vAnchor="text" w:hAnchor="margin" w:xAlign="outside" w:y="-5"/>
      <w:spacing w:before="200"/>
      <w:rPr>
        <w:szCs w:val="18"/>
      </w:rPr>
    </w:pPr>
    <w:sdt>
      <w:sdtPr>
        <w:rPr>
          <w:rStyle w:val="PageNumber"/>
        </w:rPr>
        <w:id w:val="1450669202"/>
        <w:docPartObj>
          <w:docPartGallery w:val="Page Numbers (Bottom of Page)"/>
          <w:docPartUnique/>
        </w:docPartObj>
      </w:sdtPr>
      <w:sdtEndPr>
        <w:rPr>
          <w:rStyle w:val="PageNumber"/>
        </w:rPr>
      </w:sdtEndPr>
      <w:sdtContent>
        <w:r w:rsidR="0042789D">
          <w:rPr>
            <w:rStyle w:val="PageNumber"/>
          </w:rPr>
          <w:t xml:space="preserve">Page </w:t>
        </w:r>
        <w:r w:rsidR="0042789D">
          <w:rPr>
            <w:rStyle w:val="PageNumber"/>
          </w:rPr>
          <w:fldChar w:fldCharType="begin"/>
        </w:r>
        <w:r w:rsidR="0042789D">
          <w:rPr>
            <w:rStyle w:val="PageNumber"/>
          </w:rPr>
          <w:instrText xml:space="preserve"> PAGE </w:instrText>
        </w:r>
        <w:r w:rsidR="0042789D">
          <w:rPr>
            <w:rStyle w:val="PageNumber"/>
          </w:rPr>
          <w:fldChar w:fldCharType="separate"/>
        </w:r>
        <w:r w:rsidR="0042789D">
          <w:rPr>
            <w:rStyle w:val="PageNumber"/>
          </w:rPr>
          <w:t>2</w:t>
        </w:r>
        <w:r w:rsidR="0042789D">
          <w:rPr>
            <w:rStyle w:val="PageNumber"/>
          </w:rPr>
          <w:fldChar w:fldCharType="end"/>
        </w:r>
      </w:sdtContent>
    </w:sdt>
  </w:p>
  <w:p w14:paraId="36FA77E1" w14:textId="02C76323" w:rsidR="0042789D" w:rsidRPr="00121B25" w:rsidRDefault="0042789D" w:rsidP="00121B25">
    <w:pPr>
      <w:pStyle w:val="Footer"/>
      <w:pBdr>
        <w:top w:val="single" w:sz="6" w:space="10" w:color="0067A0" w:themeColor="accent1"/>
      </w:pBdr>
      <w:jc w:val="right"/>
      <w:rPr>
        <w:b/>
        <w:color w:val="FF0000"/>
        <w:sz w:val="24"/>
        <w:szCs w:val="24"/>
      </w:rPr>
    </w:pPr>
    <w:r w:rsidRPr="00627512">
      <w:rPr>
        <w:b/>
        <w:szCs w:val="16"/>
      </w:rPr>
      <w:t>The New South Wales Child Protection Register: Operation Tusket Final Report - 2019</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FD7490C" w14:textId="529B5105" w:rsidR="0042789D" w:rsidRPr="009873E7" w:rsidRDefault="0042789D" w:rsidP="009873E7">
    <w:pPr>
      <w:pStyle w:val="Footer"/>
    </w:pPr>
    <w:r w:rsidRPr="009873E7">
      <w:t xml:space="preserve">Page </w:t>
    </w:r>
    <w:r w:rsidRPr="009873E7">
      <w:fldChar w:fldCharType="begin"/>
    </w:r>
    <w:r w:rsidRPr="009873E7">
      <w:instrText xml:space="preserve"> PAGE </w:instrText>
    </w:r>
    <w:r w:rsidRPr="009873E7">
      <w:fldChar w:fldCharType="separate"/>
    </w:r>
    <w:r w:rsidR="002E5535">
      <w:rPr>
        <w:noProof/>
      </w:rPr>
      <w:t>12</w:t>
    </w:r>
    <w:r w:rsidRPr="009873E7">
      <w:fldChar w:fldCharType="end"/>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518061" w14:textId="27F821E7" w:rsidR="0042789D" w:rsidRPr="00E12C7F" w:rsidRDefault="0042789D" w:rsidP="00E12C7F">
    <w:pPr>
      <w:pStyle w:val="Footer"/>
      <w:jc w:val="right"/>
    </w:pPr>
    <w:r w:rsidRPr="00E12C7F">
      <w:rPr>
        <w:rStyle w:val="PageNumber"/>
      </w:rPr>
      <w:t xml:space="preserve">Page </w:t>
    </w:r>
    <w:r w:rsidRPr="00E12C7F">
      <w:rPr>
        <w:rStyle w:val="PageNumber"/>
      </w:rPr>
      <w:fldChar w:fldCharType="begin"/>
    </w:r>
    <w:r w:rsidRPr="00E12C7F">
      <w:rPr>
        <w:rStyle w:val="PageNumber"/>
      </w:rPr>
      <w:instrText xml:space="preserve"> PAGE </w:instrText>
    </w:r>
    <w:r w:rsidRPr="00E12C7F">
      <w:rPr>
        <w:rStyle w:val="PageNumber"/>
      </w:rPr>
      <w:fldChar w:fldCharType="separate"/>
    </w:r>
    <w:r w:rsidR="002E5535">
      <w:rPr>
        <w:rStyle w:val="PageNumber"/>
        <w:noProof/>
      </w:rPr>
      <w:t>15</w:t>
    </w:r>
    <w:r w:rsidRPr="00E12C7F">
      <w:rPr>
        <w:rStyle w:val="PageNumber"/>
      </w:rPr>
      <w:fldChar w:fldCharType="end"/>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343E460" w14:textId="714E8906" w:rsidR="0042789D" w:rsidRPr="001C3982" w:rsidRDefault="0042789D" w:rsidP="001C3982">
    <w:pPr>
      <w:pStyle w:val="Footer"/>
    </w:pPr>
    <w:r w:rsidRPr="001C3982">
      <w:t xml:space="preserve">Page </w:t>
    </w:r>
    <w:r w:rsidRPr="001C3982">
      <w:fldChar w:fldCharType="begin"/>
    </w:r>
    <w:r w:rsidRPr="001C3982">
      <w:instrText xml:space="preserve"> PAGE </w:instrText>
    </w:r>
    <w:r w:rsidRPr="001C3982">
      <w:fldChar w:fldCharType="separate"/>
    </w:r>
    <w:r w:rsidR="002E5535">
      <w:rPr>
        <w:noProof/>
      </w:rPr>
      <w:t>20</w:t>
    </w:r>
    <w:r w:rsidRPr="001C3982">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6D48C3" w14:textId="77777777" w:rsidR="00AA63DD" w:rsidRDefault="00AA63DD" w:rsidP="002C42A1">
      <w:pPr>
        <w:spacing w:after="0" w:line="240" w:lineRule="auto"/>
      </w:pPr>
      <w:r>
        <w:separator/>
      </w:r>
    </w:p>
  </w:footnote>
  <w:footnote w:type="continuationSeparator" w:id="0">
    <w:p w14:paraId="54EACEFB" w14:textId="77777777" w:rsidR="00AA63DD" w:rsidRDefault="00AA63DD" w:rsidP="002C42A1">
      <w:pPr>
        <w:spacing w:after="0" w:line="240" w:lineRule="auto"/>
      </w:pPr>
      <w:r>
        <w:continuationSeparator/>
      </w:r>
    </w:p>
  </w:footnote>
  <w:footnote w:type="continuationNotice" w:id="1">
    <w:p w14:paraId="32988FB0" w14:textId="77777777" w:rsidR="00AA63DD" w:rsidRPr="003018D6" w:rsidRDefault="00AA63DD" w:rsidP="003018D6">
      <w:pPr>
        <w:pStyle w:val="Footer"/>
      </w:pPr>
    </w:p>
  </w:footnote>
  <w:footnote w:id="2">
    <w:p w14:paraId="07FF50BF" w14:textId="1B039142" w:rsidR="0042789D" w:rsidRPr="00BC1F19" w:rsidRDefault="0042789D">
      <w:pPr>
        <w:pStyle w:val="FootnoteText"/>
      </w:pPr>
      <w:r w:rsidRPr="00BC1F19">
        <w:rPr>
          <w:rStyle w:val="FootnoteReference"/>
        </w:rPr>
        <w:footnoteRef/>
      </w:r>
      <w:r w:rsidRPr="00BC1F19">
        <w:t xml:space="preserve"> </w:t>
      </w:r>
      <w:r w:rsidRPr="00BC1F19">
        <w:rPr>
          <w:rFonts w:ascii="Gotham Book" w:hAnsi="Gotham Book"/>
          <w:i/>
        </w:rPr>
        <w:t>Public Interest Disclosures Act 1994</w:t>
      </w:r>
      <w:r w:rsidRPr="00BC1F19">
        <w:rPr>
          <w:rFonts w:ascii="Gotham Book" w:hAnsi="Gotham Book"/>
        </w:rPr>
        <w:t xml:space="preserve"> (NSW)</w:t>
      </w:r>
      <w:r>
        <w:rPr>
          <w:rFonts w:ascii="Gotham Book" w:hAnsi="Gotham Book"/>
        </w:rPr>
        <w:t xml:space="preserve"> </w:t>
      </w:r>
      <w:r w:rsidRPr="00BC1F19">
        <w:rPr>
          <w:rFonts w:ascii="Gotham Book" w:hAnsi="Gotham Book"/>
        </w:rPr>
        <w:t>s 12A(1).</w:t>
      </w:r>
    </w:p>
  </w:footnote>
  <w:footnote w:id="3">
    <w:p w14:paraId="0E5D8719" w14:textId="1C0EAA27" w:rsidR="0042789D" w:rsidRDefault="0042789D">
      <w:pPr>
        <w:pStyle w:val="FootnoteText"/>
      </w:pPr>
      <w:r w:rsidRPr="009B058B">
        <w:rPr>
          <w:rStyle w:val="FootnoteReference"/>
        </w:rPr>
        <w:footnoteRef/>
      </w:r>
      <w:r>
        <w:t xml:space="preserve"> </w:t>
      </w:r>
      <w:r w:rsidRPr="006E5E8D">
        <w:rPr>
          <w:i/>
          <w:szCs w:val="22"/>
        </w:rPr>
        <w:t xml:space="preserve">Law Enforcement Conduct Commission Act 2016 </w:t>
      </w:r>
      <w:r w:rsidRPr="00401704">
        <w:rPr>
          <w:szCs w:val="22"/>
        </w:rPr>
        <w:t>(NSW)</w:t>
      </w:r>
      <w:r w:rsidRPr="006E5E8D">
        <w:rPr>
          <w:i/>
          <w:szCs w:val="22"/>
        </w:rPr>
        <w:t xml:space="preserve"> </w:t>
      </w:r>
      <w:r>
        <w:rPr>
          <w:szCs w:val="22"/>
        </w:rPr>
        <w:t>s 11(1</w:t>
      </w:r>
      <w:r w:rsidRPr="006E5E8D">
        <w:rPr>
          <w:szCs w:val="22"/>
        </w:rPr>
        <w:t>).</w:t>
      </w:r>
    </w:p>
  </w:footnote>
  <w:footnote w:id="4">
    <w:p w14:paraId="07457404" w14:textId="36278FD3" w:rsidR="0042789D" w:rsidRDefault="0042789D">
      <w:pPr>
        <w:pStyle w:val="FootnoteText"/>
      </w:pPr>
      <w:r w:rsidRPr="009B058B">
        <w:rPr>
          <w:rStyle w:val="FootnoteReference"/>
        </w:rPr>
        <w:footnoteRef/>
      </w:r>
      <w:r>
        <w:t xml:space="preserve"> </w:t>
      </w:r>
      <w:r w:rsidRPr="006E5E8D">
        <w:rPr>
          <w:i/>
          <w:szCs w:val="22"/>
        </w:rPr>
        <w:t xml:space="preserve">Law Enforcement Conduct Commission Act 2016 </w:t>
      </w:r>
      <w:r w:rsidRPr="00C67A84">
        <w:rPr>
          <w:szCs w:val="22"/>
        </w:rPr>
        <w:t>(NSW)</w:t>
      </w:r>
      <w:r w:rsidRPr="006E5E8D">
        <w:rPr>
          <w:i/>
          <w:szCs w:val="22"/>
        </w:rPr>
        <w:t xml:space="preserve"> </w:t>
      </w:r>
      <w:r w:rsidRPr="006E5E8D">
        <w:rPr>
          <w:szCs w:val="22"/>
        </w:rPr>
        <w:t>s 11(3).</w:t>
      </w:r>
    </w:p>
  </w:footnote>
  <w:footnote w:id="5">
    <w:p w14:paraId="7CEC64B1" w14:textId="77777777" w:rsidR="0042789D" w:rsidRDefault="0042789D" w:rsidP="00AB0933">
      <w:pPr>
        <w:pStyle w:val="Footnote"/>
      </w:pPr>
      <w:r>
        <w:rPr>
          <w:rStyle w:val="FootnoteReference"/>
        </w:rPr>
        <w:footnoteRef/>
      </w:r>
      <w:r>
        <w:t xml:space="preserve"> </w:t>
      </w:r>
      <w:r w:rsidRPr="003F69C1">
        <w:rPr>
          <w:i/>
        </w:rPr>
        <w:t>Child Protection (Offenders Registration) Act 2000</w:t>
      </w:r>
      <w:r w:rsidRPr="003F69C1">
        <w:t xml:space="preserve"> (NSW) s</w:t>
      </w:r>
      <w:r>
        <w:t xml:space="preserve"> 19.</w:t>
      </w:r>
    </w:p>
  </w:footnote>
  <w:footnote w:id="6">
    <w:p w14:paraId="184DE62E" w14:textId="74F8537E" w:rsidR="0042789D" w:rsidRPr="00242DF0" w:rsidRDefault="0042789D">
      <w:pPr>
        <w:pStyle w:val="FootnoteText"/>
      </w:pPr>
      <w:r w:rsidRPr="003C7A2F">
        <w:rPr>
          <w:rStyle w:val="FootnoteReference"/>
        </w:rPr>
        <w:footnoteRef/>
      </w:r>
      <w:r w:rsidRPr="003C7A2F">
        <w:t xml:space="preserve"> Discussed in </w:t>
      </w:r>
      <w:r>
        <w:t xml:space="preserve">Chapter </w:t>
      </w:r>
      <w:r w:rsidRPr="00242DF0">
        <w:t xml:space="preserve">6 section </w:t>
      </w:r>
      <w:r w:rsidRPr="00242DF0">
        <w:fldChar w:fldCharType="begin"/>
      </w:r>
      <w:r w:rsidRPr="00242DF0">
        <w:instrText xml:space="preserve"> REF _Ref9849957 \r \h  \* MERGEFORMAT </w:instrText>
      </w:r>
      <w:r w:rsidRPr="00242DF0">
        <w:fldChar w:fldCharType="separate"/>
      </w:r>
      <w:r w:rsidR="00022664">
        <w:rPr>
          <w:rFonts w:hint="cs"/>
          <w:cs/>
        </w:rPr>
        <w:t>‎</w:t>
      </w:r>
      <w:r w:rsidR="00022664">
        <w:t>6.3.1</w:t>
      </w:r>
      <w:r w:rsidRPr="00242DF0">
        <w:fldChar w:fldCharType="end"/>
      </w:r>
      <w:r w:rsidRPr="00242DF0">
        <w:t xml:space="preserve"> and Appendix 2 (part 3.4).</w:t>
      </w:r>
    </w:p>
  </w:footnote>
  <w:footnote w:id="7">
    <w:p w14:paraId="00F98A8D" w14:textId="77777777" w:rsidR="0042789D" w:rsidRPr="00242DF0" w:rsidRDefault="0042789D" w:rsidP="00515408">
      <w:pPr>
        <w:pStyle w:val="FootnoteText"/>
        <w:spacing w:before="60" w:after="60"/>
        <w:rPr>
          <w:rFonts w:ascii="Gotham Book" w:hAnsi="Gotham Book"/>
        </w:rPr>
      </w:pPr>
      <w:r w:rsidRPr="00242DF0">
        <w:rPr>
          <w:rStyle w:val="FootnoteReference"/>
          <w:rFonts w:ascii="Gotham Book" w:hAnsi="Gotham Book"/>
        </w:rPr>
        <w:footnoteRef/>
      </w:r>
      <w:r w:rsidRPr="00242DF0">
        <w:rPr>
          <w:rFonts w:ascii="Gotham Book" w:hAnsi="Gotham Book"/>
        </w:rPr>
        <w:t xml:space="preserve"> See Chapter 3 section 3.4.</w:t>
      </w:r>
    </w:p>
  </w:footnote>
  <w:footnote w:id="8">
    <w:p w14:paraId="4BE20BD0" w14:textId="3178EA68" w:rsidR="0042789D" w:rsidRPr="00242DF0" w:rsidRDefault="0042789D" w:rsidP="00515408">
      <w:pPr>
        <w:pStyle w:val="FootnoteText"/>
      </w:pPr>
      <w:r w:rsidRPr="00242DF0">
        <w:rPr>
          <w:rStyle w:val="FootnoteReference"/>
        </w:rPr>
        <w:footnoteRef/>
      </w:r>
      <w:r w:rsidRPr="00242DF0">
        <w:t xml:space="preserve"> See Chapter 3 section 3.5.2 (Case Study 2), and Chapter 6 section </w:t>
      </w:r>
      <w:r w:rsidRPr="00242DF0">
        <w:fldChar w:fldCharType="begin"/>
      </w:r>
      <w:r w:rsidRPr="00242DF0">
        <w:instrText xml:space="preserve"> REF _Ref9850911 \r \h  \* MERGEFORMAT </w:instrText>
      </w:r>
      <w:r w:rsidRPr="00242DF0">
        <w:fldChar w:fldCharType="separate"/>
      </w:r>
      <w:r w:rsidR="00022664">
        <w:rPr>
          <w:rFonts w:hint="cs"/>
          <w:cs/>
        </w:rPr>
        <w:t>‎</w:t>
      </w:r>
      <w:r w:rsidR="00022664">
        <w:t>6.3.6</w:t>
      </w:r>
      <w:r w:rsidRPr="00242DF0">
        <w:fldChar w:fldCharType="end"/>
      </w:r>
      <w:r w:rsidRPr="00242DF0">
        <w:t xml:space="preserve"> and Appendix 2, part </w:t>
      </w:r>
      <w:r w:rsidRPr="00242DF0">
        <w:fldChar w:fldCharType="begin"/>
      </w:r>
      <w:r w:rsidRPr="00242DF0">
        <w:instrText xml:space="preserve"> REF _Ref9850949 \r \h  \* MERGEFORMAT </w:instrText>
      </w:r>
      <w:r w:rsidRPr="00242DF0">
        <w:fldChar w:fldCharType="separate"/>
      </w:r>
      <w:r w:rsidR="00022664">
        <w:rPr>
          <w:rFonts w:hint="cs"/>
          <w:cs/>
        </w:rPr>
        <w:t>‎</w:t>
      </w:r>
      <w:r w:rsidR="00022664">
        <w:t>6.3</w:t>
      </w:r>
      <w:r w:rsidRPr="00242DF0">
        <w:fldChar w:fldCharType="end"/>
      </w:r>
      <w:r w:rsidRPr="00242DF0">
        <w:t xml:space="preserve"> (Example 8).</w:t>
      </w:r>
    </w:p>
  </w:footnote>
  <w:footnote w:id="9">
    <w:p w14:paraId="6F9A60A7" w14:textId="53864A7A" w:rsidR="0042789D" w:rsidRPr="004614BC" w:rsidRDefault="0042789D" w:rsidP="007A4455">
      <w:pPr>
        <w:pStyle w:val="Footnote"/>
      </w:pPr>
      <w:r w:rsidRPr="00242DF0">
        <w:rPr>
          <w:rStyle w:val="FootnoteReference"/>
          <w:rFonts w:ascii="Gotham Book" w:hAnsi="Gotham Book"/>
        </w:rPr>
        <w:footnoteRef/>
      </w:r>
      <w:r w:rsidRPr="00242DF0">
        <w:t xml:space="preserve"> See Chapter 7 section 7.6.</w:t>
      </w:r>
    </w:p>
  </w:footnote>
  <w:footnote w:id="10">
    <w:p w14:paraId="7B4DB0C8" w14:textId="77777777" w:rsidR="0042789D" w:rsidRPr="00AB0933" w:rsidRDefault="0042789D" w:rsidP="00AB0933">
      <w:pPr>
        <w:pStyle w:val="Footnote"/>
        <w:rPr>
          <w:szCs w:val="20"/>
        </w:rPr>
      </w:pPr>
      <w:r w:rsidRPr="00AB0933">
        <w:rPr>
          <w:rStyle w:val="FootnoteReference"/>
          <w:rFonts w:ascii="Gotham Book" w:hAnsi="Gotham Book"/>
          <w:szCs w:val="20"/>
        </w:rPr>
        <w:footnoteRef/>
      </w:r>
      <w:r w:rsidRPr="00AB0933">
        <w:rPr>
          <w:szCs w:val="20"/>
        </w:rPr>
        <w:t xml:space="preserve"> </w:t>
      </w:r>
      <w:r w:rsidRPr="00AB0933">
        <w:rPr>
          <w:i/>
          <w:szCs w:val="20"/>
        </w:rPr>
        <w:t>Child Protection (Offenders Registration) Act 2000</w:t>
      </w:r>
      <w:r w:rsidRPr="00AB0933">
        <w:rPr>
          <w:szCs w:val="20"/>
        </w:rPr>
        <w:t xml:space="preserve"> (NSW) s 16C.</w:t>
      </w:r>
    </w:p>
  </w:footnote>
  <w:footnote w:id="11">
    <w:p w14:paraId="6E83D97F" w14:textId="6477332B" w:rsidR="0042789D" w:rsidRPr="00AB0933" w:rsidRDefault="0042789D" w:rsidP="00AB0933">
      <w:pPr>
        <w:pStyle w:val="Footnote"/>
        <w:rPr>
          <w:szCs w:val="20"/>
        </w:rPr>
      </w:pPr>
      <w:r w:rsidRPr="00AB0933">
        <w:rPr>
          <w:rStyle w:val="FootnoteReference"/>
          <w:rFonts w:ascii="Gotham Book" w:hAnsi="Gotham Book"/>
          <w:szCs w:val="20"/>
        </w:rPr>
        <w:footnoteRef/>
      </w:r>
      <w:r>
        <w:rPr>
          <w:szCs w:val="20"/>
        </w:rPr>
        <w:t xml:space="preserve"> S</w:t>
      </w:r>
      <w:r w:rsidRPr="00AB0933">
        <w:rPr>
          <w:szCs w:val="20"/>
        </w:rPr>
        <w:t xml:space="preserve">ee </w:t>
      </w:r>
      <w:r>
        <w:rPr>
          <w:szCs w:val="20"/>
        </w:rPr>
        <w:t xml:space="preserve">the </w:t>
      </w:r>
      <w:r w:rsidRPr="00A11B21">
        <w:rPr>
          <w:szCs w:val="20"/>
        </w:rPr>
        <w:t>list of case studies at the front of this report.</w:t>
      </w:r>
    </w:p>
  </w:footnote>
  <w:footnote w:id="12">
    <w:p w14:paraId="5B95499D" w14:textId="478FAF9C" w:rsidR="0042789D" w:rsidRPr="00AB0933" w:rsidRDefault="0042789D" w:rsidP="00AB0933">
      <w:pPr>
        <w:spacing w:before="60" w:after="60" w:line="240" w:lineRule="auto"/>
        <w:rPr>
          <w:rFonts w:ascii="Gotham Book" w:hAnsi="Gotham Book"/>
          <w:sz w:val="20"/>
          <w:szCs w:val="20"/>
        </w:rPr>
      </w:pPr>
      <w:r w:rsidRPr="00AB0933">
        <w:rPr>
          <w:rStyle w:val="FootnoteReference"/>
          <w:sz w:val="20"/>
          <w:szCs w:val="20"/>
        </w:rPr>
        <w:footnoteRef/>
      </w:r>
      <w:r w:rsidRPr="00AB0933">
        <w:rPr>
          <w:sz w:val="20"/>
          <w:szCs w:val="20"/>
        </w:rPr>
        <w:t xml:space="preserve"> New South Wales Ombudsman, </w:t>
      </w:r>
      <w:r w:rsidRPr="00AB0933">
        <w:rPr>
          <w:i/>
          <w:sz w:val="20"/>
          <w:szCs w:val="20"/>
        </w:rPr>
        <w:t>Review of the Child Prot</w:t>
      </w:r>
      <w:r>
        <w:rPr>
          <w:i/>
          <w:sz w:val="20"/>
          <w:szCs w:val="20"/>
        </w:rPr>
        <w:t>ection Register: Report under s </w:t>
      </w:r>
      <w:r w:rsidRPr="00AB0933">
        <w:rPr>
          <w:i/>
          <w:sz w:val="20"/>
          <w:szCs w:val="20"/>
        </w:rPr>
        <w:t>25(1) of the Child Protection (Offenders Registration) Act 2000</w:t>
      </w:r>
      <w:r w:rsidRPr="00AB0933">
        <w:rPr>
          <w:sz w:val="20"/>
          <w:szCs w:val="20"/>
        </w:rPr>
        <w:t xml:space="preserve"> (2005); Ministry for Police</w:t>
      </w:r>
      <w:r>
        <w:rPr>
          <w:sz w:val="20"/>
          <w:szCs w:val="20"/>
        </w:rPr>
        <w:t xml:space="preserve"> (NSW)</w:t>
      </w:r>
      <w:r w:rsidRPr="00AB0933">
        <w:rPr>
          <w:sz w:val="20"/>
          <w:szCs w:val="20"/>
        </w:rPr>
        <w:t xml:space="preserve">, </w:t>
      </w:r>
      <w:r w:rsidRPr="00AB0933">
        <w:rPr>
          <w:i/>
          <w:sz w:val="20"/>
          <w:szCs w:val="20"/>
        </w:rPr>
        <w:t>Report to Parliament: Review of Child Protection (Offenders Registration) Act 2000</w:t>
      </w:r>
      <w:r w:rsidRPr="00AB0933">
        <w:rPr>
          <w:sz w:val="20"/>
          <w:szCs w:val="20"/>
        </w:rPr>
        <w:t xml:space="preserve"> (2007); </w:t>
      </w:r>
      <w:r w:rsidRPr="00AB0933">
        <w:rPr>
          <w:rFonts w:ascii="Gotham Book" w:hAnsi="Gotham Book"/>
          <w:sz w:val="20"/>
          <w:szCs w:val="20"/>
        </w:rPr>
        <w:t>Ministry for Police and Emergency Services</w:t>
      </w:r>
      <w:r>
        <w:rPr>
          <w:rFonts w:ascii="Gotham Book" w:hAnsi="Gotham Book"/>
          <w:sz w:val="20"/>
          <w:szCs w:val="20"/>
        </w:rPr>
        <w:t xml:space="preserve"> (NSW)</w:t>
      </w:r>
      <w:r w:rsidRPr="00352F41">
        <w:rPr>
          <w:rFonts w:ascii="Gotham Book" w:hAnsi="Gotham Book"/>
          <w:sz w:val="20"/>
          <w:szCs w:val="20"/>
        </w:rPr>
        <w:t xml:space="preserve">, </w:t>
      </w:r>
      <w:r w:rsidRPr="00352F41">
        <w:rPr>
          <w:rFonts w:ascii="Gotham Book" w:hAnsi="Gotham Book"/>
          <w:i/>
          <w:sz w:val="20"/>
          <w:szCs w:val="20"/>
        </w:rPr>
        <w:t>Report:</w:t>
      </w:r>
      <w:r w:rsidRPr="00352F41">
        <w:rPr>
          <w:rFonts w:ascii="Gotham Book" w:hAnsi="Gotham Book"/>
          <w:sz w:val="20"/>
          <w:szCs w:val="20"/>
        </w:rPr>
        <w:t xml:space="preserve"> </w:t>
      </w:r>
      <w:r w:rsidRPr="00352F41">
        <w:rPr>
          <w:rFonts w:ascii="Gotham Book" w:hAnsi="Gotham Book"/>
          <w:i/>
          <w:sz w:val="20"/>
          <w:szCs w:val="20"/>
        </w:rPr>
        <w:t>Statutory review of the</w:t>
      </w:r>
      <w:r w:rsidRPr="00352F41">
        <w:rPr>
          <w:rFonts w:ascii="Gotham Book" w:hAnsi="Gotham Book"/>
          <w:sz w:val="20"/>
          <w:szCs w:val="20"/>
        </w:rPr>
        <w:t xml:space="preserve"> </w:t>
      </w:r>
      <w:r w:rsidRPr="00352F41">
        <w:rPr>
          <w:rFonts w:ascii="Gotham Book" w:hAnsi="Gotham Book"/>
          <w:i/>
          <w:sz w:val="20"/>
          <w:szCs w:val="20"/>
        </w:rPr>
        <w:t xml:space="preserve">Child Protection (Offenders Registration) Act 2000 </w:t>
      </w:r>
      <w:r w:rsidRPr="00352F41">
        <w:rPr>
          <w:rFonts w:ascii="Gotham Book" w:hAnsi="Gotham Book"/>
          <w:sz w:val="20"/>
          <w:szCs w:val="20"/>
        </w:rPr>
        <w:t xml:space="preserve">(2013); NSW Sentencing Council, </w:t>
      </w:r>
      <w:r w:rsidRPr="00352F41">
        <w:rPr>
          <w:rFonts w:ascii="Gotham Book" w:hAnsi="Gotham Book"/>
          <w:i/>
          <w:sz w:val="20"/>
          <w:szCs w:val="20"/>
        </w:rPr>
        <w:t>Penalties Relating to Sexual Assault Offences in New South Wales</w:t>
      </w:r>
      <w:r w:rsidRPr="00352F41">
        <w:rPr>
          <w:rFonts w:ascii="Gotham Book" w:hAnsi="Gotham Book"/>
          <w:sz w:val="20"/>
          <w:szCs w:val="20"/>
        </w:rPr>
        <w:t xml:space="preserve">, volume 3 (2009); </w:t>
      </w:r>
      <w:r w:rsidRPr="00352F41">
        <w:rPr>
          <w:sz w:val="20"/>
          <w:szCs w:val="20"/>
        </w:rPr>
        <w:t xml:space="preserve">New South Wales Ombudsman, </w:t>
      </w:r>
      <w:r w:rsidRPr="00352F41">
        <w:rPr>
          <w:rFonts w:cs="Swiss721BT-Medium"/>
          <w:i/>
          <w:sz w:val="20"/>
          <w:szCs w:val="20"/>
        </w:rPr>
        <w:t xml:space="preserve">Responding to Child Sexual Assault in Aboriginal Communities: A report under Part 6A of the </w:t>
      </w:r>
      <w:r w:rsidRPr="003B373C">
        <w:rPr>
          <w:rFonts w:cs="Swiss721BT-MediumItalic"/>
          <w:i/>
          <w:iCs/>
          <w:sz w:val="20"/>
          <w:szCs w:val="20"/>
        </w:rPr>
        <w:t>Community</w:t>
      </w:r>
      <w:r w:rsidRPr="003B373C">
        <w:rPr>
          <w:i/>
          <w:sz w:val="20"/>
          <w:szCs w:val="20"/>
        </w:rPr>
        <w:t xml:space="preserve"> </w:t>
      </w:r>
      <w:r w:rsidRPr="003B373C">
        <w:rPr>
          <w:rFonts w:cs="Swiss721BT-MediumItalic"/>
          <w:i/>
          <w:iCs/>
          <w:sz w:val="20"/>
          <w:szCs w:val="20"/>
        </w:rPr>
        <w:t>Services (Complaints, Reviews and</w:t>
      </w:r>
      <w:r w:rsidRPr="003B373C">
        <w:rPr>
          <w:i/>
          <w:sz w:val="20"/>
          <w:szCs w:val="20"/>
        </w:rPr>
        <w:t xml:space="preserve"> </w:t>
      </w:r>
      <w:r w:rsidRPr="003B373C">
        <w:rPr>
          <w:rFonts w:cs="Swiss721BT-MediumItalic"/>
          <w:i/>
          <w:iCs/>
          <w:sz w:val="20"/>
          <w:szCs w:val="20"/>
        </w:rPr>
        <w:t>Monitoring) Act 1993</w:t>
      </w:r>
      <w:r w:rsidRPr="00352F41">
        <w:rPr>
          <w:rFonts w:cs="Swiss721BT-MediumItalic"/>
          <w:iCs/>
          <w:sz w:val="20"/>
          <w:szCs w:val="20"/>
        </w:rPr>
        <w:t xml:space="preserve"> (2012);</w:t>
      </w:r>
      <w:r w:rsidRPr="00352F41">
        <w:rPr>
          <w:rFonts w:ascii="Gotham Book" w:hAnsi="Gotham Book"/>
          <w:sz w:val="20"/>
          <w:szCs w:val="20"/>
        </w:rPr>
        <w:t xml:space="preserve"> Ministry for Police and Emergency Services, Department of Attorney General and Justice</w:t>
      </w:r>
      <w:r>
        <w:rPr>
          <w:rFonts w:ascii="Gotham Book" w:hAnsi="Gotham Book"/>
          <w:sz w:val="20"/>
          <w:szCs w:val="20"/>
        </w:rPr>
        <w:t xml:space="preserve"> (NSW)</w:t>
      </w:r>
      <w:r w:rsidRPr="00352F41">
        <w:rPr>
          <w:rFonts w:ascii="Gotham Book" w:hAnsi="Gotham Book"/>
          <w:sz w:val="20"/>
          <w:szCs w:val="20"/>
        </w:rPr>
        <w:t xml:space="preserve">, </w:t>
      </w:r>
      <w:r w:rsidRPr="00352F41">
        <w:rPr>
          <w:rFonts w:ascii="Gotham Book" w:hAnsi="Gotham Book"/>
          <w:i/>
          <w:sz w:val="20"/>
          <w:szCs w:val="20"/>
        </w:rPr>
        <w:t>Statutory Review of the Child Protection (Offenders Prohibition Orders) Act 2004</w:t>
      </w:r>
      <w:r w:rsidRPr="00352F41">
        <w:rPr>
          <w:rFonts w:ascii="Gotham Book" w:hAnsi="Gotham Book"/>
          <w:sz w:val="20"/>
          <w:szCs w:val="20"/>
        </w:rPr>
        <w:t xml:space="preserve"> (2013); </w:t>
      </w:r>
      <w:r w:rsidRPr="00352F41">
        <w:rPr>
          <w:sz w:val="20"/>
          <w:szCs w:val="20"/>
        </w:rPr>
        <w:t xml:space="preserve">Joint Select Committee on Sentencing of Child Sexual Assault Offenders, Parliament of New South Wales, </w:t>
      </w:r>
      <w:r w:rsidRPr="00352F41">
        <w:rPr>
          <w:i/>
          <w:sz w:val="20"/>
          <w:szCs w:val="20"/>
        </w:rPr>
        <w:t>Every Sentence Tells a Story – Report on Sentencing of Child Sexual Assault Offenders</w:t>
      </w:r>
      <w:r w:rsidRPr="00352F41">
        <w:rPr>
          <w:sz w:val="20"/>
          <w:szCs w:val="20"/>
        </w:rPr>
        <w:t>, Report 1/55 (2014).</w:t>
      </w:r>
    </w:p>
  </w:footnote>
  <w:footnote w:id="13">
    <w:p w14:paraId="1C3CF3EB" w14:textId="210367CD" w:rsidR="0042789D" w:rsidRPr="007B2871" w:rsidRDefault="0042789D" w:rsidP="008727D6">
      <w:pPr>
        <w:pStyle w:val="Footnote"/>
        <w:rPr>
          <w:szCs w:val="20"/>
        </w:rPr>
      </w:pPr>
      <w:r w:rsidRPr="007B2871">
        <w:rPr>
          <w:rStyle w:val="FootnoteReference"/>
          <w:rFonts w:ascii="Gotham Book" w:hAnsi="Gotham Book"/>
          <w:szCs w:val="20"/>
        </w:rPr>
        <w:footnoteRef/>
      </w:r>
      <w:r w:rsidRPr="007B2871">
        <w:rPr>
          <w:szCs w:val="20"/>
        </w:rPr>
        <w:t xml:space="preserve"> </w:t>
      </w:r>
      <w:r>
        <w:rPr>
          <w:szCs w:val="20"/>
        </w:rPr>
        <w:t xml:space="preserve">Email from </w:t>
      </w:r>
      <w:r w:rsidRPr="009542F1">
        <w:rPr>
          <w:szCs w:val="20"/>
        </w:rPr>
        <w:t xml:space="preserve">NSW Bureau of Crime Statistics and Research to </w:t>
      </w:r>
      <w:r>
        <w:rPr>
          <w:szCs w:val="20"/>
        </w:rPr>
        <w:t>Law Enforcement Conduct Commission, 14 June 2018</w:t>
      </w:r>
      <w:r w:rsidRPr="009542F1">
        <w:rPr>
          <w:szCs w:val="20"/>
        </w:rPr>
        <w:t xml:space="preserve"> (BOCSAR Ref.18-16301); Email from</w:t>
      </w:r>
      <w:r>
        <w:rPr>
          <w:szCs w:val="20"/>
        </w:rPr>
        <w:t xml:space="preserve"> </w:t>
      </w:r>
      <w:r w:rsidRPr="009542F1">
        <w:rPr>
          <w:szCs w:val="20"/>
        </w:rPr>
        <w:t xml:space="preserve">NSW Bureau of Crime Statistics and Research to </w:t>
      </w:r>
      <w:r>
        <w:rPr>
          <w:szCs w:val="20"/>
        </w:rPr>
        <w:t xml:space="preserve">Law Enforcement Conduct Commission, 23 November 2018 (BOCSAR Ref.18-16994); Email from NSW Bureau of Crime Statistics and Research to Law Enforcement Conduct Commission, 23 September 2019 (BOCSAR Ref. </w:t>
      </w:r>
      <w:r w:rsidRPr="00AE649D">
        <w:rPr>
          <w:szCs w:val="20"/>
        </w:rPr>
        <w:t>19-18087</w:t>
      </w:r>
      <w:r>
        <w:rPr>
          <w:szCs w:val="20"/>
        </w:rPr>
        <w:t>).</w:t>
      </w:r>
    </w:p>
  </w:footnote>
  <w:footnote w:id="14">
    <w:p w14:paraId="69663C56" w14:textId="77777777" w:rsidR="0042789D" w:rsidRPr="007B2871" w:rsidRDefault="0042789D" w:rsidP="008727D6">
      <w:pPr>
        <w:pStyle w:val="Footnote"/>
        <w:rPr>
          <w:szCs w:val="20"/>
        </w:rPr>
      </w:pPr>
      <w:r w:rsidRPr="007B2871">
        <w:rPr>
          <w:rStyle w:val="FootnoteReference"/>
          <w:rFonts w:ascii="Gotham Book" w:hAnsi="Gotham Book"/>
          <w:szCs w:val="20"/>
        </w:rPr>
        <w:footnoteRef/>
      </w:r>
      <w:r w:rsidRPr="007B2871">
        <w:rPr>
          <w:szCs w:val="20"/>
        </w:rPr>
        <w:t xml:space="preserve"> These are referred to as child pornography offenses in the BOCSAR data. </w:t>
      </w:r>
    </w:p>
  </w:footnote>
  <w:footnote w:id="15">
    <w:p w14:paraId="527058B6" w14:textId="34FFE965" w:rsidR="0042789D" w:rsidRPr="007B2871" w:rsidRDefault="0042789D" w:rsidP="008727D6">
      <w:pPr>
        <w:pStyle w:val="FootnoteText"/>
        <w:spacing w:before="60" w:after="60"/>
      </w:pPr>
      <w:r w:rsidRPr="007B2871">
        <w:rPr>
          <w:rStyle w:val="FootnoteReference"/>
        </w:rPr>
        <w:footnoteRef/>
      </w:r>
      <w:r w:rsidRPr="007B2871">
        <w:t xml:space="preserve"> Letter</w:t>
      </w:r>
      <w:r>
        <w:t xml:space="preserve"> from Chief Commissioner, Law Enforcement Conduct Commission, </w:t>
      </w:r>
      <w:r w:rsidRPr="007B2871">
        <w:t>to the Commissioner of Police</w:t>
      </w:r>
      <w:r>
        <w:t>, NSW Police Force</w:t>
      </w:r>
      <w:r w:rsidRPr="007B2871">
        <w:t>, 18 September 2017.</w:t>
      </w:r>
    </w:p>
  </w:footnote>
  <w:footnote w:id="16">
    <w:p w14:paraId="3356001D" w14:textId="0005604E" w:rsidR="0042789D" w:rsidRPr="007B2871" w:rsidRDefault="0042789D" w:rsidP="008727D6">
      <w:pPr>
        <w:pStyle w:val="FootnoteText"/>
        <w:spacing w:before="60" w:after="60"/>
      </w:pPr>
      <w:r w:rsidRPr="007B2871">
        <w:rPr>
          <w:rStyle w:val="FootnoteReference"/>
        </w:rPr>
        <w:footnoteRef/>
      </w:r>
      <w:r>
        <w:t xml:space="preserve"> Letter from Chief Commissioner, Law Enforcement Conduct Commission, to the Commissioner of Police, NSW Police Force</w:t>
      </w:r>
      <w:r w:rsidRPr="007B2871">
        <w:t>, 9 August 2018.</w:t>
      </w:r>
    </w:p>
  </w:footnote>
  <w:footnote w:id="17">
    <w:p w14:paraId="66F2384D" w14:textId="2D25DBFF" w:rsidR="0042789D" w:rsidRPr="004576CB" w:rsidRDefault="0042789D" w:rsidP="008727D6">
      <w:pPr>
        <w:pStyle w:val="FootnoteText"/>
        <w:spacing w:before="60" w:after="60"/>
      </w:pPr>
      <w:r w:rsidRPr="00B43C11">
        <w:rPr>
          <w:rStyle w:val="FootnoteReference"/>
        </w:rPr>
        <w:footnoteRef/>
      </w:r>
      <w:r w:rsidRPr="00B43C11">
        <w:t xml:space="preserve"> Letter from Chief Commissioner, </w:t>
      </w:r>
      <w:r>
        <w:t>Law Enforcement Conduct Commission</w:t>
      </w:r>
      <w:r w:rsidRPr="00B43C11">
        <w:t xml:space="preserve">, to the Commissioner of Police, </w:t>
      </w:r>
      <w:r>
        <w:t>NSW Police Force</w:t>
      </w:r>
      <w:r w:rsidRPr="00B43C11">
        <w:t xml:space="preserve">, 31 August </w:t>
      </w:r>
      <w:r w:rsidRPr="004576CB">
        <w:t>2018.</w:t>
      </w:r>
    </w:p>
  </w:footnote>
  <w:footnote w:id="18">
    <w:p w14:paraId="1A738A51" w14:textId="5A460A92" w:rsidR="0042789D" w:rsidRDefault="0042789D">
      <w:pPr>
        <w:pStyle w:val="FootnoteText"/>
      </w:pPr>
      <w:r w:rsidRPr="004576CB">
        <w:rPr>
          <w:rStyle w:val="FootnoteReference"/>
        </w:rPr>
        <w:footnoteRef/>
      </w:r>
      <w:r w:rsidRPr="004576CB">
        <w:t xml:space="preserve"> Letter from Chief Commissioner, </w:t>
      </w:r>
      <w:r>
        <w:t>Law Enforcement Conduct Commission</w:t>
      </w:r>
      <w:r w:rsidRPr="004576CB">
        <w:t xml:space="preserve">, to the Commissioner of Police, </w:t>
      </w:r>
      <w:r>
        <w:t>NSW Police Force</w:t>
      </w:r>
      <w:r w:rsidRPr="004576CB">
        <w:t>, 7 August 2019.</w:t>
      </w:r>
    </w:p>
  </w:footnote>
  <w:footnote w:id="19">
    <w:p w14:paraId="6A55ED57" w14:textId="392B90EC" w:rsidR="0042789D" w:rsidRPr="00EA0C3D" w:rsidRDefault="0042789D" w:rsidP="004C376E">
      <w:pPr>
        <w:pStyle w:val="FootnoteText"/>
        <w:spacing w:before="60" w:after="60"/>
      </w:pPr>
      <w:r w:rsidRPr="00EA0C3D">
        <w:rPr>
          <w:rStyle w:val="FootnoteReference"/>
        </w:rPr>
        <w:footnoteRef/>
      </w:r>
      <w:r w:rsidRPr="00EA0C3D">
        <w:t xml:space="preserve"> Victorian Law Reform Commission, </w:t>
      </w:r>
      <w:r w:rsidRPr="00EA0C3D">
        <w:rPr>
          <w:i/>
        </w:rPr>
        <w:t>Sex Offenders Registration</w:t>
      </w:r>
      <w:r>
        <w:t xml:space="preserve"> (2012)</w:t>
      </w:r>
      <w:r w:rsidRPr="00EA0C3D">
        <w:t xml:space="preserve"> para 1.10. The </w:t>
      </w:r>
      <w:r w:rsidRPr="007E0588">
        <w:rPr>
          <w:rFonts w:ascii="Gotham Book" w:hAnsi="Gotham Book"/>
          <w:i/>
        </w:rPr>
        <w:t>Child Protection (Offenders Registration) Act 200</w:t>
      </w:r>
      <w:r>
        <w:rPr>
          <w:rFonts w:ascii="Gotham Book" w:hAnsi="Gotham Book"/>
          <w:i/>
        </w:rPr>
        <w:t>0</w:t>
      </w:r>
      <w:r w:rsidRPr="007E0588">
        <w:rPr>
          <w:rFonts w:ascii="Gotham Book" w:hAnsi="Gotham Book"/>
          <w:i/>
        </w:rPr>
        <w:t xml:space="preserve"> (NSW) </w:t>
      </w:r>
      <w:r w:rsidRPr="007E0588">
        <w:t>was introduced in response to Recommendation 1</w:t>
      </w:r>
      <w:r w:rsidRPr="00EA0C3D">
        <w:t xml:space="preserve">11 of the Royal Commission into the New South Wales Police Service (Wood Royal Commission): New South Wales, </w:t>
      </w:r>
      <w:r w:rsidRPr="00EA0C3D">
        <w:rPr>
          <w:i/>
        </w:rPr>
        <w:t xml:space="preserve">Parliamentary Debates, </w:t>
      </w:r>
      <w:r w:rsidRPr="00EA0C3D">
        <w:t>Legislative Assembly, 1</w:t>
      </w:r>
      <w:r>
        <w:t> </w:t>
      </w:r>
      <w:r w:rsidRPr="00EA0C3D">
        <w:t xml:space="preserve">June 2000, </w:t>
      </w:r>
      <w:r>
        <w:t xml:space="preserve">p </w:t>
      </w:r>
      <w:r w:rsidRPr="00EA0C3D">
        <w:t xml:space="preserve">6475 (Paul Whelan, Minister for Police). </w:t>
      </w:r>
    </w:p>
  </w:footnote>
  <w:footnote w:id="20">
    <w:p w14:paraId="7D7F02BC" w14:textId="77777777" w:rsidR="0042789D" w:rsidRPr="00EA0C3D" w:rsidRDefault="0042789D" w:rsidP="004C376E">
      <w:pPr>
        <w:pStyle w:val="FootnoteText"/>
        <w:spacing w:before="60" w:after="60"/>
      </w:pPr>
      <w:r w:rsidRPr="00EA0C3D">
        <w:rPr>
          <w:rStyle w:val="FootnoteReference"/>
        </w:rPr>
        <w:footnoteRef/>
      </w:r>
      <w:r w:rsidRPr="00EA0C3D">
        <w:t xml:space="preserve"> </w:t>
      </w:r>
      <w:r w:rsidRPr="00EA0C3D">
        <w:rPr>
          <w:i/>
        </w:rPr>
        <w:t>Child Protection (Offenders Registration) Act 2000</w:t>
      </w:r>
      <w:r w:rsidRPr="00EA0C3D">
        <w:t xml:space="preserve"> (NSW) s 2A.</w:t>
      </w:r>
    </w:p>
  </w:footnote>
  <w:footnote w:id="21">
    <w:p w14:paraId="338A8690" w14:textId="4E6EFFFE" w:rsidR="0042789D" w:rsidRDefault="0042789D">
      <w:pPr>
        <w:pStyle w:val="FootnoteText"/>
      </w:pPr>
      <w:r w:rsidRPr="008A151F">
        <w:rPr>
          <w:rStyle w:val="FootnoteReference"/>
        </w:rPr>
        <w:footnoteRef/>
      </w:r>
      <w:r w:rsidRPr="008A151F">
        <w:t xml:space="preserve">  </w:t>
      </w:r>
      <w:r>
        <w:t>T</w:t>
      </w:r>
      <w:r w:rsidRPr="00EA0C3D">
        <w:t>here are a few limited exceptions</w:t>
      </w:r>
      <w:r>
        <w:t xml:space="preserve"> to registration for first time juvenile offenders who have been sentenced for a registrable offence, as well as a discretion in relation to registration for certain juvenile offenders</w:t>
      </w:r>
      <w:r w:rsidRPr="00EA0C3D">
        <w:t xml:space="preserve">: see </w:t>
      </w:r>
      <w:r w:rsidRPr="00EA0C3D">
        <w:rPr>
          <w:i/>
        </w:rPr>
        <w:t>Child Protection (Offenders Registration) Act 2000</w:t>
      </w:r>
      <w:r>
        <w:t xml:space="preserve"> (NSW) s 3A(2) and s 3C.</w:t>
      </w:r>
    </w:p>
  </w:footnote>
  <w:footnote w:id="22">
    <w:p w14:paraId="2ABE214D" w14:textId="1B3C287B" w:rsidR="0042789D" w:rsidRPr="007A1548" w:rsidRDefault="0042789D">
      <w:pPr>
        <w:pStyle w:val="FootnoteText"/>
      </w:pPr>
      <w:r w:rsidRPr="007A1548">
        <w:rPr>
          <w:rStyle w:val="FootnoteReference"/>
        </w:rPr>
        <w:footnoteRef/>
      </w:r>
      <w:r w:rsidRPr="007A1548">
        <w:t xml:space="preserve"> ‘Child abuse material’ is defined in s 91FB of the </w:t>
      </w:r>
      <w:r w:rsidRPr="007A1548">
        <w:rPr>
          <w:i/>
        </w:rPr>
        <w:t>Crimes Act 1900</w:t>
      </w:r>
      <w:r w:rsidRPr="007A1548">
        <w:t xml:space="preserve"> (NSW).</w:t>
      </w:r>
    </w:p>
  </w:footnote>
  <w:footnote w:id="23">
    <w:p w14:paraId="3258F6A9" w14:textId="057ACC16" w:rsidR="0042789D" w:rsidRPr="00EA0C3D" w:rsidRDefault="0042789D" w:rsidP="004C376E">
      <w:pPr>
        <w:pStyle w:val="FootnoteText"/>
        <w:spacing w:before="60" w:after="60"/>
      </w:pPr>
      <w:r w:rsidRPr="00EA0C3D">
        <w:rPr>
          <w:rStyle w:val="FootnoteReference"/>
        </w:rPr>
        <w:footnoteRef/>
      </w:r>
      <w:r w:rsidRPr="00EA0C3D">
        <w:t xml:space="preserve"> </w:t>
      </w:r>
      <w:r w:rsidRPr="00EA0C3D">
        <w:rPr>
          <w:i/>
        </w:rPr>
        <w:t>Child Protection (Offenders Registration) Act 2000</w:t>
      </w:r>
      <w:r w:rsidRPr="00EA0C3D">
        <w:t xml:space="preserve"> (NSW) s 3</w:t>
      </w:r>
      <w:r>
        <w:t xml:space="preserve"> (definition of </w:t>
      </w:r>
      <w:r w:rsidRPr="00EA0C3D">
        <w:t>‘registrable offence’, ‘Class 1 offence’ and ‘Class 2 offence’</w:t>
      </w:r>
      <w:r>
        <w:t>)</w:t>
      </w:r>
      <w:r w:rsidRPr="00EA0C3D">
        <w:t>.</w:t>
      </w:r>
      <w:r>
        <w:t xml:space="preserve"> Persons who have been convicted of offences that are not ‘Class 1’ or ‘Class 2’ offences may become registrable under the Act if a court makes a child protection registration order in relation to the person: see </w:t>
      </w:r>
      <w:r w:rsidRPr="00EA0C3D">
        <w:rPr>
          <w:i/>
        </w:rPr>
        <w:t>Child Protection (Offenders Registration) Act 2000</w:t>
      </w:r>
      <w:r w:rsidRPr="00EA0C3D">
        <w:t xml:space="preserve"> (NSW)</w:t>
      </w:r>
      <w:r>
        <w:t xml:space="preserve"> pt 2A.</w:t>
      </w:r>
    </w:p>
  </w:footnote>
  <w:footnote w:id="24">
    <w:p w14:paraId="19FB7548" w14:textId="5CF771E5" w:rsidR="0042789D" w:rsidRPr="00EA0C3D" w:rsidRDefault="0042789D" w:rsidP="004C376E">
      <w:pPr>
        <w:pStyle w:val="FootnoteText"/>
        <w:spacing w:before="60" w:after="60"/>
      </w:pPr>
      <w:r w:rsidRPr="00EA0C3D">
        <w:rPr>
          <w:rStyle w:val="FootnoteReference"/>
        </w:rPr>
        <w:footnoteRef/>
      </w:r>
      <w:r w:rsidRPr="00EA0C3D">
        <w:t xml:space="preserve"> </w:t>
      </w:r>
      <w:r w:rsidRPr="00EA0C3D">
        <w:rPr>
          <w:i/>
        </w:rPr>
        <w:t>Child Protection (Offenders Registration) Act 2000</w:t>
      </w:r>
      <w:r w:rsidRPr="00EA0C3D">
        <w:t xml:space="preserve"> (NSW) s 19.</w:t>
      </w:r>
    </w:p>
  </w:footnote>
  <w:footnote w:id="25">
    <w:p w14:paraId="5ECF145C" w14:textId="2C51C3B2" w:rsidR="0042789D" w:rsidRPr="0014414B" w:rsidRDefault="0042789D" w:rsidP="004C376E">
      <w:pPr>
        <w:spacing w:before="60" w:after="60"/>
        <w:rPr>
          <w:sz w:val="20"/>
          <w:szCs w:val="20"/>
        </w:rPr>
      </w:pPr>
      <w:r w:rsidRPr="0014414B">
        <w:rPr>
          <w:rStyle w:val="FootnoteReference"/>
          <w:sz w:val="20"/>
          <w:szCs w:val="20"/>
        </w:rPr>
        <w:footnoteRef/>
      </w:r>
      <w:r w:rsidRPr="0014414B">
        <w:rPr>
          <w:sz w:val="20"/>
          <w:szCs w:val="20"/>
        </w:rPr>
        <w:t xml:space="preserve"> Letter from Commissioner of Police, </w:t>
      </w:r>
      <w:r>
        <w:rPr>
          <w:sz w:val="20"/>
          <w:szCs w:val="20"/>
        </w:rPr>
        <w:t>NSW Police Force</w:t>
      </w:r>
      <w:r w:rsidRPr="0014414B">
        <w:rPr>
          <w:sz w:val="20"/>
          <w:szCs w:val="20"/>
        </w:rPr>
        <w:t>, to Chief Commis</w:t>
      </w:r>
      <w:r>
        <w:rPr>
          <w:sz w:val="20"/>
          <w:szCs w:val="20"/>
        </w:rPr>
        <w:t>sioner, Law Enforcement Conduct Commission, 30 September 2019</w:t>
      </w:r>
      <w:r w:rsidRPr="0014414B">
        <w:rPr>
          <w:sz w:val="20"/>
          <w:szCs w:val="20"/>
        </w:rPr>
        <w:t xml:space="preserve"> </w:t>
      </w:r>
      <w:r>
        <w:rPr>
          <w:sz w:val="20"/>
          <w:szCs w:val="20"/>
        </w:rPr>
        <w:t>(</w:t>
      </w:r>
      <w:r w:rsidRPr="0014414B">
        <w:rPr>
          <w:sz w:val="20"/>
          <w:szCs w:val="20"/>
        </w:rPr>
        <w:t>Annexure D: Updated Statistics from the CPR Monthly Report and about Travel Requests</w:t>
      </w:r>
      <w:r>
        <w:rPr>
          <w:sz w:val="20"/>
          <w:szCs w:val="20"/>
        </w:rPr>
        <w:t>)</w:t>
      </w:r>
      <w:r w:rsidRPr="0014414B">
        <w:rPr>
          <w:sz w:val="20"/>
          <w:szCs w:val="20"/>
        </w:rPr>
        <w:t>.</w:t>
      </w:r>
      <w:r w:rsidRPr="0014414B">
        <w:rPr>
          <w:rFonts w:ascii="Gotham Book" w:hAnsi="Gotham Book"/>
          <w:sz w:val="20"/>
          <w:szCs w:val="20"/>
        </w:rPr>
        <w:tab/>
      </w:r>
    </w:p>
  </w:footnote>
  <w:footnote w:id="26">
    <w:p w14:paraId="11F0F877" w14:textId="77777777" w:rsidR="0042789D" w:rsidRPr="00314D4D" w:rsidRDefault="0042789D" w:rsidP="00D81088">
      <w:pPr>
        <w:pStyle w:val="FootnoteText"/>
        <w:spacing w:before="60" w:after="60"/>
      </w:pPr>
      <w:r w:rsidRPr="00314D4D">
        <w:rPr>
          <w:rStyle w:val="FootnoteReference"/>
        </w:rPr>
        <w:footnoteRef/>
      </w:r>
      <w:r w:rsidRPr="00314D4D">
        <w:t xml:space="preserve"> </w:t>
      </w:r>
      <w:r w:rsidRPr="00314D4D">
        <w:rPr>
          <w:i/>
        </w:rPr>
        <w:t>Child Protection (Offenders Registration) Act 2000</w:t>
      </w:r>
      <w:r w:rsidRPr="00314D4D">
        <w:t xml:space="preserve"> (NSW) ss 9A-9C, and s 12A(1)(a).</w:t>
      </w:r>
    </w:p>
  </w:footnote>
  <w:footnote w:id="27">
    <w:p w14:paraId="6478A679" w14:textId="77777777" w:rsidR="0042789D" w:rsidRPr="00904341" w:rsidRDefault="0042789D" w:rsidP="00D81088">
      <w:pPr>
        <w:pStyle w:val="FootnoteText"/>
        <w:spacing w:before="60" w:after="60"/>
      </w:pPr>
      <w:r w:rsidRPr="00904341">
        <w:rPr>
          <w:rStyle w:val="FootnoteReference"/>
        </w:rPr>
        <w:footnoteRef/>
      </w:r>
      <w:r>
        <w:t xml:space="preserve"> </w:t>
      </w:r>
      <w:r w:rsidRPr="00904341">
        <w:rPr>
          <w:i/>
        </w:rPr>
        <w:t>Child Protection (Offenders Registration) Act 2000</w:t>
      </w:r>
      <w:r w:rsidRPr="00904341">
        <w:t xml:space="preserve"> (NSW) s 9.</w:t>
      </w:r>
    </w:p>
  </w:footnote>
  <w:footnote w:id="28">
    <w:p w14:paraId="03976779" w14:textId="7858BFC5" w:rsidR="0042789D" w:rsidRPr="00904341" w:rsidRDefault="0042789D" w:rsidP="00D81088">
      <w:pPr>
        <w:pStyle w:val="FootnoteText"/>
        <w:spacing w:before="60" w:after="60"/>
      </w:pPr>
      <w:r w:rsidRPr="00904341">
        <w:rPr>
          <w:rStyle w:val="FootnoteReference"/>
        </w:rPr>
        <w:footnoteRef/>
      </w:r>
      <w:r w:rsidRPr="00904341">
        <w:t xml:space="preserve"> </w:t>
      </w:r>
      <w:r>
        <w:t>NSW Police Force</w:t>
      </w:r>
      <w:r w:rsidRPr="00C028D3">
        <w:t xml:space="preserve">, </w:t>
      </w:r>
      <w:r w:rsidRPr="00C028D3">
        <w:rPr>
          <w:i/>
        </w:rPr>
        <w:t>Child Protection Register Standard Operating Procedures</w:t>
      </w:r>
      <w:r w:rsidRPr="00C028D3">
        <w:t xml:space="preserve"> (2</w:t>
      </w:r>
      <w:r>
        <w:t>016)</w:t>
      </w:r>
      <w:r w:rsidRPr="00C028D3">
        <w:t xml:space="preserve"> </w:t>
      </w:r>
      <w:r>
        <w:t>NSW Police Force response</w:t>
      </w:r>
      <w:r w:rsidRPr="00C028D3">
        <w:t xml:space="preserve"> to item 7 of </w:t>
      </w:r>
      <w:r>
        <w:t>Law Enforcement Conduct Commission Notice</w:t>
      </w:r>
      <w:r w:rsidRPr="00C028D3">
        <w:t xml:space="preserve"> 929 of 2017, p 9.</w:t>
      </w:r>
    </w:p>
  </w:footnote>
  <w:footnote w:id="29">
    <w:p w14:paraId="62693591" w14:textId="77777777" w:rsidR="0042789D" w:rsidRPr="00904341" w:rsidRDefault="0042789D" w:rsidP="00D81088">
      <w:pPr>
        <w:pStyle w:val="FootnoteText"/>
        <w:spacing w:before="60" w:after="60"/>
      </w:pPr>
      <w:r w:rsidRPr="00904341">
        <w:rPr>
          <w:rStyle w:val="FootnoteReference"/>
        </w:rPr>
        <w:footnoteRef/>
      </w:r>
      <w:r w:rsidRPr="00904341">
        <w:t xml:space="preserve"> </w:t>
      </w:r>
      <w:r w:rsidRPr="00904341">
        <w:rPr>
          <w:i/>
        </w:rPr>
        <w:t>Child Protection (Offenders Registration) Act 2000</w:t>
      </w:r>
      <w:r w:rsidRPr="00904341">
        <w:t xml:space="preserve"> (NSW) ss 12E-12H.</w:t>
      </w:r>
    </w:p>
  </w:footnote>
  <w:footnote w:id="30">
    <w:p w14:paraId="7938E6BF" w14:textId="77777777" w:rsidR="0042789D" w:rsidRPr="00904341" w:rsidRDefault="0042789D" w:rsidP="00D81088">
      <w:pPr>
        <w:pStyle w:val="FootnoteText"/>
        <w:spacing w:before="60" w:after="60"/>
      </w:pPr>
      <w:r w:rsidRPr="00904341">
        <w:rPr>
          <w:rStyle w:val="FootnoteReference"/>
        </w:rPr>
        <w:footnoteRef/>
      </w:r>
      <w:r w:rsidRPr="00904341">
        <w:t xml:space="preserve"> </w:t>
      </w:r>
      <w:r w:rsidRPr="00904341">
        <w:rPr>
          <w:i/>
        </w:rPr>
        <w:t>Child Protection (Offenders Registration) Act 2000</w:t>
      </w:r>
      <w:r w:rsidRPr="00904341">
        <w:t xml:space="preserve"> (NSW) ss 10 and 11.</w:t>
      </w:r>
    </w:p>
  </w:footnote>
  <w:footnote w:id="31">
    <w:p w14:paraId="16F91CE2" w14:textId="77777777" w:rsidR="0042789D" w:rsidRPr="00904341" w:rsidRDefault="0042789D" w:rsidP="00D81088">
      <w:pPr>
        <w:pStyle w:val="FootnoteText"/>
        <w:spacing w:before="60" w:after="60"/>
      </w:pPr>
      <w:r w:rsidRPr="00904341">
        <w:rPr>
          <w:rStyle w:val="FootnoteReference"/>
        </w:rPr>
        <w:footnoteRef/>
      </w:r>
      <w:r w:rsidRPr="00904341">
        <w:t xml:space="preserve"> </w:t>
      </w:r>
      <w:r w:rsidRPr="00904341">
        <w:rPr>
          <w:i/>
        </w:rPr>
        <w:t>Child Protection (Offenders Registration) Act 2000</w:t>
      </w:r>
      <w:r w:rsidRPr="00904341">
        <w:t xml:space="preserve"> (NSW) ss 11A-11F.</w:t>
      </w:r>
    </w:p>
  </w:footnote>
  <w:footnote w:id="32">
    <w:p w14:paraId="6823C06C" w14:textId="02C7C0EA" w:rsidR="0042789D" w:rsidRPr="008A65BF" w:rsidRDefault="0042789D" w:rsidP="00976648">
      <w:pPr>
        <w:pStyle w:val="FootnoteText"/>
        <w:spacing w:before="60" w:after="60"/>
      </w:pPr>
      <w:r w:rsidRPr="008A65BF">
        <w:rPr>
          <w:rStyle w:val="FootnoteReference"/>
        </w:rPr>
        <w:footnoteRef/>
      </w:r>
      <w:r w:rsidRPr="008A65BF">
        <w:t xml:space="preserve"> T</w:t>
      </w:r>
      <w:r>
        <w:t xml:space="preserve">he one exception relates to </w:t>
      </w:r>
      <w:r w:rsidRPr="008A65BF">
        <w:t>persons who are sentenced for offences in o</w:t>
      </w:r>
      <w:r>
        <w:t>ther jurisdictions but then move to New South Wales</w:t>
      </w:r>
      <w:r w:rsidRPr="008A65BF">
        <w:t xml:space="preserve"> and are classified</w:t>
      </w:r>
      <w:r>
        <w:t xml:space="preserve"> as ‘corresponding registrable persons</w:t>
      </w:r>
      <w:r w:rsidRPr="008A65BF">
        <w:t xml:space="preserve">’, in which case their reporting period </w:t>
      </w:r>
      <w:r>
        <w:t xml:space="preserve">in New South Wales </w:t>
      </w:r>
      <w:r w:rsidRPr="008A65BF">
        <w:t>is</w:t>
      </w:r>
      <w:r>
        <w:t xml:space="preserve"> the period which was prescribed for them</w:t>
      </w:r>
      <w:r w:rsidRPr="008A65BF">
        <w:t xml:space="preserve"> in the jurisdiction in which they offended: </w:t>
      </w:r>
      <w:r>
        <w:t xml:space="preserve">see </w:t>
      </w:r>
      <w:r w:rsidRPr="008A65BF">
        <w:rPr>
          <w:i/>
        </w:rPr>
        <w:t>Child Protection (Offenders Registration) Act 2000</w:t>
      </w:r>
      <w:r>
        <w:t xml:space="preserve"> (NSW) </w:t>
      </w:r>
      <w:r w:rsidRPr="008A65BF">
        <w:t>ss 19BB-</w:t>
      </w:r>
      <w:r>
        <w:t>19</w:t>
      </w:r>
      <w:r w:rsidRPr="008A65BF">
        <w:t xml:space="preserve">BD. </w:t>
      </w:r>
    </w:p>
  </w:footnote>
  <w:footnote w:id="33">
    <w:p w14:paraId="3E99E1F3" w14:textId="24C47EAA" w:rsidR="0042789D" w:rsidRPr="008A65BF" w:rsidRDefault="0042789D" w:rsidP="00976648">
      <w:pPr>
        <w:pStyle w:val="FootnoteText"/>
        <w:spacing w:before="60" w:after="60"/>
      </w:pPr>
      <w:r w:rsidRPr="008A65BF">
        <w:rPr>
          <w:rStyle w:val="FootnoteReference"/>
        </w:rPr>
        <w:footnoteRef/>
      </w:r>
      <w:r w:rsidRPr="008A65BF">
        <w:t xml:space="preserve"> </w:t>
      </w:r>
      <w:r w:rsidRPr="008A65BF">
        <w:rPr>
          <w:i/>
        </w:rPr>
        <w:t>Child Protection (Offenders Registration) Act 2000</w:t>
      </w:r>
      <w:r>
        <w:t xml:space="preserve"> (NSW) ss 14A-14B</w:t>
      </w:r>
      <w:r w:rsidRPr="008A65BF">
        <w:t xml:space="preserve">. </w:t>
      </w:r>
    </w:p>
  </w:footnote>
  <w:footnote w:id="34">
    <w:p w14:paraId="307E04A4" w14:textId="77777777" w:rsidR="0042789D" w:rsidRPr="008A65BF" w:rsidRDefault="0042789D" w:rsidP="00976648">
      <w:pPr>
        <w:pStyle w:val="FootnoteText"/>
        <w:spacing w:before="60" w:after="60"/>
      </w:pPr>
      <w:r w:rsidRPr="008A65BF">
        <w:rPr>
          <w:rStyle w:val="FootnoteReference"/>
        </w:rPr>
        <w:footnoteRef/>
      </w:r>
      <w:r w:rsidRPr="008A65BF">
        <w:t xml:space="preserve"> </w:t>
      </w:r>
      <w:r w:rsidRPr="008A65BF">
        <w:rPr>
          <w:i/>
        </w:rPr>
        <w:t>Child Protection (Offenders Registration) Act 2000</w:t>
      </w:r>
      <w:r w:rsidRPr="008A65BF">
        <w:t xml:space="preserve"> (NSW) s 15(1).</w:t>
      </w:r>
    </w:p>
  </w:footnote>
  <w:footnote w:id="35">
    <w:p w14:paraId="6D84C77D" w14:textId="77777777" w:rsidR="0042789D" w:rsidRPr="008A65BF" w:rsidRDefault="0042789D" w:rsidP="00976648">
      <w:pPr>
        <w:pStyle w:val="FootnoteText"/>
        <w:spacing w:before="60" w:after="60"/>
      </w:pPr>
      <w:r w:rsidRPr="008A65BF">
        <w:rPr>
          <w:rStyle w:val="FootnoteReference"/>
        </w:rPr>
        <w:footnoteRef/>
      </w:r>
      <w:r w:rsidRPr="008A65BF">
        <w:t xml:space="preserve"> </w:t>
      </w:r>
      <w:r w:rsidRPr="008A65BF">
        <w:rPr>
          <w:i/>
        </w:rPr>
        <w:t>Child Protection (Offenders Registration) Act 2000</w:t>
      </w:r>
      <w:r w:rsidRPr="008A65BF">
        <w:t xml:space="preserve"> (NSW) s 15(2) and (3).</w:t>
      </w:r>
    </w:p>
  </w:footnote>
  <w:footnote w:id="36">
    <w:p w14:paraId="19E6044B" w14:textId="77777777" w:rsidR="0042789D" w:rsidRPr="008A65BF" w:rsidRDefault="0042789D" w:rsidP="00976648">
      <w:pPr>
        <w:pStyle w:val="FootnoteText"/>
        <w:spacing w:before="60" w:after="60"/>
      </w:pPr>
      <w:r w:rsidRPr="008A65BF">
        <w:rPr>
          <w:rStyle w:val="FootnoteReference"/>
        </w:rPr>
        <w:footnoteRef/>
      </w:r>
      <w:r w:rsidRPr="008A65BF">
        <w:t xml:space="preserve"> </w:t>
      </w:r>
      <w:r w:rsidRPr="008A65BF">
        <w:rPr>
          <w:i/>
        </w:rPr>
        <w:t>Child Protection (Offenders Registration) Act 2000</w:t>
      </w:r>
      <w:r w:rsidRPr="008A65BF">
        <w:t xml:space="preserve"> (NSW) s 15(4) and (5).</w:t>
      </w:r>
    </w:p>
  </w:footnote>
  <w:footnote w:id="37">
    <w:p w14:paraId="283F6AB8" w14:textId="77777777" w:rsidR="0042789D" w:rsidRPr="008A65BF" w:rsidRDefault="0042789D" w:rsidP="00976648">
      <w:pPr>
        <w:pStyle w:val="FootnoteText"/>
        <w:spacing w:before="60" w:after="60"/>
      </w:pPr>
      <w:r w:rsidRPr="008A65BF">
        <w:rPr>
          <w:rStyle w:val="FootnoteReference"/>
        </w:rPr>
        <w:footnoteRef/>
      </w:r>
      <w:r w:rsidRPr="008A65BF">
        <w:t xml:space="preserve"> </w:t>
      </w:r>
      <w:r w:rsidRPr="008A65BF">
        <w:rPr>
          <w:i/>
        </w:rPr>
        <w:t>Child Protection (Offenders Registration) Act 2000</w:t>
      </w:r>
      <w:r w:rsidRPr="008A65BF">
        <w:t xml:space="preserve"> (NSW) ss 17 and 18.</w:t>
      </w:r>
    </w:p>
  </w:footnote>
  <w:footnote w:id="38">
    <w:p w14:paraId="23EDD489" w14:textId="0A5181D7" w:rsidR="0042789D" w:rsidRPr="008A65BF" w:rsidRDefault="0042789D" w:rsidP="00976648">
      <w:pPr>
        <w:pStyle w:val="FootnoteText"/>
        <w:spacing w:before="60" w:after="60"/>
      </w:pPr>
      <w:r w:rsidRPr="008A65BF">
        <w:rPr>
          <w:rStyle w:val="FootnoteReference"/>
        </w:rPr>
        <w:footnoteRef/>
      </w:r>
      <w:r w:rsidRPr="008A65BF">
        <w:t xml:space="preserve"> The only limited exception is that those registrable persons who have had their reporting period extended by the NSW Police Force under s 15(3) for periods of travel can apply to the NSW Civil and Administrative Tribunal to essentially suspend these extensions: </w:t>
      </w:r>
      <w:r w:rsidRPr="008A65BF">
        <w:rPr>
          <w:i/>
        </w:rPr>
        <w:t>Child Protection (Offenders Registration) Act 2000</w:t>
      </w:r>
      <w:r w:rsidRPr="008A65BF">
        <w:t xml:space="preserve"> (NSW) s 16(1)(b) and (3A).</w:t>
      </w:r>
    </w:p>
  </w:footnote>
  <w:footnote w:id="39">
    <w:p w14:paraId="75FF4E61" w14:textId="77777777" w:rsidR="0042789D" w:rsidRDefault="0042789D" w:rsidP="00976648">
      <w:pPr>
        <w:pStyle w:val="FootnoteText"/>
        <w:spacing w:before="60" w:after="60"/>
      </w:pPr>
      <w:r w:rsidRPr="008A65BF">
        <w:rPr>
          <w:rStyle w:val="FootnoteReference"/>
        </w:rPr>
        <w:footnoteRef/>
      </w:r>
      <w:r w:rsidRPr="008A65BF">
        <w:t xml:space="preserve"> </w:t>
      </w:r>
      <w:r w:rsidRPr="008A65BF">
        <w:rPr>
          <w:i/>
        </w:rPr>
        <w:t>Child Protection (Offenders Registration) Act 2000</w:t>
      </w:r>
      <w:r w:rsidRPr="008A65BF">
        <w:t xml:space="preserve"> (NSW) s 16.</w:t>
      </w:r>
    </w:p>
  </w:footnote>
  <w:footnote w:id="40">
    <w:p w14:paraId="2AFA02B9" w14:textId="3B9B9429" w:rsidR="0042789D" w:rsidRPr="00DE501D" w:rsidRDefault="0042789D" w:rsidP="0029742A">
      <w:pPr>
        <w:pStyle w:val="FootnoteText"/>
        <w:spacing w:before="60" w:after="60"/>
      </w:pPr>
      <w:r w:rsidRPr="00DE501D">
        <w:rPr>
          <w:rStyle w:val="FootnoteReference"/>
        </w:rPr>
        <w:footnoteRef/>
      </w:r>
      <w:r w:rsidRPr="00DE501D">
        <w:t xml:space="preserve"> </w:t>
      </w:r>
      <w:r w:rsidRPr="00DE501D">
        <w:rPr>
          <w:i/>
        </w:rPr>
        <w:t>Criminal Code Act 1995</w:t>
      </w:r>
      <w:r w:rsidRPr="00DE501D">
        <w:t xml:space="preserve"> (Cth) s 271A.1; </w:t>
      </w:r>
      <w:r w:rsidRPr="00DE501D">
        <w:rPr>
          <w:i/>
        </w:rPr>
        <w:t>Australian Passports Act 2005</w:t>
      </w:r>
      <w:r w:rsidRPr="00DE501D">
        <w:t xml:space="preserve"> (Cth) s 12 and Explanatory Memorandum, Passports Legislation Amendment (Overseas Travel by Chi</w:t>
      </w:r>
      <w:r>
        <w:t>ld Sex Offenders) Bill 2017 (Cth</w:t>
      </w:r>
      <w:r w:rsidRPr="00DE501D">
        <w:t>), p 10.</w:t>
      </w:r>
    </w:p>
  </w:footnote>
  <w:footnote w:id="41">
    <w:p w14:paraId="544744A7" w14:textId="77777777" w:rsidR="0042789D" w:rsidRPr="00DE501D" w:rsidRDefault="0042789D" w:rsidP="0029742A">
      <w:pPr>
        <w:pStyle w:val="FootnoteText"/>
        <w:spacing w:before="60" w:after="60"/>
      </w:pPr>
      <w:r w:rsidRPr="00DE501D">
        <w:rPr>
          <w:rStyle w:val="FootnoteReference"/>
        </w:rPr>
        <w:footnoteRef/>
      </w:r>
      <w:r w:rsidRPr="00DE501D">
        <w:t xml:space="preserve"> </w:t>
      </w:r>
      <w:r w:rsidRPr="00DE501D">
        <w:rPr>
          <w:i/>
        </w:rPr>
        <w:t>Australian Passports Act 2005</w:t>
      </w:r>
      <w:r w:rsidRPr="00DE501D">
        <w:t xml:space="preserve"> (Cth) s 12.</w:t>
      </w:r>
    </w:p>
  </w:footnote>
  <w:footnote w:id="42">
    <w:p w14:paraId="4D21A584" w14:textId="5E1935A9" w:rsidR="0042789D" w:rsidRPr="00DE501D" w:rsidRDefault="0042789D" w:rsidP="0029742A">
      <w:pPr>
        <w:pStyle w:val="FootnoteText"/>
        <w:spacing w:before="60" w:after="60"/>
      </w:pPr>
      <w:r w:rsidRPr="00DE501D">
        <w:rPr>
          <w:rStyle w:val="FootnoteReference"/>
        </w:rPr>
        <w:footnoteRef/>
      </w:r>
      <w:r w:rsidRPr="00DE501D">
        <w:t xml:space="preserve"> </w:t>
      </w:r>
      <w:r w:rsidRPr="00DE501D">
        <w:rPr>
          <w:i/>
        </w:rPr>
        <w:t>Child Protection (Offenders Registration) Act 2000</w:t>
      </w:r>
      <w:r>
        <w:t xml:space="preserve"> (NSW) p</w:t>
      </w:r>
      <w:r w:rsidRPr="00DE501D">
        <w:t>t 3A.</w:t>
      </w:r>
    </w:p>
  </w:footnote>
  <w:footnote w:id="43">
    <w:p w14:paraId="1ED7938B" w14:textId="2FE3538D" w:rsidR="0042789D" w:rsidRPr="00DE501D" w:rsidRDefault="0042789D" w:rsidP="0029742A">
      <w:pPr>
        <w:pStyle w:val="FootnoteText"/>
        <w:spacing w:before="60" w:after="60"/>
      </w:pPr>
      <w:r w:rsidRPr="00DE501D">
        <w:rPr>
          <w:rStyle w:val="FootnoteReference"/>
        </w:rPr>
        <w:footnoteRef/>
      </w:r>
      <w:r w:rsidRPr="00DE501D">
        <w:t xml:space="preserve"> Under the </w:t>
      </w:r>
      <w:r w:rsidRPr="00DE501D">
        <w:rPr>
          <w:i/>
        </w:rPr>
        <w:t>Child Protection (Working with Children) Act 2012</w:t>
      </w:r>
      <w:r w:rsidRPr="00DE501D">
        <w:t xml:space="preserve"> (NSW)</w:t>
      </w:r>
      <w:r>
        <w:t xml:space="preserve"> s 18 and sch 2 cl 1(1)(ac)</w:t>
      </w:r>
      <w:r w:rsidRPr="00DE501D">
        <w:t>.</w:t>
      </w:r>
    </w:p>
  </w:footnote>
  <w:footnote w:id="44">
    <w:p w14:paraId="4F440620" w14:textId="77777777" w:rsidR="0042789D" w:rsidRPr="00DE501D" w:rsidRDefault="0042789D" w:rsidP="0029742A">
      <w:pPr>
        <w:pStyle w:val="FootnoteText"/>
        <w:spacing w:before="60" w:after="60"/>
      </w:pPr>
      <w:r w:rsidRPr="00DE501D">
        <w:rPr>
          <w:rStyle w:val="FootnoteReference"/>
        </w:rPr>
        <w:footnoteRef/>
      </w:r>
      <w:r w:rsidRPr="00DE501D">
        <w:t xml:space="preserve"> </w:t>
      </w:r>
      <w:r w:rsidRPr="00DE501D">
        <w:rPr>
          <w:i/>
        </w:rPr>
        <w:t>Child Protection (Offenders Registration) Act 2000</w:t>
      </w:r>
      <w:r w:rsidRPr="00DE501D">
        <w:t xml:space="preserve"> (NSW) s 16C. It is an offence for a registrable person to refuse to allow police to enter and inspect their residential premises under s 16C, or to not cooperate with police while they do so: s 16C(4) and (5) and s 17.</w:t>
      </w:r>
    </w:p>
  </w:footnote>
  <w:footnote w:id="45">
    <w:p w14:paraId="7FABD02A" w14:textId="7DE58552" w:rsidR="0042789D" w:rsidRPr="00DE501D" w:rsidRDefault="0042789D" w:rsidP="0029742A">
      <w:pPr>
        <w:pStyle w:val="FootnoteText"/>
        <w:spacing w:before="60" w:after="60"/>
      </w:pPr>
      <w:r w:rsidRPr="00DE501D">
        <w:rPr>
          <w:rStyle w:val="FootnoteReference"/>
        </w:rPr>
        <w:footnoteRef/>
      </w:r>
      <w:r w:rsidRPr="00DE501D">
        <w:t xml:space="preserve"> </w:t>
      </w:r>
      <w:r w:rsidRPr="00DE501D">
        <w:rPr>
          <w:i/>
        </w:rPr>
        <w:t>Crimes (Forensic Procedures) Act 2000</w:t>
      </w:r>
      <w:r>
        <w:t xml:space="preserve"> (NSW) p</w:t>
      </w:r>
      <w:r w:rsidRPr="00DE501D">
        <w:t>t 7B.</w:t>
      </w:r>
    </w:p>
  </w:footnote>
  <w:footnote w:id="46">
    <w:p w14:paraId="7D5DD397" w14:textId="3E0DFF75" w:rsidR="0042789D" w:rsidRPr="00DE501D" w:rsidRDefault="0042789D" w:rsidP="0029742A">
      <w:pPr>
        <w:pStyle w:val="FootnoteText"/>
        <w:spacing w:before="60" w:after="60"/>
      </w:pPr>
      <w:r w:rsidRPr="00DE501D">
        <w:rPr>
          <w:rStyle w:val="FootnoteReference"/>
        </w:rPr>
        <w:footnoteRef/>
      </w:r>
      <w:r w:rsidRPr="00DE501D">
        <w:t xml:space="preserve"> </w:t>
      </w:r>
      <w:r w:rsidRPr="00DE501D">
        <w:rPr>
          <w:i/>
        </w:rPr>
        <w:t>Child Protection (Offenders Prohibition Orders) Act 2004</w:t>
      </w:r>
      <w:r w:rsidRPr="00DE501D">
        <w:t xml:space="preserve"> (NSW)</w:t>
      </w:r>
      <w:r>
        <w:t xml:space="preserve"> ss 3-5</w:t>
      </w:r>
      <w:r w:rsidRPr="00DE501D">
        <w:t>.</w:t>
      </w:r>
    </w:p>
  </w:footnote>
  <w:footnote w:id="47">
    <w:p w14:paraId="138B3D45" w14:textId="46363313" w:rsidR="0042789D" w:rsidRPr="00DE501D" w:rsidRDefault="0042789D" w:rsidP="0029742A">
      <w:pPr>
        <w:pStyle w:val="FootnoteText"/>
        <w:spacing w:before="60" w:after="60"/>
      </w:pPr>
      <w:r w:rsidRPr="00DE501D">
        <w:rPr>
          <w:rStyle w:val="FootnoteReference"/>
        </w:rPr>
        <w:footnoteRef/>
      </w:r>
      <w:r w:rsidRPr="00DE501D">
        <w:t xml:space="preserve"> </w:t>
      </w:r>
      <w:r w:rsidRPr="00DE501D">
        <w:rPr>
          <w:i/>
        </w:rPr>
        <w:t>Child Protection (Offenders Registration) Act 2000</w:t>
      </w:r>
      <w:r>
        <w:t xml:space="preserve"> (NSW) sch 1</w:t>
      </w:r>
      <w:r w:rsidRPr="00DE501D">
        <w:t>.</w:t>
      </w:r>
    </w:p>
  </w:footnote>
  <w:footnote w:id="48">
    <w:p w14:paraId="5FBA4BD1" w14:textId="7272A741" w:rsidR="0042789D" w:rsidRDefault="0042789D" w:rsidP="0029742A">
      <w:pPr>
        <w:pStyle w:val="FootnoteText"/>
        <w:spacing w:before="60" w:after="60"/>
      </w:pPr>
      <w:r w:rsidRPr="00DE501D">
        <w:rPr>
          <w:rStyle w:val="FootnoteReference"/>
        </w:rPr>
        <w:footnoteRef/>
      </w:r>
      <w:r w:rsidRPr="00DE501D">
        <w:t xml:space="preserve"> The only circumstances in which a person ceases to be a ‘regis</w:t>
      </w:r>
      <w:r>
        <w:t>trable person’ are set out in s </w:t>
      </w:r>
      <w:r w:rsidRPr="00DE501D">
        <w:t>3B</w:t>
      </w:r>
      <w:r>
        <w:t xml:space="preserve"> of the </w:t>
      </w:r>
      <w:r w:rsidRPr="00DE501D">
        <w:rPr>
          <w:i/>
        </w:rPr>
        <w:t>Child Protection (Offenders Registration) Act 2000</w:t>
      </w:r>
      <w:r>
        <w:t xml:space="preserve"> (NSW)</w:t>
      </w:r>
      <w:r w:rsidRPr="00DE501D">
        <w:t xml:space="preserve">, and relate to quashing or setting </w:t>
      </w:r>
      <w:r>
        <w:t xml:space="preserve">aside </w:t>
      </w:r>
      <w:r w:rsidRPr="00DE501D">
        <w:t xml:space="preserve">of their conviction for the offence that made them registrable, or </w:t>
      </w:r>
      <w:r>
        <w:t xml:space="preserve">the </w:t>
      </w:r>
      <w:r w:rsidRPr="00DE501D">
        <w:t>reduction of their sentence for that offence.</w:t>
      </w:r>
    </w:p>
  </w:footnote>
  <w:footnote w:id="49">
    <w:p w14:paraId="25DF086E" w14:textId="0187A1FA" w:rsidR="0042789D" w:rsidRPr="0064061F" w:rsidRDefault="0042789D" w:rsidP="00775E7F">
      <w:pPr>
        <w:pStyle w:val="FootnoteText"/>
        <w:spacing w:before="60" w:after="60"/>
      </w:pPr>
      <w:r w:rsidRPr="0064061F">
        <w:rPr>
          <w:rStyle w:val="FootnoteReference"/>
        </w:rPr>
        <w:footnoteRef/>
      </w:r>
      <w:r w:rsidRPr="0064061F">
        <w:t xml:space="preserve"> </w:t>
      </w:r>
      <w:r w:rsidRPr="001C72BD">
        <w:t xml:space="preserve">New South Wales, </w:t>
      </w:r>
      <w:r w:rsidRPr="001C72BD">
        <w:rPr>
          <w:i/>
        </w:rPr>
        <w:t>Parliamentary Debates</w:t>
      </w:r>
      <w:r w:rsidRPr="001C72BD">
        <w:t>, Legislative Assembly, 1 June 2000, p 6475 (Paul</w:t>
      </w:r>
      <w:r>
        <w:t> </w:t>
      </w:r>
      <w:r w:rsidRPr="001C72BD">
        <w:t>Whelan).</w:t>
      </w:r>
    </w:p>
  </w:footnote>
  <w:footnote w:id="50">
    <w:p w14:paraId="78532632" w14:textId="2549A2C4" w:rsidR="0042789D" w:rsidRDefault="0042789D" w:rsidP="00775E7F">
      <w:pPr>
        <w:pStyle w:val="FootnoteText"/>
        <w:spacing w:before="60" w:after="60"/>
      </w:pPr>
      <w:r w:rsidRPr="00716730">
        <w:rPr>
          <w:rStyle w:val="FootnoteReference"/>
        </w:rPr>
        <w:footnoteRef/>
      </w:r>
      <w:r w:rsidRPr="00716730">
        <w:t xml:space="preserve"> </w:t>
      </w:r>
      <w:r w:rsidRPr="0064061F">
        <w:t xml:space="preserve">New South Wales Ombudsman, </w:t>
      </w:r>
      <w:r w:rsidRPr="0064061F">
        <w:rPr>
          <w:i/>
        </w:rPr>
        <w:t xml:space="preserve">Review of the Child Protection Register: Report under </w:t>
      </w:r>
      <w:r>
        <w:rPr>
          <w:i/>
        </w:rPr>
        <w:t>s </w:t>
      </w:r>
      <w:r w:rsidRPr="0064061F">
        <w:rPr>
          <w:i/>
        </w:rPr>
        <w:t>25(1) of the Child Protection (Offenders Registration) Act 2000</w:t>
      </w:r>
      <w:r w:rsidRPr="0064061F">
        <w:t xml:space="preserve"> (2005)</w:t>
      </w:r>
      <w:r>
        <w:t>.</w:t>
      </w:r>
    </w:p>
  </w:footnote>
  <w:footnote w:id="51">
    <w:p w14:paraId="28ED3BE2" w14:textId="64E38775" w:rsidR="0042789D" w:rsidRPr="0064061F" w:rsidRDefault="0042789D" w:rsidP="00775E7F">
      <w:pPr>
        <w:pStyle w:val="FootnoteText"/>
        <w:spacing w:before="60" w:after="60"/>
      </w:pPr>
      <w:r w:rsidRPr="0064061F">
        <w:rPr>
          <w:rStyle w:val="FootnoteReference"/>
        </w:rPr>
        <w:footnoteRef/>
      </w:r>
      <w:r>
        <w:t xml:space="preserve"> Ibid </w:t>
      </w:r>
      <w:r w:rsidRPr="0064061F">
        <w:t>p 153.</w:t>
      </w:r>
    </w:p>
  </w:footnote>
  <w:footnote w:id="52">
    <w:p w14:paraId="301F2059" w14:textId="3389F2BD" w:rsidR="0042789D" w:rsidRPr="00555888" w:rsidRDefault="0042789D" w:rsidP="00775E7F">
      <w:pPr>
        <w:pStyle w:val="FootnoteText"/>
        <w:spacing w:before="60" w:after="60"/>
      </w:pPr>
      <w:r w:rsidRPr="0064061F">
        <w:rPr>
          <w:rStyle w:val="FootnoteReference"/>
        </w:rPr>
        <w:footnoteRef/>
      </w:r>
      <w:r>
        <w:t xml:space="preserve"> Ibid </w:t>
      </w:r>
      <w:r w:rsidRPr="0064061F">
        <w:t>p</w:t>
      </w:r>
      <w:r>
        <w:t>p</w:t>
      </w:r>
      <w:r w:rsidRPr="0064061F">
        <w:t xml:space="preserve"> 153-154.</w:t>
      </w:r>
    </w:p>
  </w:footnote>
  <w:footnote w:id="53">
    <w:p w14:paraId="49405BF1" w14:textId="6DEA6DDE" w:rsidR="0042789D" w:rsidRPr="00904341" w:rsidRDefault="0042789D" w:rsidP="00775E7F">
      <w:pPr>
        <w:pStyle w:val="FootnoteText"/>
        <w:spacing w:before="60" w:after="60"/>
      </w:pPr>
      <w:r w:rsidRPr="00904341">
        <w:rPr>
          <w:rStyle w:val="FootnoteReference"/>
        </w:rPr>
        <w:footnoteRef/>
      </w:r>
      <w:r w:rsidRPr="00904341">
        <w:t xml:space="preserve"> </w:t>
      </w:r>
      <w:r w:rsidRPr="00904341">
        <w:rPr>
          <w:i/>
        </w:rPr>
        <w:t>Child Protection (Offenders Registration) Act 2000</w:t>
      </w:r>
      <w:r w:rsidRPr="00904341">
        <w:t xml:space="preserve"> (NSW) s 4(1) and </w:t>
      </w:r>
      <w:r w:rsidRPr="00904341">
        <w:rPr>
          <w:i/>
        </w:rPr>
        <w:t>Child Protection (Offenders Registration) Regulation 2001</w:t>
      </w:r>
      <w:r>
        <w:t xml:space="preserve"> (NSW) regs</w:t>
      </w:r>
      <w:r w:rsidRPr="00904341">
        <w:t xml:space="preserve"> 6 – 7. For further discussion on the role</w:t>
      </w:r>
      <w:r>
        <w:t> </w:t>
      </w:r>
      <w:r w:rsidRPr="00904341">
        <w:t xml:space="preserve">of other agencies </w:t>
      </w:r>
      <w:r>
        <w:t>in relation to the Register</w:t>
      </w:r>
      <w:r w:rsidRPr="00904341">
        <w:t xml:space="preserve">, see </w:t>
      </w:r>
      <w:r>
        <w:t xml:space="preserve">Chapter </w:t>
      </w:r>
      <w:r>
        <w:rPr>
          <w:highlight w:val="yellow"/>
        </w:rPr>
        <w:fldChar w:fldCharType="begin"/>
      </w:r>
      <w:r>
        <w:instrText xml:space="preserve"> REF _Ref9250310 \r \h </w:instrText>
      </w:r>
      <w:r>
        <w:rPr>
          <w:highlight w:val="yellow"/>
        </w:rPr>
      </w:r>
      <w:r>
        <w:rPr>
          <w:highlight w:val="yellow"/>
        </w:rPr>
        <w:fldChar w:fldCharType="separate"/>
      </w:r>
      <w:r w:rsidR="00022664">
        <w:rPr>
          <w:rFonts w:hint="cs"/>
          <w:cs/>
        </w:rPr>
        <w:t>‎</w:t>
      </w:r>
      <w:r w:rsidR="00022664">
        <w:t>7</w:t>
      </w:r>
      <w:r>
        <w:rPr>
          <w:highlight w:val="yellow"/>
        </w:rPr>
        <w:fldChar w:fldCharType="end"/>
      </w:r>
      <w:r w:rsidRPr="00904341">
        <w:t>.</w:t>
      </w:r>
    </w:p>
  </w:footnote>
  <w:footnote w:id="54">
    <w:p w14:paraId="45140EEF" w14:textId="77777777" w:rsidR="0042789D" w:rsidRPr="00904341" w:rsidRDefault="0042789D" w:rsidP="00775E7F">
      <w:pPr>
        <w:pStyle w:val="FootnoteText"/>
        <w:spacing w:before="60" w:after="60"/>
      </w:pPr>
      <w:r w:rsidRPr="00904341">
        <w:rPr>
          <w:rStyle w:val="FootnoteReference"/>
        </w:rPr>
        <w:footnoteRef/>
      </w:r>
      <w:r w:rsidRPr="00904341">
        <w:t xml:space="preserve"> </w:t>
      </w:r>
      <w:r w:rsidRPr="00904341">
        <w:rPr>
          <w:i/>
        </w:rPr>
        <w:t>Child Protection (Offenders Registration) Act 2000</w:t>
      </w:r>
      <w:r w:rsidRPr="00904341">
        <w:t xml:space="preserve"> (NSW) s 4(2).</w:t>
      </w:r>
    </w:p>
  </w:footnote>
  <w:footnote w:id="55">
    <w:p w14:paraId="2D8DAD42" w14:textId="74860EF8" w:rsidR="0042789D" w:rsidRPr="00904341" w:rsidRDefault="0042789D" w:rsidP="00775E7F">
      <w:pPr>
        <w:pStyle w:val="FootnoteText"/>
        <w:spacing w:before="60" w:after="60"/>
      </w:pPr>
      <w:r w:rsidRPr="00904341">
        <w:rPr>
          <w:rStyle w:val="FootnoteReference"/>
        </w:rPr>
        <w:footnoteRef/>
      </w:r>
      <w:r w:rsidRPr="00904341">
        <w:t xml:space="preserve"> N</w:t>
      </w:r>
      <w:r>
        <w:t xml:space="preserve">ew </w:t>
      </w:r>
      <w:r w:rsidRPr="00904341">
        <w:t>S</w:t>
      </w:r>
      <w:r>
        <w:t xml:space="preserve">outh </w:t>
      </w:r>
      <w:r w:rsidRPr="00904341">
        <w:t>W</w:t>
      </w:r>
      <w:r>
        <w:t>ales</w:t>
      </w:r>
      <w:r w:rsidRPr="00904341">
        <w:t xml:space="preserve"> Ombudsman, </w:t>
      </w:r>
      <w:r w:rsidRPr="00904341">
        <w:rPr>
          <w:i/>
        </w:rPr>
        <w:t>Review of the Child Prot</w:t>
      </w:r>
      <w:r>
        <w:rPr>
          <w:i/>
        </w:rPr>
        <w:t>ection Register: Report under s </w:t>
      </w:r>
      <w:r w:rsidRPr="00904341">
        <w:rPr>
          <w:i/>
        </w:rPr>
        <w:t>25(1) of the</w:t>
      </w:r>
      <w:r w:rsidRPr="00904341">
        <w:t xml:space="preserve"> </w:t>
      </w:r>
      <w:r w:rsidRPr="000F404F">
        <w:rPr>
          <w:i/>
        </w:rPr>
        <w:t>Child Protection (Offenders Registration) Act 2000</w:t>
      </w:r>
      <w:r w:rsidRPr="00904341">
        <w:t xml:space="preserve"> (2005) p 55.</w:t>
      </w:r>
    </w:p>
  </w:footnote>
  <w:footnote w:id="56">
    <w:p w14:paraId="25F98E61" w14:textId="6E7DD809" w:rsidR="0042789D" w:rsidRPr="00AB5D05" w:rsidRDefault="0042789D" w:rsidP="00BD1E4D">
      <w:pPr>
        <w:pStyle w:val="FootnoteText"/>
        <w:spacing w:before="60" w:after="60"/>
      </w:pPr>
      <w:r w:rsidRPr="00AB5D05">
        <w:rPr>
          <w:rStyle w:val="FootnoteReference"/>
        </w:rPr>
        <w:footnoteRef/>
      </w:r>
      <w:r w:rsidRPr="00AB5D05">
        <w:t xml:space="preserve"> NSW Police Force, </w:t>
      </w:r>
      <w:r w:rsidRPr="00AB5D05">
        <w:rPr>
          <w:i/>
        </w:rPr>
        <w:t>Child Abuse and Sex Crime</w:t>
      </w:r>
      <w:r>
        <w:t xml:space="preserve">, </w:t>
      </w:r>
      <w:r w:rsidRPr="00AB5D05">
        <w:t>&lt;https://www.police.nsw.gov.au/crime/sex_crimes/child_abuse&gt;.</w:t>
      </w:r>
      <w:r>
        <w:t xml:space="preserve"> </w:t>
      </w:r>
    </w:p>
  </w:footnote>
  <w:footnote w:id="57">
    <w:p w14:paraId="71D7F6E7" w14:textId="7B910CC8" w:rsidR="0042789D" w:rsidRPr="00AB5D05" w:rsidRDefault="0042789D" w:rsidP="00BD1E4D">
      <w:pPr>
        <w:pStyle w:val="FootnoteText"/>
        <w:spacing w:before="60" w:after="60"/>
      </w:pPr>
      <w:r w:rsidRPr="00AB5D05">
        <w:rPr>
          <w:rStyle w:val="FootnoteReference"/>
        </w:rPr>
        <w:footnoteRef/>
      </w:r>
      <w:r w:rsidRPr="00AB5D05">
        <w:t xml:space="preserve"> NSW Police Force, </w:t>
      </w:r>
      <w:r w:rsidRPr="00AB5D05">
        <w:rPr>
          <w:i/>
        </w:rPr>
        <w:t>Child Protection Register Standard Operating Procedures</w:t>
      </w:r>
      <w:r>
        <w:t xml:space="preserve"> (2016)</w:t>
      </w:r>
      <w:r w:rsidRPr="00AB5D05">
        <w:t xml:space="preserve"> </w:t>
      </w:r>
      <w:r>
        <w:t>NSW Police Force response</w:t>
      </w:r>
      <w:r w:rsidRPr="00AB5D05">
        <w:t xml:space="preserve"> to item 7 of </w:t>
      </w:r>
      <w:r>
        <w:t>Law Enforcement Conduct Commission Notice</w:t>
      </w:r>
      <w:r w:rsidRPr="00AB5D05">
        <w:t xml:space="preserve"> 929 of 2017, p 16.</w:t>
      </w:r>
    </w:p>
  </w:footnote>
  <w:footnote w:id="58">
    <w:p w14:paraId="0527E9B1" w14:textId="7C9903DF" w:rsidR="0042789D" w:rsidRPr="00F2681C" w:rsidRDefault="0042789D" w:rsidP="00BD1E4D">
      <w:pPr>
        <w:pStyle w:val="FootnoteText"/>
        <w:spacing w:before="60" w:after="60"/>
      </w:pPr>
      <w:r w:rsidRPr="00F2681C">
        <w:rPr>
          <w:rStyle w:val="FootnoteReference"/>
        </w:rPr>
        <w:footnoteRef/>
      </w:r>
      <w:r>
        <w:t xml:space="preserve"> When an </w:t>
      </w:r>
      <w:r w:rsidRPr="00F2681C">
        <w:t>officer</w:t>
      </w:r>
      <w:r>
        <w:t xml:space="preserve"> enters a charge for a person in</w:t>
      </w:r>
      <w:r w:rsidRPr="00F2681C">
        <w:t>to</w:t>
      </w:r>
      <w:r>
        <w:t xml:space="preserve"> </w:t>
      </w:r>
      <w:r w:rsidRPr="00F2681C">
        <w:t xml:space="preserve">COPS, the system checks the unique law part code for the charge against a list of law part codes that are flagged in the system as ‘CPR-related’ offences: </w:t>
      </w:r>
      <w:r w:rsidRPr="00AB5D05">
        <w:t xml:space="preserve">NSW Police Force, </w:t>
      </w:r>
      <w:r w:rsidRPr="00AB5D05">
        <w:rPr>
          <w:i/>
        </w:rPr>
        <w:t>Child Protection Register Standard Operating Procedures</w:t>
      </w:r>
      <w:r>
        <w:t xml:space="preserve"> (2016)</w:t>
      </w:r>
      <w:r w:rsidRPr="00AB5D05">
        <w:t xml:space="preserve"> </w:t>
      </w:r>
      <w:r>
        <w:t>NSW Police Force response</w:t>
      </w:r>
      <w:r w:rsidRPr="00AB5D05">
        <w:t xml:space="preserve"> to item 7 of </w:t>
      </w:r>
      <w:r>
        <w:t>Law Enforcement Conduct Commission Notice</w:t>
      </w:r>
      <w:r w:rsidRPr="00AB5D05">
        <w:t xml:space="preserve"> 929 of 2017</w:t>
      </w:r>
      <w:r>
        <w:t>, p 12</w:t>
      </w:r>
      <w:r w:rsidRPr="00DD72F0">
        <w:t xml:space="preserve">; List of law part codes for registrable offences, </w:t>
      </w:r>
      <w:r>
        <w:t>NSW Police Force response</w:t>
      </w:r>
      <w:r w:rsidRPr="00DD72F0">
        <w:t xml:space="preserve"> to item 3 of </w:t>
      </w:r>
      <w:r>
        <w:t>Law Enforcement Conduct Commission Notice</w:t>
      </w:r>
      <w:r w:rsidRPr="00DD72F0">
        <w:t xml:space="preserve"> 929 of 2017.</w:t>
      </w:r>
    </w:p>
  </w:footnote>
  <w:footnote w:id="59">
    <w:p w14:paraId="67E9B96C" w14:textId="6459EA51" w:rsidR="0042789D" w:rsidRPr="00F2681C" w:rsidRDefault="0042789D" w:rsidP="00BD1E4D">
      <w:pPr>
        <w:pStyle w:val="FootnoteText"/>
        <w:spacing w:before="60" w:after="60"/>
      </w:pPr>
      <w:r w:rsidRPr="00F2681C">
        <w:rPr>
          <w:rStyle w:val="FootnoteReference"/>
        </w:rPr>
        <w:footnoteRef/>
      </w:r>
      <w:r w:rsidRPr="00F2681C">
        <w:t xml:space="preserve"> NSW Police Force, </w:t>
      </w:r>
      <w:r w:rsidRPr="00F2681C">
        <w:rPr>
          <w:i/>
        </w:rPr>
        <w:t>Child Protection Register Standard Operating Procedures</w:t>
      </w:r>
      <w:r>
        <w:t xml:space="preserve"> (2016)</w:t>
      </w:r>
      <w:r w:rsidRPr="00F2681C">
        <w:t xml:space="preserve"> </w:t>
      </w:r>
      <w:r>
        <w:t>NSW Police Force response</w:t>
      </w:r>
      <w:r w:rsidRPr="00F2681C">
        <w:t xml:space="preserve"> to item 7 of </w:t>
      </w:r>
      <w:r>
        <w:t>Law Enforcement Conduct Commission Notice</w:t>
      </w:r>
      <w:r w:rsidRPr="00F2681C">
        <w:t xml:space="preserve"> 929 of 2017, p 17.</w:t>
      </w:r>
    </w:p>
  </w:footnote>
  <w:footnote w:id="60">
    <w:p w14:paraId="25D682FC" w14:textId="4F7E1F59" w:rsidR="0042789D" w:rsidRPr="00F2681C" w:rsidRDefault="0042789D" w:rsidP="00BD1E4D">
      <w:pPr>
        <w:pStyle w:val="FootnoteText"/>
        <w:spacing w:before="60" w:after="60"/>
      </w:pPr>
      <w:r w:rsidRPr="00F2681C">
        <w:rPr>
          <w:rStyle w:val="FootnoteReference"/>
        </w:rPr>
        <w:footnoteRef/>
      </w:r>
      <w:r>
        <w:t xml:space="preserve"> Ibid</w:t>
      </w:r>
      <w:r w:rsidRPr="00F2681C">
        <w:t>.</w:t>
      </w:r>
    </w:p>
  </w:footnote>
  <w:footnote w:id="61">
    <w:p w14:paraId="6CFAB17D" w14:textId="6C753577" w:rsidR="0042789D" w:rsidRPr="00F2681C" w:rsidRDefault="0042789D" w:rsidP="00BD1E4D">
      <w:pPr>
        <w:pStyle w:val="FootnoteText"/>
        <w:spacing w:before="60" w:after="60"/>
      </w:pPr>
      <w:r w:rsidRPr="00F2681C">
        <w:rPr>
          <w:rStyle w:val="FootnoteReference"/>
        </w:rPr>
        <w:footnoteRef/>
      </w:r>
      <w:r>
        <w:t xml:space="preserve"> Manager, Child Protection Registry, NSW Police Force,</w:t>
      </w:r>
      <w:r w:rsidRPr="00F2681C">
        <w:t xml:space="preserve"> </w:t>
      </w:r>
      <w:r w:rsidRPr="00F2681C">
        <w:rPr>
          <w:i/>
        </w:rPr>
        <w:t>Management of the Child Protection Register in New South Wales: Michael O’Brien Scholarship 2017</w:t>
      </w:r>
      <w:r w:rsidRPr="00F2681C">
        <w:t xml:space="preserve"> (2018)</w:t>
      </w:r>
      <w:r>
        <w:t>, NSW Police Force response to item 1 of Law Enforcement Conduct Commission Notice 929 of 2018,</w:t>
      </w:r>
      <w:r w:rsidRPr="00F2681C">
        <w:t xml:space="preserve"> p 24.</w:t>
      </w:r>
    </w:p>
  </w:footnote>
  <w:footnote w:id="62">
    <w:p w14:paraId="34FEC645" w14:textId="42CBE0DE" w:rsidR="0042789D" w:rsidRPr="00921342" w:rsidRDefault="0042789D">
      <w:pPr>
        <w:pStyle w:val="FootnoteText"/>
      </w:pPr>
      <w:r w:rsidRPr="00921342">
        <w:rPr>
          <w:rStyle w:val="FootnoteReference"/>
        </w:rPr>
        <w:footnoteRef/>
      </w:r>
      <w:r w:rsidRPr="00921342">
        <w:t xml:space="preserve"> Letter from Commissioner of Police, </w:t>
      </w:r>
      <w:r>
        <w:t>NSW Police Force</w:t>
      </w:r>
      <w:r w:rsidRPr="00921342">
        <w:t xml:space="preserve">, to Chief Commissioner, </w:t>
      </w:r>
      <w:r>
        <w:t>Law Enforcement Conduct Commission</w:t>
      </w:r>
      <w:r w:rsidRPr="00921342">
        <w:t>, 30 September 2019, p 2.</w:t>
      </w:r>
    </w:p>
  </w:footnote>
  <w:footnote w:id="63">
    <w:p w14:paraId="606DBB17" w14:textId="6BBE5C73" w:rsidR="0042789D" w:rsidRPr="00904341" w:rsidRDefault="0042789D" w:rsidP="00B35C59">
      <w:pPr>
        <w:pStyle w:val="Footnote"/>
      </w:pPr>
      <w:r w:rsidRPr="00BB6236">
        <w:rPr>
          <w:rStyle w:val="FootnoteReference"/>
          <w:rFonts w:ascii="Gotham Book" w:hAnsi="Gotham Book"/>
          <w:szCs w:val="20"/>
        </w:rPr>
        <w:footnoteRef/>
      </w:r>
      <w:r w:rsidRPr="00BB6236">
        <w:t xml:space="preserve"> </w:t>
      </w:r>
      <w:r w:rsidRPr="00BB6236">
        <w:rPr>
          <w:i/>
        </w:rPr>
        <w:t>Staffing Submission: Child Protection Registry</w:t>
      </w:r>
      <w:r w:rsidRPr="00BB6236">
        <w:t>, pp 6-7, attachment to</w:t>
      </w:r>
      <w:r>
        <w:t xml:space="preserve"> Child Protection Registry, NSW Police Force,</w:t>
      </w:r>
      <w:r w:rsidRPr="00BB6236">
        <w:t xml:space="preserve"> </w:t>
      </w:r>
      <w:r w:rsidRPr="00BB6236">
        <w:rPr>
          <w:i/>
        </w:rPr>
        <w:t>Submission of staffing report requesting five (5) additional sworn positions</w:t>
      </w:r>
      <w:r>
        <w:rPr>
          <w:i/>
        </w:rPr>
        <w:t xml:space="preserve"> …</w:t>
      </w:r>
      <w:r w:rsidRPr="00BB6236">
        <w:t xml:space="preserve">, 16 June 2015, D/2015/294868, </w:t>
      </w:r>
      <w:r>
        <w:t>NSW Police Force response</w:t>
      </w:r>
      <w:r w:rsidRPr="00BB6236">
        <w:t xml:space="preserve"> to </w:t>
      </w:r>
      <w:r>
        <w:t>Law Enforcement Conduct Commission Notice</w:t>
      </w:r>
      <w:r w:rsidRPr="00BB6236">
        <w:t xml:space="preserve"> 914 of 2017.</w:t>
      </w:r>
    </w:p>
  </w:footnote>
  <w:footnote w:id="64">
    <w:p w14:paraId="6CAF4C33" w14:textId="44031794" w:rsidR="0042789D" w:rsidRPr="00904341" w:rsidRDefault="0042789D" w:rsidP="00B35C59">
      <w:pPr>
        <w:pStyle w:val="Footnote"/>
      </w:pPr>
      <w:r w:rsidRPr="00904341">
        <w:rPr>
          <w:rStyle w:val="FootnoteReference"/>
          <w:rFonts w:ascii="Gotham Book" w:hAnsi="Gotham Book"/>
          <w:szCs w:val="20"/>
        </w:rPr>
        <w:footnoteRef/>
      </w:r>
      <w:r>
        <w:t xml:space="preserve"> Ibid p 7</w:t>
      </w:r>
      <w:r w:rsidRPr="00904341">
        <w:t>.</w:t>
      </w:r>
    </w:p>
  </w:footnote>
  <w:footnote w:id="65">
    <w:p w14:paraId="0AD12134" w14:textId="77777777" w:rsidR="0042789D" w:rsidRPr="00FA7D15" w:rsidRDefault="0042789D" w:rsidP="00B35C59">
      <w:pPr>
        <w:pStyle w:val="Footnote"/>
      </w:pPr>
      <w:r w:rsidRPr="00904341">
        <w:rPr>
          <w:rStyle w:val="FootnoteReference"/>
        </w:rPr>
        <w:footnoteRef/>
      </w:r>
      <w:r w:rsidRPr="00904341">
        <w:t xml:space="preserve"> </w:t>
      </w:r>
      <w:r w:rsidRPr="00904341">
        <w:rPr>
          <w:i/>
        </w:rPr>
        <w:t xml:space="preserve">Sex Offenders Registration Act 2004 </w:t>
      </w:r>
      <w:r w:rsidRPr="00904341">
        <w:t xml:space="preserve">(Vic); </w:t>
      </w:r>
      <w:r w:rsidRPr="00904341">
        <w:rPr>
          <w:i/>
        </w:rPr>
        <w:t>Child Protection (Offender Reporting and Offender Prohibition Order) Act 2004</w:t>
      </w:r>
      <w:r w:rsidRPr="00904341">
        <w:t xml:space="preserve"> (Qld); </w:t>
      </w:r>
      <w:r w:rsidRPr="00904341">
        <w:rPr>
          <w:i/>
        </w:rPr>
        <w:t>Community Protection (Offender Reporting) Act 2005</w:t>
      </w:r>
      <w:r w:rsidRPr="00904341">
        <w:t xml:space="preserve"> (Tas); </w:t>
      </w:r>
      <w:r w:rsidRPr="00904341">
        <w:rPr>
          <w:i/>
        </w:rPr>
        <w:t xml:space="preserve">Child Protection (Offender Reporting and Registration) Act 2004 </w:t>
      </w:r>
      <w:r w:rsidRPr="00904341">
        <w:t xml:space="preserve">(NT); </w:t>
      </w:r>
      <w:r w:rsidRPr="00904341">
        <w:rPr>
          <w:i/>
        </w:rPr>
        <w:t xml:space="preserve">Crimes (Child Sex Offenders) Act 2005 </w:t>
      </w:r>
      <w:r w:rsidRPr="00904341">
        <w:t xml:space="preserve">(ACT); </w:t>
      </w:r>
      <w:r w:rsidRPr="00904341">
        <w:rPr>
          <w:i/>
        </w:rPr>
        <w:t>Child Sex Offenders Registration Act 2006</w:t>
      </w:r>
      <w:r w:rsidRPr="00904341">
        <w:t xml:space="preserve"> (SA); </w:t>
      </w:r>
      <w:r w:rsidRPr="00904341">
        <w:rPr>
          <w:i/>
        </w:rPr>
        <w:t>Community Protection (Offender Reporting) Act 2004</w:t>
      </w:r>
      <w:r w:rsidRPr="00904341">
        <w:t xml:space="preserve"> (WA).</w:t>
      </w:r>
    </w:p>
  </w:footnote>
  <w:footnote w:id="66">
    <w:p w14:paraId="13F37381" w14:textId="321DE840" w:rsidR="0042789D" w:rsidRPr="00FA7D15" w:rsidRDefault="0042789D" w:rsidP="00B35C59">
      <w:pPr>
        <w:pStyle w:val="Footnote"/>
      </w:pPr>
      <w:r w:rsidRPr="00FA7D15">
        <w:rPr>
          <w:rStyle w:val="FootnoteReference"/>
        </w:rPr>
        <w:footnoteRef/>
      </w:r>
      <w:r w:rsidRPr="00FA7D15">
        <w:t xml:space="preserve"> </w:t>
      </w:r>
      <w:r w:rsidRPr="00984056">
        <w:rPr>
          <w:i/>
        </w:rPr>
        <w:t>Child Protection (Offenders Registration) Act 2000</w:t>
      </w:r>
      <w:r w:rsidRPr="00984056">
        <w:t xml:space="preserve"> (NSW) pt 3, div 10; </w:t>
      </w:r>
      <w:r w:rsidRPr="00984056">
        <w:rPr>
          <w:i/>
        </w:rPr>
        <w:t xml:space="preserve">Sex Offenders Registration Act 2004 </w:t>
      </w:r>
      <w:r w:rsidRPr="00984056">
        <w:t>(Vic) s 9 and s 37;</w:t>
      </w:r>
      <w:r w:rsidRPr="00984056">
        <w:rPr>
          <w:i/>
        </w:rPr>
        <w:t xml:space="preserve"> Child Protection (Offender Reporting and Offender Prohibition Order) Act 2004</w:t>
      </w:r>
      <w:r w:rsidRPr="00984056">
        <w:t xml:space="preserve"> (Qld) s 7 and s 39; </w:t>
      </w:r>
      <w:r w:rsidRPr="00984056">
        <w:rPr>
          <w:i/>
        </w:rPr>
        <w:t>Community Protection (Offender Reporting) Act 2005</w:t>
      </w:r>
      <w:r w:rsidRPr="00984056">
        <w:t xml:space="preserve"> (Tas) s 11 and s 26; </w:t>
      </w:r>
      <w:r w:rsidRPr="00984056">
        <w:rPr>
          <w:i/>
        </w:rPr>
        <w:t>Crimes (Child Sex Offenders) Act 2005</w:t>
      </w:r>
      <w:r w:rsidRPr="00984056">
        <w:t xml:space="preserve"> (ACT) ss 11 and 11A and s 94; </w:t>
      </w:r>
      <w:r w:rsidRPr="00984056">
        <w:rPr>
          <w:i/>
        </w:rPr>
        <w:t>Child Protection (Offender Reporting and Registration) Act 2004</w:t>
      </w:r>
      <w:r w:rsidRPr="00984056">
        <w:t xml:space="preserve"> (NT) s 8 and s 40; </w:t>
      </w:r>
      <w:r w:rsidRPr="00984056">
        <w:rPr>
          <w:i/>
        </w:rPr>
        <w:t xml:space="preserve">Child Sex Offenders Registration Act 2006 </w:t>
      </w:r>
      <w:r w:rsidRPr="00984056">
        <w:t xml:space="preserve">(SA) ss 7-8, and ss 35-36; </w:t>
      </w:r>
      <w:r w:rsidRPr="00984056">
        <w:rPr>
          <w:i/>
        </w:rPr>
        <w:t>Community Protection (Offender Reporting) Act 2004</w:t>
      </w:r>
      <w:r w:rsidRPr="00984056">
        <w:t xml:space="preserve"> (WA) ss 7-8, ss 49-50.</w:t>
      </w:r>
    </w:p>
  </w:footnote>
  <w:footnote w:id="67">
    <w:p w14:paraId="7DA2CFE6" w14:textId="77777777" w:rsidR="0042789D" w:rsidRPr="00802C2E" w:rsidRDefault="0042789D" w:rsidP="00E253D9">
      <w:pPr>
        <w:pStyle w:val="Footnote"/>
      </w:pPr>
      <w:r w:rsidRPr="00802C2E">
        <w:rPr>
          <w:rStyle w:val="FootnoteReference"/>
        </w:rPr>
        <w:footnoteRef/>
      </w:r>
      <w:r w:rsidRPr="00802C2E">
        <w:t xml:space="preserve"> </w:t>
      </w:r>
      <w:r>
        <w:t xml:space="preserve">The ANCOR is part of the National Child Offender System (NCOS) which is maintained and supported by the </w:t>
      </w:r>
      <w:r w:rsidRPr="00802C2E">
        <w:t>Australian Criminal Intelligence Commission</w:t>
      </w:r>
      <w:r>
        <w:t xml:space="preserve">: </w:t>
      </w:r>
      <w:r w:rsidRPr="00802C2E">
        <w:t xml:space="preserve">Australian Criminal Intelligence Commission, </w:t>
      </w:r>
      <w:r w:rsidRPr="00802C2E">
        <w:rPr>
          <w:i/>
        </w:rPr>
        <w:t>National Child Offender System</w:t>
      </w:r>
      <w:r>
        <w:t xml:space="preserve"> (14 April 2019</w:t>
      </w:r>
      <w:r w:rsidRPr="00802C2E">
        <w:t xml:space="preserve">) </w:t>
      </w:r>
      <w:r w:rsidRPr="003F2E40">
        <w:t>&lt;</w:t>
      </w:r>
      <w:hyperlink r:id="rId1" w:history="1">
        <w:r w:rsidRPr="003F2E40">
          <w:rPr>
            <w:rStyle w:val="Hyperlink"/>
            <w:color w:val="auto"/>
            <w:u w:val="none"/>
          </w:rPr>
          <w:t>https://www.acic.gov.au/our-services/child-protection/national-child-offender-system</w:t>
        </w:r>
      </w:hyperlink>
      <w:r w:rsidRPr="003F2E40">
        <w:t>&gt;.</w:t>
      </w:r>
    </w:p>
  </w:footnote>
  <w:footnote w:id="68">
    <w:p w14:paraId="6A0E9D4E" w14:textId="33A92F87" w:rsidR="0042789D" w:rsidRPr="00802C2E" w:rsidRDefault="0042789D" w:rsidP="00E253D9">
      <w:pPr>
        <w:pStyle w:val="FootnoteText"/>
        <w:spacing w:before="60" w:after="60"/>
      </w:pPr>
      <w:r w:rsidRPr="00802C2E">
        <w:rPr>
          <w:rStyle w:val="FootnoteReference"/>
        </w:rPr>
        <w:footnoteRef/>
      </w:r>
      <w:r w:rsidRPr="00802C2E">
        <w:t xml:space="preserve"> </w:t>
      </w:r>
      <w:r w:rsidRPr="00802C2E">
        <w:rPr>
          <w:i/>
        </w:rPr>
        <w:t>Standard Operating Procedures: National Protocols for Police Jurisdictions using the National Child Offender System (NCOS) Comprising ANCOR and MPS</w:t>
      </w:r>
      <w:r w:rsidRPr="00802C2E">
        <w:t xml:space="preserve">, 28 May 2013, </w:t>
      </w:r>
      <w:r>
        <w:t>NSW Police Force response</w:t>
      </w:r>
      <w:r w:rsidRPr="00802C2E">
        <w:t xml:space="preserve"> to item 8 of </w:t>
      </w:r>
      <w:r>
        <w:t>Law Enforcement Conduct Commission Notice</w:t>
      </w:r>
      <w:r w:rsidRPr="00802C2E">
        <w:t xml:space="preserve"> 929 of 2017.</w:t>
      </w:r>
    </w:p>
  </w:footnote>
  <w:footnote w:id="69">
    <w:p w14:paraId="4DB5AD66" w14:textId="6B7F9102" w:rsidR="0042789D" w:rsidRPr="00802C2E" w:rsidRDefault="0042789D" w:rsidP="00E253D9">
      <w:pPr>
        <w:pStyle w:val="FootnoteText"/>
        <w:spacing w:before="60" w:after="60"/>
      </w:pPr>
      <w:r w:rsidRPr="00802C2E">
        <w:rPr>
          <w:rStyle w:val="FootnoteReference"/>
        </w:rPr>
        <w:footnoteRef/>
      </w:r>
      <w:r w:rsidRPr="00802C2E">
        <w:t xml:space="preserve"> There is now an interface between COPS and ANCOR which enables ANCOR to automatically update mandatory fields by pulling information from CO</w:t>
      </w:r>
      <w:r>
        <w:t>PS once every 24 hours, however</w:t>
      </w:r>
      <w:r w:rsidRPr="00802C2E">
        <w:t xml:space="preserve"> some information and documentation still needs to be manually uploaded: </w:t>
      </w:r>
      <w:r>
        <w:t>Law Enforcement Conduct Commission consultation with</w:t>
      </w:r>
      <w:r w:rsidRPr="00802C2E">
        <w:t xml:space="preserve"> NSW</w:t>
      </w:r>
      <w:r>
        <w:t xml:space="preserve"> </w:t>
      </w:r>
      <w:r w:rsidRPr="00802C2E">
        <w:t>P</w:t>
      </w:r>
      <w:r>
        <w:t xml:space="preserve">olice </w:t>
      </w:r>
      <w:r w:rsidRPr="00802C2E">
        <w:t>F</w:t>
      </w:r>
      <w:r>
        <w:t>orce</w:t>
      </w:r>
      <w:r w:rsidRPr="00802C2E">
        <w:t xml:space="preserve">, </w:t>
      </w:r>
      <w:r w:rsidRPr="00F740F8">
        <w:t xml:space="preserve">Parramatta, 5 October 2017; Workforce Intelligence Unit, Human Resources Command, </w:t>
      </w:r>
      <w:r>
        <w:t>NSW Police Force</w:t>
      </w:r>
      <w:r w:rsidRPr="00F740F8">
        <w:t xml:space="preserve">, </w:t>
      </w:r>
      <w:r w:rsidRPr="00F740F8">
        <w:rPr>
          <w:i/>
        </w:rPr>
        <w:t>HR Analysis: Child Protection Register Staffing Review</w:t>
      </w:r>
      <w:r w:rsidRPr="00F740F8">
        <w:t xml:space="preserve">, 20 July 2017, D/2017/630614, </w:t>
      </w:r>
      <w:r>
        <w:t>NSW Police Force response</w:t>
      </w:r>
      <w:r w:rsidRPr="00F740F8">
        <w:t xml:space="preserve"> to item 1 of </w:t>
      </w:r>
      <w:r>
        <w:t>Law Enforcement Conduct Commission</w:t>
      </w:r>
      <w:r w:rsidRPr="00F740F8">
        <w:t xml:space="preserve"> Notice 929 of 2017, p 33.</w:t>
      </w:r>
    </w:p>
  </w:footnote>
  <w:footnote w:id="70">
    <w:p w14:paraId="4DCA09C1" w14:textId="3A7C3271" w:rsidR="0042789D" w:rsidRPr="00802C2E" w:rsidRDefault="0042789D" w:rsidP="00E253D9">
      <w:pPr>
        <w:pStyle w:val="FootnoteText"/>
        <w:spacing w:before="60" w:after="60"/>
      </w:pPr>
      <w:r w:rsidRPr="00802C2E">
        <w:rPr>
          <w:rStyle w:val="FootnoteReference"/>
        </w:rPr>
        <w:footnoteRef/>
      </w:r>
      <w:r w:rsidRPr="00802C2E">
        <w:t xml:space="preserve"> Australian Criminal Intelligence Commission, </w:t>
      </w:r>
      <w:r w:rsidRPr="00802C2E">
        <w:rPr>
          <w:i/>
        </w:rPr>
        <w:t>National Child Offender System</w:t>
      </w:r>
      <w:r>
        <w:t xml:space="preserve"> (18 July</w:t>
      </w:r>
      <w:r w:rsidRPr="00802C2E">
        <w:t xml:space="preserve"> 2018) &lt;</w:t>
      </w:r>
      <w:hyperlink r:id="rId2" w:history="1">
        <w:r w:rsidRPr="003F2E40">
          <w:rPr>
            <w:rStyle w:val="Hyperlink"/>
            <w:color w:val="auto"/>
            <w:u w:val="none"/>
          </w:rPr>
          <w:t>https://www.acic.gov.au/our-services/child-protection/national-child-offender-system</w:t>
        </w:r>
      </w:hyperlink>
      <w:r w:rsidRPr="00802C2E">
        <w:t>&gt;.</w:t>
      </w:r>
    </w:p>
  </w:footnote>
  <w:footnote w:id="71">
    <w:p w14:paraId="5AE519F0" w14:textId="04BFB25B" w:rsidR="0042789D" w:rsidRPr="005D0765" w:rsidRDefault="0042789D" w:rsidP="00E253D9">
      <w:pPr>
        <w:pStyle w:val="FootnoteText"/>
        <w:spacing w:before="60" w:after="60"/>
      </w:pPr>
      <w:r w:rsidRPr="00802C2E">
        <w:rPr>
          <w:rStyle w:val="FootnoteReference"/>
        </w:rPr>
        <w:footnoteRef/>
      </w:r>
      <w:r w:rsidRPr="00802C2E">
        <w:t xml:space="preserve"> </w:t>
      </w:r>
      <w:r>
        <w:t>Child Protection Registry,</w:t>
      </w:r>
      <w:r w:rsidRPr="00802C2E">
        <w:t xml:space="preserve"> </w:t>
      </w:r>
      <w:r>
        <w:t xml:space="preserve">NSW Police Force, </w:t>
      </w:r>
      <w:r w:rsidRPr="00802C2E">
        <w:rPr>
          <w:i/>
        </w:rPr>
        <w:t>Further issues and risks identified within the Child Protection Registry</w:t>
      </w:r>
      <w:r w:rsidRPr="00802C2E">
        <w:t xml:space="preserve">, 16 October 2015, D/2015/527743, </w:t>
      </w:r>
      <w:r>
        <w:t>NSW Police Force response</w:t>
      </w:r>
      <w:r w:rsidRPr="00802C2E">
        <w:t xml:space="preserve"> to </w:t>
      </w:r>
      <w:r>
        <w:t>Law Enforcement Conduct Commission Notice</w:t>
      </w:r>
      <w:r w:rsidRPr="00802C2E">
        <w:t xml:space="preserve"> 914 of 2017, pp 2-3.</w:t>
      </w:r>
    </w:p>
  </w:footnote>
  <w:footnote w:id="72">
    <w:p w14:paraId="20E888F5" w14:textId="6D2F44BF" w:rsidR="0042789D" w:rsidRDefault="0042789D" w:rsidP="00B01916">
      <w:pPr>
        <w:pStyle w:val="Footnote"/>
      </w:pPr>
      <w:r>
        <w:rPr>
          <w:rStyle w:val="FootnoteReference"/>
        </w:rPr>
        <w:footnoteRef/>
      </w:r>
      <w:r>
        <w:t xml:space="preserve"> Child Protection Regist</w:t>
      </w:r>
      <w:r w:rsidRPr="00167306">
        <w:t>r</w:t>
      </w:r>
      <w:r>
        <w:t>y</w:t>
      </w:r>
      <w:r w:rsidRPr="00167306">
        <w:t>,</w:t>
      </w:r>
      <w:r>
        <w:t xml:space="preserve"> NSW Police Force,</w:t>
      </w:r>
      <w:r w:rsidRPr="00167306">
        <w:t xml:space="preserve"> </w:t>
      </w:r>
      <w:r w:rsidRPr="003C60F0">
        <w:rPr>
          <w:i/>
        </w:rPr>
        <w:t>Serious concerns raised regarding the Child Protection Register (CPR) reporting period timeframes and lack of review of matters prior to case finalisation</w:t>
      </w:r>
      <w:r w:rsidRPr="00167306">
        <w:t xml:space="preserve">, 26 May 2016, D/2016/277899, </w:t>
      </w:r>
      <w:r>
        <w:t>NSW Police Force response</w:t>
      </w:r>
      <w:r w:rsidRPr="00167306">
        <w:t xml:space="preserve"> to </w:t>
      </w:r>
      <w:r>
        <w:t>item 7 of Law Enforcement Conduct Commission Notice</w:t>
      </w:r>
      <w:r w:rsidRPr="00167306">
        <w:t xml:space="preserve"> 914 of 2017</w:t>
      </w:r>
      <w:r>
        <w:t>, p 5</w:t>
      </w:r>
      <w:r w:rsidRPr="00167306">
        <w:t>.</w:t>
      </w:r>
    </w:p>
  </w:footnote>
  <w:footnote w:id="73">
    <w:p w14:paraId="40134219" w14:textId="7EF1BB0B" w:rsidR="0042789D" w:rsidRPr="006F1F8B" w:rsidRDefault="0042789D">
      <w:pPr>
        <w:pStyle w:val="FootnoteText"/>
      </w:pPr>
      <w:r w:rsidRPr="006F1F8B">
        <w:rPr>
          <w:rStyle w:val="FootnoteReference"/>
        </w:rPr>
        <w:footnoteRef/>
      </w:r>
      <w:r>
        <w:t xml:space="preserve"> Cf.</w:t>
      </w:r>
      <w:r w:rsidRPr="006F1F8B">
        <w:t xml:space="preserve"> </w:t>
      </w:r>
      <w:r w:rsidRPr="006F1F8B">
        <w:rPr>
          <w:i/>
        </w:rPr>
        <w:t>Law Enforcement Conduct Commission Act 2016</w:t>
      </w:r>
      <w:r w:rsidRPr="006F1F8B">
        <w:t xml:space="preserve"> (NSW) s 11(1)(b)(iv).</w:t>
      </w:r>
    </w:p>
  </w:footnote>
  <w:footnote w:id="74">
    <w:p w14:paraId="1EA1F918" w14:textId="6E783DE6" w:rsidR="0042789D" w:rsidRPr="006F1F8B" w:rsidRDefault="0042789D">
      <w:pPr>
        <w:pStyle w:val="FootnoteText"/>
      </w:pPr>
      <w:r w:rsidRPr="006F1F8B">
        <w:rPr>
          <w:rStyle w:val="FootnoteReference"/>
        </w:rPr>
        <w:footnoteRef/>
      </w:r>
      <w:r>
        <w:t xml:space="preserve"> Cf.</w:t>
      </w:r>
      <w:r w:rsidRPr="006F1F8B">
        <w:t xml:space="preserve"> </w:t>
      </w:r>
      <w:r w:rsidRPr="006F1F8B">
        <w:rPr>
          <w:i/>
        </w:rPr>
        <w:t>Law Enforcement Conduct Commission Act 2016</w:t>
      </w:r>
      <w:r w:rsidRPr="006F1F8B">
        <w:t xml:space="preserve"> (NSW) s 11(3)(a).</w:t>
      </w:r>
    </w:p>
  </w:footnote>
  <w:footnote w:id="75">
    <w:p w14:paraId="47C9BADD" w14:textId="37697B92" w:rsidR="0042789D" w:rsidRPr="006F1F8B" w:rsidRDefault="0042789D">
      <w:pPr>
        <w:pStyle w:val="FootnoteText"/>
      </w:pPr>
      <w:r w:rsidRPr="006F1F8B">
        <w:rPr>
          <w:rStyle w:val="FootnoteReference"/>
        </w:rPr>
        <w:footnoteRef/>
      </w:r>
      <w:r>
        <w:t xml:space="preserve"> Cf.</w:t>
      </w:r>
      <w:r w:rsidRPr="006F1F8B">
        <w:t xml:space="preserve"> </w:t>
      </w:r>
      <w:r w:rsidRPr="006F1F8B">
        <w:rPr>
          <w:i/>
        </w:rPr>
        <w:t>Law Enforcement Conduct Commission Act 2016</w:t>
      </w:r>
      <w:r w:rsidRPr="006F1F8B">
        <w:t xml:space="preserve"> (NSW)</w:t>
      </w:r>
      <w:r>
        <w:t xml:space="preserve"> s 11(3)(b)(i).</w:t>
      </w:r>
    </w:p>
  </w:footnote>
  <w:footnote w:id="76">
    <w:p w14:paraId="26B56981" w14:textId="45F14AC2" w:rsidR="0042789D" w:rsidRPr="00465C98" w:rsidRDefault="0042789D" w:rsidP="0049464C">
      <w:pPr>
        <w:pStyle w:val="FootnoteText"/>
        <w:spacing w:before="60" w:after="60"/>
        <w:rPr>
          <w:rFonts w:ascii="Gotham Book" w:hAnsi="Gotham Book"/>
        </w:rPr>
      </w:pPr>
      <w:r w:rsidRPr="00465C98">
        <w:rPr>
          <w:rStyle w:val="FootnoteReference"/>
          <w:rFonts w:ascii="Gotham Book" w:hAnsi="Gotham Book"/>
        </w:rPr>
        <w:footnoteRef/>
      </w:r>
      <w:r w:rsidRPr="00465C98">
        <w:rPr>
          <w:rFonts w:ascii="Gotham Book" w:hAnsi="Gotham Book"/>
        </w:rPr>
        <w:t xml:space="preserve"> </w:t>
      </w:r>
      <w:r>
        <w:rPr>
          <w:rFonts w:ascii="Gotham Book" w:hAnsi="Gotham Book"/>
        </w:rPr>
        <w:t>Reports and submissions produced by the NSW Police Force in response to</w:t>
      </w:r>
      <w:r w:rsidRPr="00465C98">
        <w:rPr>
          <w:rFonts w:ascii="Gotham Book" w:hAnsi="Gotham Book"/>
        </w:rPr>
        <w:t xml:space="preserve"> </w:t>
      </w:r>
      <w:r>
        <w:rPr>
          <w:rFonts w:ascii="Gotham Book" w:hAnsi="Gotham Book"/>
        </w:rPr>
        <w:t>Law Enforcement Conduct Commission Notice</w:t>
      </w:r>
      <w:r w:rsidRPr="00465C98">
        <w:rPr>
          <w:rFonts w:ascii="Gotham Book" w:hAnsi="Gotham Book"/>
        </w:rPr>
        <w:t xml:space="preserve"> 914 of 2017</w:t>
      </w:r>
      <w:r>
        <w:rPr>
          <w:rFonts w:ascii="Gotham Book" w:hAnsi="Gotham Book"/>
        </w:rPr>
        <w:t xml:space="preserve"> (items 1 - 7) and Law Enforcement Conduct Commission Notice</w:t>
      </w:r>
      <w:r w:rsidRPr="00465C98">
        <w:rPr>
          <w:rFonts w:ascii="Gotham Book" w:hAnsi="Gotham Book"/>
        </w:rPr>
        <w:t xml:space="preserve"> 929 of 2017</w:t>
      </w:r>
      <w:r>
        <w:rPr>
          <w:rFonts w:ascii="Gotham Book" w:hAnsi="Gotham Book"/>
        </w:rPr>
        <w:t xml:space="preserve"> (items 11 and 12).</w:t>
      </w:r>
    </w:p>
  </w:footnote>
  <w:footnote w:id="77">
    <w:p w14:paraId="04223522" w14:textId="7B80BA7F" w:rsidR="0042789D" w:rsidRPr="0041212C" w:rsidRDefault="0042789D" w:rsidP="0049464C">
      <w:pPr>
        <w:pStyle w:val="FootnoteText"/>
        <w:spacing w:before="60" w:after="60"/>
        <w:rPr>
          <w:rFonts w:ascii="Gotham Book" w:hAnsi="Gotham Book"/>
        </w:rPr>
      </w:pPr>
      <w:r w:rsidRPr="0041212C">
        <w:rPr>
          <w:rStyle w:val="FootnoteReference"/>
          <w:rFonts w:ascii="Gotham Book" w:hAnsi="Gotham Book"/>
        </w:rPr>
        <w:footnoteRef/>
      </w:r>
      <w:r w:rsidRPr="0041212C">
        <w:rPr>
          <w:rFonts w:ascii="Gotham Book" w:hAnsi="Gotham Book"/>
        </w:rPr>
        <w:t xml:space="preserve"> This issue is discussed </w:t>
      </w:r>
      <w:r w:rsidRPr="00197D6F">
        <w:rPr>
          <w:rFonts w:ascii="Gotham Book" w:hAnsi="Gotham Book"/>
        </w:rPr>
        <w:t xml:space="preserve">in Chapter </w:t>
      </w:r>
      <w:r w:rsidRPr="00197D6F">
        <w:rPr>
          <w:rFonts w:ascii="Gotham Book" w:hAnsi="Gotham Book"/>
        </w:rPr>
        <w:fldChar w:fldCharType="begin"/>
      </w:r>
      <w:r w:rsidRPr="00197D6F">
        <w:rPr>
          <w:rFonts w:ascii="Gotham Book" w:hAnsi="Gotham Book"/>
        </w:rPr>
        <w:instrText xml:space="preserve"> REF _Ref9258915 \r \h </w:instrText>
      </w:r>
      <w:r>
        <w:rPr>
          <w:rFonts w:ascii="Gotham Book" w:hAnsi="Gotham Book"/>
        </w:rPr>
        <w:instrText xml:space="preserve"> \* MERGEFORMAT </w:instrText>
      </w:r>
      <w:r w:rsidRPr="00197D6F">
        <w:rPr>
          <w:rFonts w:ascii="Gotham Book" w:hAnsi="Gotham Book"/>
        </w:rPr>
      </w:r>
      <w:r w:rsidRPr="00197D6F">
        <w:rPr>
          <w:rFonts w:ascii="Gotham Book" w:hAnsi="Gotham Book"/>
        </w:rPr>
        <w:fldChar w:fldCharType="separate"/>
      </w:r>
      <w:r w:rsidR="00022664">
        <w:rPr>
          <w:rFonts w:ascii="Gotham Book" w:hAnsi="Gotham Book" w:hint="cs"/>
          <w:cs/>
        </w:rPr>
        <w:t>‎</w:t>
      </w:r>
      <w:r w:rsidR="00022664">
        <w:rPr>
          <w:rFonts w:ascii="Gotham Book" w:hAnsi="Gotham Book"/>
        </w:rPr>
        <w:t>8</w:t>
      </w:r>
      <w:r w:rsidRPr="00197D6F">
        <w:rPr>
          <w:rFonts w:ascii="Gotham Book" w:hAnsi="Gotham Book"/>
        </w:rPr>
        <w:fldChar w:fldCharType="end"/>
      </w:r>
      <w:r w:rsidRPr="00197D6F">
        <w:rPr>
          <w:rFonts w:ascii="Gotham Book" w:hAnsi="Gotham Book"/>
        </w:rPr>
        <w:t>.</w:t>
      </w:r>
    </w:p>
  </w:footnote>
  <w:footnote w:id="78">
    <w:p w14:paraId="2F5CF916" w14:textId="78D6D3B5" w:rsidR="0042789D" w:rsidRPr="000F44C1" w:rsidRDefault="0042789D" w:rsidP="0049464C">
      <w:pPr>
        <w:pStyle w:val="FootnoteText"/>
        <w:spacing w:before="60" w:after="60"/>
        <w:rPr>
          <w:rFonts w:ascii="Gotham Book" w:hAnsi="Gotham Book"/>
        </w:rPr>
      </w:pPr>
      <w:r w:rsidRPr="000F44C1">
        <w:rPr>
          <w:rStyle w:val="FootnoteReference"/>
          <w:rFonts w:ascii="Gotham Book" w:hAnsi="Gotham Book"/>
        </w:rPr>
        <w:footnoteRef/>
      </w:r>
      <w:r w:rsidRPr="000F44C1">
        <w:rPr>
          <w:rFonts w:ascii="Gotham Book" w:hAnsi="Gotham Book"/>
        </w:rPr>
        <w:t xml:space="preserve"> </w:t>
      </w:r>
      <w:r w:rsidRPr="008D1A2A">
        <w:rPr>
          <w:rFonts w:ascii="Gotham Book" w:hAnsi="Gotham Book"/>
        </w:rPr>
        <w:t xml:space="preserve">See Case Studies 10 and 11 in Chapter 8 (section </w:t>
      </w:r>
      <w:r w:rsidRPr="008D1A2A">
        <w:rPr>
          <w:rFonts w:ascii="Gotham Book" w:hAnsi="Gotham Book"/>
        </w:rPr>
        <w:fldChar w:fldCharType="begin"/>
      </w:r>
      <w:r w:rsidRPr="008D1A2A">
        <w:rPr>
          <w:rFonts w:ascii="Gotham Book" w:hAnsi="Gotham Book"/>
        </w:rPr>
        <w:instrText xml:space="preserve"> REF _Ref9259006 \r \h </w:instrText>
      </w:r>
      <w:r>
        <w:rPr>
          <w:rFonts w:ascii="Gotham Book" w:hAnsi="Gotham Book"/>
        </w:rPr>
        <w:instrText xml:space="preserve"> \* MERGEFORMAT </w:instrText>
      </w:r>
      <w:r w:rsidRPr="008D1A2A">
        <w:rPr>
          <w:rFonts w:ascii="Gotham Book" w:hAnsi="Gotham Book"/>
        </w:rPr>
      </w:r>
      <w:r w:rsidRPr="008D1A2A">
        <w:rPr>
          <w:rFonts w:ascii="Gotham Book" w:hAnsi="Gotham Book"/>
        </w:rPr>
        <w:fldChar w:fldCharType="separate"/>
      </w:r>
      <w:r w:rsidR="00022664">
        <w:rPr>
          <w:rFonts w:ascii="Gotham Book" w:hAnsi="Gotham Book" w:hint="cs"/>
          <w:cs/>
        </w:rPr>
        <w:t>‎</w:t>
      </w:r>
      <w:r w:rsidR="00022664">
        <w:rPr>
          <w:rFonts w:ascii="Gotham Book" w:hAnsi="Gotham Book"/>
        </w:rPr>
        <w:t>8.3</w:t>
      </w:r>
      <w:r w:rsidRPr="008D1A2A">
        <w:rPr>
          <w:rFonts w:ascii="Gotham Book" w:hAnsi="Gotham Book"/>
        </w:rPr>
        <w:fldChar w:fldCharType="end"/>
      </w:r>
      <w:r w:rsidRPr="008D1A2A">
        <w:rPr>
          <w:rFonts w:ascii="Gotham Book" w:hAnsi="Gotham Book"/>
        </w:rPr>
        <w:t>).</w:t>
      </w:r>
    </w:p>
  </w:footnote>
  <w:footnote w:id="79">
    <w:p w14:paraId="1CCC9BC3" w14:textId="7832A6D1" w:rsidR="0042789D" w:rsidRPr="000F44C1" w:rsidRDefault="0042789D" w:rsidP="006713E1">
      <w:pPr>
        <w:pStyle w:val="FootnoteText"/>
        <w:spacing w:before="60" w:after="60"/>
        <w:rPr>
          <w:rFonts w:ascii="Gotham Book" w:hAnsi="Gotham Book"/>
        </w:rPr>
      </w:pPr>
      <w:r w:rsidRPr="000F44C1">
        <w:rPr>
          <w:rStyle w:val="FootnoteReference"/>
          <w:rFonts w:ascii="Gotham Book" w:hAnsi="Gotham Book"/>
        </w:rPr>
        <w:footnoteRef/>
      </w:r>
      <w:r>
        <w:rPr>
          <w:rFonts w:ascii="Gotham Book" w:hAnsi="Gotham Book"/>
        </w:rPr>
        <w:t xml:space="preserve"> </w:t>
      </w:r>
      <w:r w:rsidRPr="000F44C1">
        <w:rPr>
          <w:rFonts w:ascii="Gotham Book" w:hAnsi="Gotham Book"/>
        </w:rPr>
        <w:t xml:space="preserve">Child Protection Registry, </w:t>
      </w:r>
      <w:r>
        <w:rPr>
          <w:rFonts w:ascii="Gotham Book" w:hAnsi="Gotham Book"/>
        </w:rPr>
        <w:t xml:space="preserve">NSW Police Force, </w:t>
      </w:r>
      <w:r w:rsidRPr="000F44C1">
        <w:rPr>
          <w:rFonts w:ascii="Gotham Book" w:hAnsi="Gotham Book"/>
          <w:i/>
        </w:rPr>
        <w:t>Request for urgent assistance from Business and Technology Services</w:t>
      </w:r>
      <w:r w:rsidRPr="000F44C1">
        <w:rPr>
          <w:rFonts w:ascii="Gotham Book" w:hAnsi="Gotham Book"/>
        </w:rPr>
        <w:t xml:space="preserve">, 28 September 2015, D/2015/486821, </w:t>
      </w:r>
      <w:r>
        <w:rPr>
          <w:rFonts w:ascii="Gotham Book" w:hAnsi="Gotham Book"/>
        </w:rPr>
        <w:t>NSW Police Force response</w:t>
      </w:r>
      <w:r w:rsidRPr="000F44C1">
        <w:rPr>
          <w:rFonts w:ascii="Gotham Book" w:hAnsi="Gotham Book"/>
        </w:rPr>
        <w:t xml:space="preserve"> to </w:t>
      </w:r>
      <w:r>
        <w:rPr>
          <w:rFonts w:ascii="Gotham Book" w:hAnsi="Gotham Book"/>
        </w:rPr>
        <w:t>item 3 of Law Enforcement Conduct Commission Notice</w:t>
      </w:r>
      <w:r w:rsidRPr="000F44C1">
        <w:rPr>
          <w:rFonts w:ascii="Gotham Book" w:hAnsi="Gotham Book"/>
        </w:rPr>
        <w:t xml:space="preserve"> 914 of 2017.</w:t>
      </w:r>
    </w:p>
  </w:footnote>
  <w:footnote w:id="80">
    <w:p w14:paraId="70804175" w14:textId="5F28D258" w:rsidR="0042789D" w:rsidRPr="000F44C1" w:rsidRDefault="0042789D" w:rsidP="006713E1">
      <w:pPr>
        <w:pStyle w:val="FootnoteText"/>
        <w:spacing w:before="60" w:after="60"/>
        <w:rPr>
          <w:rFonts w:ascii="Gotham Book" w:hAnsi="Gotham Book"/>
        </w:rPr>
      </w:pPr>
      <w:r w:rsidRPr="000F44C1">
        <w:rPr>
          <w:rStyle w:val="FootnoteReference"/>
          <w:rFonts w:ascii="Gotham Book" w:hAnsi="Gotham Book"/>
        </w:rPr>
        <w:footnoteRef/>
      </w:r>
      <w:r>
        <w:rPr>
          <w:rFonts w:ascii="Gotham Book" w:hAnsi="Gotham Book"/>
        </w:rPr>
        <w:t xml:space="preserve"> Child </w:t>
      </w:r>
      <w:r w:rsidRPr="000F44C1">
        <w:rPr>
          <w:rFonts w:ascii="Gotham Book" w:hAnsi="Gotham Book"/>
        </w:rPr>
        <w:t>Protection Registry</w:t>
      </w:r>
      <w:r w:rsidRPr="004277B9">
        <w:rPr>
          <w:rFonts w:ascii="Gotham Book" w:hAnsi="Gotham Book"/>
        </w:rPr>
        <w:t xml:space="preserve">, </w:t>
      </w:r>
      <w:r>
        <w:rPr>
          <w:rFonts w:ascii="Gotham Book" w:hAnsi="Gotham Book"/>
        </w:rPr>
        <w:t>NSW Police Force</w:t>
      </w:r>
      <w:r w:rsidRPr="004277B9">
        <w:rPr>
          <w:rFonts w:ascii="Gotham Book" w:hAnsi="Gotham Book"/>
        </w:rPr>
        <w:t>,</w:t>
      </w:r>
      <w:r w:rsidRPr="000F44C1">
        <w:rPr>
          <w:rFonts w:ascii="Gotham Book" w:hAnsi="Gotham Book"/>
          <w:i/>
        </w:rPr>
        <w:t xml:space="preserve"> Further issues and risk</w:t>
      </w:r>
      <w:r>
        <w:rPr>
          <w:rFonts w:ascii="Gotham Book" w:hAnsi="Gotham Book"/>
          <w:i/>
        </w:rPr>
        <w:t>s</w:t>
      </w:r>
      <w:r w:rsidRPr="000F44C1">
        <w:rPr>
          <w:rFonts w:ascii="Gotham Book" w:hAnsi="Gotham Book"/>
          <w:i/>
        </w:rPr>
        <w:t xml:space="preserve"> identified within the C</w:t>
      </w:r>
      <w:r>
        <w:rPr>
          <w:rFonts w:ascii="Gotham Book" w:hAnsi="Gotham Book"/>
          <w:i/>
        </w:rPr>
        <w:t xml:space="preserve">hild Protection </w:t>
      </w:r>
      <w:r w:rsidRPr="000F44C1">
        <w:rPr>
          <w:rFonts w:ascii="Gotham Book" w:hAnsi="Gotham Book"/>
          <w:i/>
        </w:rPr>
        <w:t>R</w:t>
      </w:r>
      <w:r>
        <w:rPr>
          <w:rFonts w:ascii="Gotham Book" w:hAnsi="Gotham Book"/>
          <w:i/>
        </w:rPr>
        <w:t>egistry</w:t>
      </w:r>
      <w:r w:rsidRPr="000F44C1">
        <w:rPr>
          <w:rFonts w:ascii="Gotham Book" w:hAnsi="Gotham Book"/>
        </w:rPr>
        <w:t xml:space="preserve">, 16 October 2015, D/2015/527743, </w:t>
      </w:r>
      <w:r>
        <w:rPr>
          <w:rFonts w:ascii="Gotham Book" w:hAnsi="Gotham Book"/>
        </w:rPr>
        <w:t>NSW Police Force response</w:t>
      </w:r>
      <w:r w:rsidRPr="000F44C1">
        <w:rPr>
          <w:rFonts w:ascii="Gotham Book" w:hAnsi="Gotham Book"/>
        </w:rPr>
        <w:t xml:space="preserve"> to </w:t>
      </w:r>
      <w:r>
        <w:rPr>
          <w:rFonts w:ascii="Gotham Book" w:hAnsi="Gotham Book"/>
        </w:rPr>
        <w:t>item 5 of Law Enforcement Conduct Commission Notice</w:t>
      </w:r>
      <w:r w:rsidRPr="000F44C1">
        <w:rPr>
          <w:rFonts w:ascii="Gotham Book" w:hAnsi="Gotham Book"/>
        </w:rPr>
        <w:t xml:space="preserve"> 914 of 2017, p</w:t>
      </w:r>
      <w:r>
        <w:rPr>
          <w:rFonts w:ascii="Gotham Book" w:hAnsi="Gotham Book"/>
        </w:rPr>
        <w:t xml:space="preserve"> </w:t>
      </w:r>
      <w:r w:rsidRPr="000F44C1">
        <w:rPr>
          <w:rFonts w:ascii="Gotham Book" w:hAnsi="Gotham Book"/>
        </w:rPr>
        <w:t>5;</w:t>
      </w:r>
      <w:r>
        <w:rPr>
          <w:rFonts w:ascii="Gotham Book" w:hAnsi="Gotham Book"/>
        </w:rPr>
        <w:t xml:space="preserve"> </w:t>
      </w:r>
      <w:r w:rsidRPr="000F44C1">
        <w:rPr>
          <w:rFonts w:ascii="Gotham Book" w:hAnsi="Gotham Book"/>
        </w:rPr>
        <w:t>Crown Solicitor</w:t>
      </w:r>
      <w:r>
        <w:rPr>
          <w:rFonts w:ascii="Gotham Book" w:hAnsi="Gotham Book"/>
        </w:rPr>
        <w:t>’s Office New South Wales</w:t>
      </w:r>
      <w:r w:rsidRPr="000F44C1">
        <w:rPr>
          <w:rFonts w:ascii="Gotham Book" w:hAnsi="Gotham Book"/>
        </w:rPr>
        <w:t xml:space="preserve">, </w:t>
      </w:r>
      <w:r w:rsidRPr="000F44C1">
        <w:rPr>
          <w:rFonts w:ascii="Gotham Book" w:hAnsi="Gotham Book"/>
          <w:i/>
        </w:rPr>
        <w:t>Advice in relation to</w:t>
      </w:r>
      <w:r w:rsidRPr="000F44C1">
        <w:rPr>
          <w:rFonts w:ascii="Gotham Book" w:hAnsi="Gotham Book"/>
        </w:rPr>
        <w:t xml:space="preserve"> Child Protection (Offender Registration) Act 2000, 6 July 2015, D/2015/322971, </w:t>
      </w:r>
      <w:r>
        <w:rPr>
          <w:rFonts w:ascii="Gotham Book" w:hAnsi="Gotham Book"/>
        </w:rPr>
        <w:t>NSW Police Force response</w:t>
      </w:r>
      <w:r w:rsidRPr="000F44C1">
        <w:rPr>
          <w:rFonts w:ascii="Gotham Book" w:hAnsi="Gotham Book"/>
        </w:rPr>
        <w:t xml:space="preserve"> to </w:t>
      </w:r>
      <w:r>
        <w:rPr>
          <w:rFonts w:ascii="Gotham Book" w:hAnsi="Gotham Book"/>
        </w:rPr>
        <w:t xml:space="preserve">item 5 of Law Enforcement Conduct Commission Notice 914 of 2017; </w:t>
      </w:r>
      <w:r w:rsidRPr="000F44C1">
        <w:rPr>
          <w:rFonts w:ascii="Gotham Book" w:hAnsi="Gotham Book"/>
        </w:rPr>
        <w:t xml:space="preserve">Office of General Counsel, </w:t>
      </w:r>
      <w:r>
        <w:rPr>
          <w:rFonts w:ascii="Gotham Book" w:hAnsi="Gotham Book"/>
        </w:rPr>
        <w:t xml:space="preserve">NSW Police Force, </w:t>
      </w:r>
      <w:r w:rsidRPr="000F44C1">
        <w:rPr>
          <w:rFonts w:ascii="Gotham Book" w:hAnsi="Gotham Book"/>
        </w:rPr>
        <w:t xml:space="preserve">10 July 2015, D/2015/282431, </w:t>
      </w:r>
      <w:r>
        <w:rPr>
          <w:rFonts w:ascii="Gotham Book" w:hAnsi="Gotham Book"/>
        </w:rPr>
        <w:t>NSW Police Force response</w:t>
      </w:r>
      <w:r w:rsidRPr="000F44C1">
        <w:rPr>
          <w:rFonts w:ascii="Gotham Book" w:hAnsi="Gotham Book"/>
        </w:rPr>
        <w:t xml:space="preserve"> to</w:t>
      </w:r>
      <w:r>
        <w:rPr>
          <w:rFonts w:ascii="Gotham Book" w:hAnsi="Gotham Book"/>
        </w:rPr>
        <w:t xml:space="preserve"> item 5 of</w:t>
      </w:r>
      <w:r w:rsidRPr="000F44C1">
        <w:rPr>
          <w:rFonts w:ascii="Gotham Book" w:hAnsi="Gotham Book"/>
        </w:rPr>
        <w:t xml:space="preserve"> </w:t>
      </w:r>
      <w:r>
        <w:rPr>
          <w:rFonts w:ascii="Gotham Book" w:hAnsi="Gotham Book"/>
        </w:rPr>
        <w:t>Law Enforcement Conduct Commission Notice</w:t>
      </w:r>
      <w:r w:rsidRPr="000F44C1">
        <w:rPr>
          <w:rFonts w:ascii="Gotham Book" w:hAnsi="Gotham Book"/>
        </w:rPr>
        <w:t xml:space="preserve"> 914 of 2017.</w:t>
      </w:r>
    </w:p>
  </w:footnote>
  <w:footnote w:id="81">
    <w:p w14:paraId="035C197F" w14:textId="5D77AB0B" w:rsidR="0042789D" w:rsidRPr="000F44C1" w:rsidRDefault="0042789D" w:rsidP="006713E1">
      <w:pPr>
        <w:pStyle w:val="FootnoteText"/>
        <w:spacing w:before="60" w:after="60"/>
        <w:rPr>
          <w:rFonts w:ascii="Gotham Book" w:hAnsi="Gotham Book"/>
        </w:rPr>
      </w:pPr>
      <w:r w:rsidRPr="000F44C1">
        <w:rPr>
          <w:rStyle w:val="FootnoteReference"/>
          <w:rFonts w:ascii="Gotham Book" w:hAnsi="Gotham Book"/>
        </w:rPr>
        <w:footnoteRef/>
      </w:r>
      <w:r w:rsidRPr="000F44C1">
        <w:rPr>
          <w:rFonts w:ascii="Gotham Book" w:hAnsi="Gotham Book"/>
        </w:rPr>
        <w:t xml:space="preserve"> Child Protection Registry, </w:t>
      </w:r>
      <w:r>
        <w:rPr>
          <w:rFonts w:ascii="Gotham Book" w:hAnsi="Gotham Book"/>
        </w:rPr>
        <w:t xml:space="preserve">NSW Police Force, </w:t>
      </w:r>
      <w:r w:rsidRPr="000F44C1">
        <w:rPr>
          <w:rFonts w:ascii="Gotham Book" w:hAnsi="Gotham Book"/>
          <w:i/>
        </w:rPr>
        <w:t>Serious concerns raised regarding the Child Protection Register (CPR) reporting period timeframes and the lack of review of matters prior to case finalisation</w:t>
      </w:r>
      <w:r w:rsidRPr="000F44C1">
        <w:rPr>
          <w:rFonts w:ascii="Gotham Book" w:hAnsi="Gotham Book"/>
        </w:rPr>
        <w:t xml:space="preserve">, 26 May 2016, D/2016/277899, </w:t>
      </w:r>
      <w:r>
        <w:rPr>
          <w:rFonts w:ascii="Gotham Book" w:hAnsi="Gotham Book"/>
        </w:rPr>
        <w:t>NSW Police Force response</w:t>
      </w:r>
      <w:r w:rsidRPr="000F44C1">
        <w:rPr>
          <w:rFonts w:ascii="Gotham Book" w:hAnsi="Gotham Book"/>
        </w:rPr>
        <w:t xml:space="preserve"> to </w:t>
      </w:r>
      <w:r>
        <w:rPr>
          <w:rFonts w:ascii="Gotham Book" w:hAnsi="Gotham Book"/>
        </w:rPr>
        <w:t>item 7 of Law Enforcement Conduct Commission Notice</w:t>
      </w:r>
      <w:r w:rsidRPr="000F44C1">
        <w:rPr>
          <w:rFonts w:ascii="Gotham Book" w:hAnsi="Gotham Book"/>
        </w:rPr>
        <w:t xml:space="preserve"> 914 of 2017, p 2.</w:t>
      </w:r>
    </w:p>
  </w:footnote>
  <w:footnote w:id="82">
    <w:p w14:paraId="7F4AD781" w14:textId="2CBFA8C0" w:rsidR="0042789D" w:rsidRPr="000F44C1" w:rsidRDefault="0042789D" w:rsidP="006713E1">
      <w:pPr>
        <w:pStyle w:val="FootnoteText"/>
        <w:spacing w:before="60" w:after="60"/>
        <w:rPr>
          <w:rFonts w:ascii="Gotham Book" w:hAnsi="Gotham Book"/>
        </w:rPr>
      </w:pPr>
      <w:r w:rsidRPr="000F44C1">
        <w:rPr>
          <w:rStyle w:val="FootnoteReference"/>
          <w:rFonts w:ascii="Gotham Book" w:hAnsi="Gotham Book"/>
        </w:rPr>
        <w:footnoteRef/>
      </w:r>
      <w:r w:rsidRPr="000F44C1">
        <w:rPr>
          <w:rFonts w:ascii="Gotham Book" w:hAnsi="Gotham Book"/>
        </w:rPr>
        <w:t xml:space="preserve"> For an example</w:t>
      </w:r>
      <w:r>
        <w:rPr>
          <w:rFonts w:ascii="Gotham Book" w:hAnsi="Gotham Book"/>
        </w:rPr>
        <w:t xml:space="preserve"> </w:t>
      </w:r>
      <w:r w:rsidRPr="000F44C1">
        <w:rPr>
          <w:rFonts w:ascii="Gotham Book" w:hAnsi="Gotham Book"/>
        </w:rPr>
        <w:t xml:space="preserve">see </w:t>
      </w:r>
      <w:r w:rsidRPr="003F7CE2">
        <w:rPr>
          <w:rFonts w:ascii="Gotham Book" w:hAnsi="Gotham Book"/>
        </w:rPr>
        <w:t>Case Study 2 in section 3.5.2.</w:t>
      </w:r>
    </w:p>
  </w:footnote>
  <w:footnote w:id="83">
    <w:p w14:paraId="753A5CCE" w14:textId="6BEEB654" w:rsidR="0042789D" w:rsidRPr="000F44C1" w:rsidRDefault="0042789D" w:rsidP="006713E1">
      <w:pPr>
        <w:pStyle w:val="FootnoteText"/>
        <w:spacing w:before="60" w:after="60"/>
        <w:rPr>
          <w:rFonts w:ascii="Gotham Book" w:hAnsi="Gotham Book"/>
        </w:rPr>
      </w:pPr>
      <w:r w:rsidRPr="000F44C1">
        <w:rPr>
          <w:rStyle w:val="FootnoteReference"/>
          <w:rFonts w:ascii="Gotham Book" w:hAnsi="Gotham Book"/>
        </w:rPr>
        <w:footnoteRef/>
      </w:r>
      <w:r>
        <w:rPr>
          <w:rFonts w:ascii="Gotham Book" w:hAnsi="Gotham Book"/>
        </w:rPr>
        <w:t xml:space="preserve"> </w:t>
      </w:r>
      <w:r w:rsidRPr="000F44C1">
        <w:rPr>
          <w:rFonts w:ascii="Gotham Book" w:hAnsi="Gotham Book"/>
        </w:rPr>
        <w:t>Child Protection Registry</w:t>
      </w:r>
      <w:r w:rsidRPr="0027346F">
        <w:rPr>
          <w:rFonts w:ascii="Gotham Book" w:hAnsi="Gotham Book"/>
        </w:rPr>
        <w:t xml:space="preserve">, </w:t>
      </w:r>
      <w:r>
        <w:rPr>
          <w:rFonts w:ascii="Gotham Book" w:hAnsi="Gotham Book"/>
        </w:rPr>
        <w:t>NSW Police Force</w:t>
      </w:r>
      <w:r>
        <w:rPr>
          <w:rFonts w:ascii="Gotham Book" w:hAnsi="Gotham Book"/>
          <w:i/>
        </w:rPr>
        <w:t>,</w:t>
      </w:r>
      <w:r w:rsidRPr="000F44C1">
        <w:rPr>
          <w:rFonts w:ascii="Gotham Book" w:hAnsi="Gotham Book"/>
          <w:i/>
        </w:rPr>
        <w:t xml:space="preserve"> Further issues and risk</w:t>
      </w:r>
      <w:r>
        <w:rPr>
          <w:rFonts w:ascii="Gotham Book" w:hAnsi="Gotham Book"/>
          <w:i/>
        </w:rPr>
        <w:t>s</w:t>
      </w:r>
      <w:r w:rsidRPr="000F44C1">
        <w:rPr>
          <w:rFonts w:ascii="Gotham Book" w:hAnsi="Gotham Book"/>
          <w:i/>
        </w:rPr>
        <w:t xml:space="preserve"> identified within the C</w:t>
      </w:r>
      <w:r>
        <w:rPr>
          <w:rFonts w:ascii="Gotham Book" w:hAnsi="Gotham Book"/>
          <w:i/>
        </w:rPr>
        <w:t xml:space="preserve">hild Protection </w:t>
      </w:r>
      <w:r w:rsidRPr="000F44C1">
        <w:rPr>
          <w:rFonts w:ascii="Gotham Book" w:hAnsi="Gotham Book"/>
          <w:i/>
        </w:rPr>
        <w:t>R</w:t>
      </w:r>
      <w:r>
        <w:rPr>
          <w:rFonts w:ascii="Gotham Book" w:hAnsi="Gotham Book"/>
          <w:i/>
        </w:rPr>
        <w:t>egistry</w:t>
      </w:r>
      <w:r w:rsidRPr="000F44C1">
        <w:rPr>
          <w:rFonts w:ascii="Gotham Book" w:hAnsi="Gotham Book"/>
        </w:rPr>
        <w:t xml:space="preserve">, 16 October 2015, D/2015/527743, </w:t>
      </w:r>
      <w:r>
        <w:rPr>
          <w:rFonts w:ascii="Gotham Book" w:hAnsi="Gotham Book"/>
        </w:rPr>
        <w:t>NSW Police Force response</w:t>
      </w:r>
      <w:r w:rsidRPr="000F44C1">
        <w:rPr>
          <w:rFonts w:ascii="Gotham Book" w:hAnsi="Gotham Book"/>
        </w:rPr>
        <w:t xml:space="preserve"> to </w:t>
      </w:r>
      <w:r>
        <w:rPr>
          <w:rFonts w:ascii="Gotham Book" w:hAnsi="Gotham Book"/>
        </w:rPr>
        <w:t>item 5 of Law Enforcement Conduct Commission Notice</w:t>
      </w:r>
      <w:r w:rsidRPr="000F44C1">
        <w:rPr>
          <w:rFonts w:ascii="Gotham Book" w:hAnsi="Gotham Book"/>
        </w:rPr>
        <w:t xml:space="preserve"> 914 of 2017, p 5.</w:t>
      </w:r>
    </w:p>
  </w:footnote>
  <w:footnote w:id="84">
    <w:p w14:paraId="5B074F3C" w14:textId="63D997A2" w:rsidR="0042789D" w:rsidRPr="000F44C1" w:rsidRDefault="0042789D" w:rsidP="006713E1">
      <w:pPr>
        <w:pStyle w:val="FootnoteText"/>
        <w:spacing w:before="60" w:after="60"/>
      </w:pPr>
      <w:r w:rsidRPr="000F44C1">
        <w:rPr>
          <w:rStyle w:val="FootnoteReference"/>
        </w:rPr>
        <w:footnoteRef/>
      </w:r>
      <w:r>
        <w:t xml:space="preserve"> Ibid </w:t>
      </w:r>
      <w:r w:rsidRPr="000F44C1">
        <w:t>p 9.</w:t>
      </w:r>
    </w:p>
  </w:footnote>
  <w:footnote w:id="85">
    <w:p w14:paraId="42778923" w14:textId="67661B70" w:rsidR="0042789D" w:rsidRPr="000F44C1" w:rsidRDefault="0042789D" w:rsidP="006713E1">
      <w:pPr>
        <w:pStyle w:val="FootnoteText"/>
        <w:spacing w:before="60" w:after="60"/>
      </w:pPr>
      <w:r w:rsidRPr="000F44C1">
        <w:rPr>
          <w:rStyle w:val="FootnoteReference"/>
        </w:rPr>
        <w:footnoteRef/>
      </w:r>
      <w:r>
        <w:t xml:space="preserve"> Ibid</w:t>
      </w:r>
      <w:r w:rsidRPr="000F44C1">
        <w:t>.</w:t>
      </w:r>
    </w:p>
  </w:footnote>
  <w:footnote w:id="86">
    <w:p w14:paraId="7ED4E378" w14:textId="76DD06D9" w:rsidR="0042789D" w:rsidRPr="0072771B" w:rsidRDefault="0042789D" w:rsidP="006713E1">
      <w:pPr>
        <w:pStyle w:val="FootnoteText"/>
        <w:spacing w:before="60" w:after="60"/>
      </w:pPr>
      <w:r w:rsidRPr="0072771B">
        <w:rPr>
          <w:rStyle w:val="FootnoteReference"/>
        </w:rPr>
        <w:footnoteRef/>
      </w:r>
      <w:r>
        <w:t xml:space="preserve"> Ibid</w:t>
      </w:r>
      <w:r w:rsidRPr="0072771B">
        <w:t>.</w:t>
      </w:r>
    </w:p>
  </w:footnote>
  <w:footnote w:id="87">
    <w:p w14:paraId="4827780A" w14:textId="01F645E0" w:rsidR="0042789D" w:rsidRPr="0072771B" w:rsidRDefault="0042789D" w:rsidP="0041212C">
      <w:pPr>
        <w:pStyle w:val="FootnoteText"/>
        <w:rPr>
          <w:rFonts w:ascii="Gotham Book" w:hAnsi="Gotham Book"/>
        </w:rPr>
      </w:pPr>
      <w:r w:rsidRPr="0072771B">
        <w:rPr>
          <w:rStyle w:val="FootnoteReference"/>
          <w:rFonts w:ascii="Gotham Book" w:hAnsi="Gotham Book"/>
        </w:rPr>
        <w:footnoteRef/>
      </w:r>
      <w:r w:rsidRPr="0072771B">
        <w:rPr>
          <w:rFonts w:ascii="Gotham Book" w:hAnsi="Gotham Book"/>
        </w:rPr>
        <w:t xml:space="preserve"> Child Protection Registry,</w:t>
      </w:r>
      <w:r>
        <w:rPr>
          <w:rFonts w:ascii="Gotham Book" w:hAnsi="Gotham Book"/>
        </w:rPr>
        <w:t xml:space="preserve"> NSW Police Force,</w:t>
      </w:r>
      <w:r w:rsidRPr="0072771B">
        <w:rPr>
          <w:rFonts w:ascii="Gotham Book" w:hAnsi="Gotham Book"/>
        </w:rPr>
        <w:t xml:space="preserve"> </w:t>
      </w:r>
      <w:r w:rsidRPr="0072771B">
        <w:rPr>
          <w:rFonts w:ascii="Gotham Book" w:hAnsi="Gotham Book"/>
          <w:i/>
        </w:rPr>
        <w:t>Serious concerns raised regarding the Child Protection Register (CPR) reporting period timeframes and the lack of review of matters prior to case finalisation</w:t>
      </w:r>
      <w:r w:rsidRPr="0072771B">
        <w:rPr>
          <w:rFonts w:ascii="Gotham Book" w:hAnsi="Gotham Book"/>
        </w:rPr>
        <w:t xml:space="preserve">, 26 May 2016, D/2016/277899, </w:t>
      </w:r>
      <w:r>
        <w:rPr>
          <w:rFonts w:ascii="Gotham Book" w:hAnsi="Gotham Book"/>
        </w:rPr>
        <w:t>NSW Police Force response</w:t>
      </w:r>
      <w:r w:rsidRPr="0072771B">
        <w:rPr>
          <w:rFonts w:ascii="Gotham Book" w:hAnsi="Gotham Book"/>
        </w:rPr>
        <w:t xml:space="preserve"> to </w:t>
      </w:r>
      <w:r>
        <w:rPr>
          <w:rFonts w:ascii="Gotham Book" w:hAnsi="Gotham Book"/>
        </w:rPr>
        <w:t>item 7 of Law Enforcement Conduct Commission Notice</w:t>
      </w:r>
      <w:r w:rsidRPr="0072771B">
        <w:rPr>
          <w:rFonts w:ascii="Gotham Book" w:hAnsi="Gotham Book"/>
        </w:rPr>
        <w:t xml:space="preserve"> 914 of 2017.</w:t>
      </w:r>
    </w:p>
  </w:footnote>
  <w:footnote w:id="88">
    <w:p w14:paraId="2D3504CE" w14:textId="427933EC" w:rsidR="0042789D" w:rsidRPr="0072771B" w:rsidRDefault="0042789D" w:rsidP="0041212C">
      <w:pPr>
        <w:pStyle w:val="FootnoteText"/>
        <w:rPr>
          <w:rFonts w:ascii="Gotham Book" w:hAnsi="Gotham Book"/>
        </w:rPr>
      </w:pPr>
      <w:r w:rsidRPr="0072771B">
        <w:rPr>
          <w:rStyle w:val="FootnoteReference"/>
          <w:rFonts w:ascii="Gotham Book" w:hAnsi="Gotham Book"/>
        </w:rPr>
        <w:footnoteRef/>
      </w:r>
      <w:r w:rsidRPr="0072771B">
        <w:rPr>
          <w:rFonts w:ascii="Gotham Book" w:hAnsi="Gotham Book"/>
        </w:rPr>
        <w:t xml:space="preserve"> </w:t>
      </w:r>
      <w:r>
        <w:rPr>
          <w:rFonts w:ascii="Gotham Book" w:hAnsi="Gotham Book"/>
        </w:rPr>
        <w:t>Ibid</w:t>
      </w:r>
      <w:r w:rsidRPr="0072771B">
        <w:rPr>
          <w:rFonts w:ascii="Gotham Book" w:hAnsi="Gotham Book"/>
        </w:rPr>
        <w:t xml:space="preserve"> p 1.</w:t>
      </w:r>
    </w:p>
  </w:footnote>
  <w:footnote w:id="89">
    <w:p w14:paraId="66061F43" w14:textId="51E20BE0" w:rsidR="0042789D" w:rsidRPr="0072771B" w:rsidRDefault="0042789D" w:rsidP="0041212C">
      <w:pPr>
        <w:pStyle w:val="FootnoteText"/>
        <w:rPr>
          <w:rFonts w:ascii="Gotham Book" w:hAnsi="Gotham Book"/>
        </w:rPr>
      </w:pPr>
      <w:r w:rsidRPr="0072771B">
        <w:rPr>
          <w:rStyle w:val="FootnoteReference"/>
          <w:rFonts w:ascii="Gotham Book" w:hAnsi="Gotham Book"/>
        </w:rPr>
        <w:footnoteRef/>
      </w:r>
      <w:r w:rsidRPr="0072771B">
        <w:rPr>
          <w:rFonts w:ascii="Gotham Book" w:hAnsi="Gotham Book"/>
        </w:rPr>
        <w:t xml:space="preserve"> </w:t>
      </w:r>
      <w:r>
        <w:rPr>
          <w:rFonts w:ascii="Gotham Book" w:hAnsi="Gotham Book"/>
        </w:rPr>
        <w:t>Ibid</w:t>
      </w:r>
      <w:r w:rsidRPr="0072771B">
        <w:rPr>
          <w:rFonts w:ascii="Gotham Book" w:hAnsi="Gotham Book"/>
        </w:rPr>
        <w:t>.</w:t>
      </w:r>
    </w:p>
  </w:footnote>
  <w:footnote w:id="90">
    <w:p w14:paraId="13EA31AC" w14:textId="28893D47" w:rsidR="0042789D" w:rsidRPr="0072771B" w:rsidRDefault="0042789D" w:rsidP="0041212C">
      <w:pPr>
        <w:pStyle w:val="FootnoteText"/>
        <w:rPr>
          <w:rFonts w:ascii="Gotham Book" w:hAnsi="Gotham Book"/>
        </w:rPr>
      </w:pPr>
      <w:r w:rsidRPr="0072771B">
        <w:rPr>
          <w:rStyle w:val="FootnoteReference"/>
          <w:rFonts w:ascii="Gotham Book" w:hAnsi="Gotham Book"/>
        </w:rPr>
        <w:footnoteRef/>
      </w:r>
      <w:r w:rsidRPr="0072771B">
        <w:rPr>
          <w:rFonts w:ascii="Gotham Book" w:hAnsi="Gotham Book"/>
        </w:rPr>
        <w:t xml:space="preserve"> </w:t>
      </w:r>
      <w:r>
        <w:rPr>
          <w:rFonts w:ascii="Gotham Book" w:hAnsi="Gotham Book"/>
        </w:rPr>
        <w:t>Ibid</w:t>
      </w:r>
      <w:r w:rsidRPr="0072771B">
        <w:rPr>
          <w:rFonts w:ascii="Gotham Book" w:hAnsi="Gotham Book"/>
        </w:rPr>
        <w:t xml:space="preserve"> pp 1-2.</w:t>
      </w:r>
    </w:p>
  </w:footnote>
  <w:footnote w:id="91">
    <w:p w14:paraId="1A804F48" w14:textId="36BEB016" w:rsidR="0042789D" w:rsidRPr="0072771B" w:rsidRDefault="0042789D" w:rsidP="002B0A86">
      <w:pPr>
        <w:pStyle w:val="FootnoteText"/>
        <w:spacing w:before="60" w:after="60"/>
        <w:rPr>
          <w:rFonts w:ascii="Gotham Book" w:hAnsi="Gotham Book"/>
        </w:rPr>
      </w:pPr>
      <w:r w:rsidRPr="0072771B">
        <w:rPr>
          <w:rStyle w:val="FootnoteReference"/>
          <w:rFonts w:ascii="Gotham Book" w:hAnsi="Gotham Book"/>
        </w:rPr>
        <w:footnoteRef/>
      </w:r>
      <w:r w:rsidRPr="0072771B">
        <w:rPr>
          <w:rFonts w:ascii="Gotham Book" w:hAnsi="Gotham Book"/>
        </w:rPr>
        <w:t xml:space="preserve"> </w:t>
      </w:r>
      <w:r>
        <w:rPr>
          <w:rFonts w:ascii="Gotham Book" w:hAnsi="Gotham Book"/>
        </w:rPr>
        <w:t>Ibid</w:t>
      </w:r>
      <w:r w:rsidRPr="0072771B">
        <w:rPr>
          <w:rFonts w:ascii="Gotham Book" w:hAnsi="Gotham Book"/>
        </w:rPr>
        <w:t xml:space="preserve"> p 2.</w:t>
      </w:r>
    </w:p>
  </w:footnote>
  <w:footnote w:id="92">
    <w:p w14:paraId="476E2EAF" w14:textId="13C35F16" w:rsidR="0042789D" w:rsidRPr="0072771B" w:rsidRDefault="0042789D" w:rsidP="002B0A86">
      <w:pPr>
        <w:pStyle w:val="FootnoteText"/>
        <w:spacing w:before="60" w:after="60"/>
      </w:pPr>
      <w:r w:rsidRPr="0072771B">
        <w:rPr>
          <w:rStyle w:val="FootnoteReference"/>
        </w:rPr>
        <w:footnoteRef/>
      </w:r>
      <w:r w:rsidRPr="0072771B">
        <w:t xml:space="preserve"> </w:t>
      </w:r>
      <w:r>
        <w:rPr>
          <w:rFonts w:ascii="Gotham Book" w:hAnsi="Gotham Book"/>
        </w:rPr>
        <w:t>Ibid</w:t>
      </w:r>
      <w:r w:rsidRPr="0072771B">
        <w:t xml:space="preserve"> p 5.</w:t>
      </w:r>
    </w:p>
  </w:footnote>
  <w:footnote w:id="93">
    <w:p w14:paraId="6901CBE2" w14:textId="0506A1C4" w:rsidR="0042789D" w:rsidRPr="00D97373" w:rsidRDefault="0042789D" w:rsidP="002B0A86">
      <w:pPr>
        <w:pStyle w:val="Footnote"/>
      </w:pPr>
      <w:r w:rsidRPr="00D97373">
        <w:rPr>
          <w:rStyle w:val="FootnoteReference"/>
          <w:rFonts w:ascii="Gotham Book" w:hAnsi="Gotham Book"/>
          <w:szCs w:val="20"/>
        </w:rPr>
        <w:footnoteRef/>
      </w:r>
      <w:r w:rsidRPr="00D97373">
        <w:t xml:space="preserve"> </w:t>
      </w:r>
      <w:r>
        <w:rPr>
          <w:rFonts w:ascii="Gotham Book" w:hAnsi="Gotham Book"/>
        </w:rPr>
        <w:t>Ibid</w:t>
      </w:r>
      <w:r w:rsidRPr="00D97373">
        <w:t xml:space="preserve"> p 7.</w:t>
      </w:r>
    </w:p>
  </w:footnote>
  <w:footnote w:id="94">
    <w:p w14:paraId="04F794EA" w14:textId="3186652B" w:rsidR="0042789D" w:rsidRPr="00D97373" w:rsidRDefault="0042789D" w:rsidP="002B0A86">
      <w:pPr>
        <w:pStyle w:val="Footnote"/>
      </w:pPr>
      <w:r w:rsidRPr="00D97373">
        <w:rPr>
          <w:rStyle w:val="FootnoteReference"/>
          <w:rFonts w:ascii="Gotham Book" w:hAnsi="Gotham Book"/>
          <w:szCs w:val="20"/>
        </w:rPr>
        <w:footnoteRef/>
      </w:r>
      <w:r w:rsidRPr="00D97373">
        <w:t xml:space="preserve"> </w:t>
      </w:r>
      <w:r>
        <w:t>Comments on Child Protection Regist</w:t>
      </w:r>
      <w:r w:rsidRPr="00D97373">
        <w:t>r</w:t>
      </w:r>
      <w:r>
        <w:t>y</w:t>
      </w:r>
      <w:r w:rsidRPr="00D97373">
        <w:t>,</w:t>
      </w:r>
      <w:r>
        <w:t xml:space="preserve"> NSW Police Force,</w:t>
      </w:r>
      <w:r w:rsidRPr="00D97373">
        <w:t xml:space="preserve"> </w:t>
      </w:r>
      <w:r w:rsidRPr="004E3543">
        <w:rPr>
          <w:i/>
        </w:rPr>
        <w:t>Serious concerns raised regarding the Child Protection Register (CPR) reporting period timeframes and lack of review of matters prior to case finalisation</w:t>
      </w:r>
      <w:r w:rsidRPr="00D97373">
        <w:t xml:space="preserve">, 26 May 2016, D/2016/277899, </w:t>
      </w:r>
      <w:r>
        <w:t>NSW Police Force response</w:t>
      </w:r>
      <w:r w:rsidRPr="00D97373">
        <w:t xml:space="preserve"> to </w:t>
      </w:r>
      <w:r>
        <w:t>item 7 of Law Enforcement Conduct Commission Notice</w:t>
      </w:r>
      <w:r w:rsidRPr="00D97373">
        <w:t xml:space="preserve"> 914 of 2017, p 12.</w:t>
      </w:r>
    </w:p>
  </w:footnote>
  <w:footnote w:id="95">
    <w:p w14:paraId="2918997E" w14:textId="44C087E2" w:rsidR="0042789D" w:rsidRPr="00D97373" w:rsidRDefault="0042789D" w:rsidP="002B0A86">
      <w:pPr>
        <w:pStyle w:val="Footnote"/>
      </w:pPr>
      <w:r w:rsidRPr="00D97373">
        <w:rPr>
          <w:rStyle w:val="FootnoteReference"/>
          <w:szCs w:val="20"/>
        </w:rPr>
        <w:footnoteRef/>
      </w:r>
      <w:r w:rsidRPr="00D97373">
        <w:t xml:space="preserve"> </w:t>
      </w:r>
      <w:r>
        <w:t>C</w:t>
      </w:r>
      <w:r w:rsidRPr="00D97373">
        <w:t xml:space="preserve">omments on </w:t>
      </w:r>
      <w:r>
        <w:t>Child Protection Regist</w:t>
      </w:r>
      <w:r w:rsidRPr="00D97373">
        <w:t>r</w:t>
      </w:r>
      <w:r>
        <w:t>y</w:t>
      </w:r>
      <w:r w:rsidRPr="00D97373">
        <w:t>,</w:t>
      </w:r>
      <w:r>
        <w:t xml:space="preserve"> NSW Police Force,</w:t>
      </w:r>
      <w:r w:rsidRPr="00D97373">
        <w:t xml:space="preserve"> </w:t>
      </w:r>
      <w:r w:rsidRPr="006D500B">
        <w:rPr>
          <w:i/>
        </w:rPr>
        <w:t>Serious concerns raised regarding the Child Protection Register (CPR) reporting period timeframes and lack of review of matters prior to case finalisation</w:t>
      </w:r>
      <w:r w:rsidRPr="00D97373">
        <w:t xml:space="preserve">, 26 May 2016, D/2016/277899, </w:t>
      </w:r>
      <w:r>
        <w:t>NSW Police Force response</w:t>
      </w:r>
      <w:r w:rsidRPr="00D97373">
        <w:t xml:space="preserve"> to </w:t>
      </w:r>
      <w:r>
        <w:t>item 7 of Law Enforcement Conduct Commission Notice</w:t>
      </w:r>
      <w:r w:rsidRPr="00D97373">
        <w:t xml:space="preserve"> 914 of 2017, p 9.</w:t>
      </w:r>
    </w:p>
  </w:footnote>
  <w:footnote w:id="96">
    <w:p w14:paraId="2FC5515D" w14:textId="42DAA134" w:rsidR="0042789D" w:rsidRPr="00D97373" w:rsidRDefault="0042789D" w:rsidP="002B0A86">
      <w:pPr>
        <w:pStyle w:val="Footnote"/>
      </w:pPr>
      <w:r w:rsidRPr="00D97373">
        <w:rPr>
          <w:rStyle w:val="FootnoteReference"/>
          <w:rFonts w:ascii="Gotham Book" w:hAnsi="Gotham Book"/>
          <w:szCs w:val="20"/>
        </w:rPr>
        <w:footnoteRef/>
      </w:r>
      <w:r>
        <w:t xml:space="preserve"> C</w:t>
      </w:r>
      <w:r w:rsidRPr="00D97373">
        <w:t xml:space="preserve">omments on </w:t>
      </w:r>
      <w:r>
        <w:t>Child Protection Regist</w:t>
      </w:r>
      <w:r w:rsidRPr="00D97373">
        <w:t>r</w:t>
      </w:r>
      <w:r>
        <w:t>y</w:t>
      </w:r>
      <w:r w:rsidRPr="00D97373">
        <w:t>,</w:t>
      </w:r>
      <w:r>
        <w:t xml:space="preserve"> NSW Police Force,</w:t>
      </w:r>
      <w:r w:rsidRPr="00D97373">
        <w:t xml:space="preserve"> </w:t>
      </w:r>
      <w:r w:rsidRPr="006B0B5E">
        <w:rPr>
          <w:i/>
        </w:rPr>
        <w:t>Serious concerns raised regarding the Child Protection Register (CPR) reporting period timeframes and lack of review of matters prior to case finalisation</w:t>
      </w:r>
      <w:r w:rsidRPr="00D97373">
        <w:t xml:space="preserve">, 26 May 2016, D/2016/277899, </w:t>
      </w:r>
      <w:r>
        <w:t>NSW Police Force response</w:t>
      </w:r>
      <w:r w:rsidRPr="00D97373">
        <w:t xml:space="preserve"> to </w:t>
      </w:r>
      <w:r>
        <w:t>item 7 of Law Enforcement Conduct Commission Notice</w:t>
      </w:r>
      <w:r w:rsidRPr="00D97373">
        <w:t xml:space="preserve"> 914 of 2017, p 15.</w:t>
      </w:r>
    </w:p>
  </w:footnote>
  <w:footnote w:id="97">
    <w:p w14:paraId="3FCF276A" w14:textId="5DC09E51" w:rsidR="0042789D" w:rsidRPr="00D97373" w:rsidRDefault="0042789D" w:rsidP="002B0A86">
      <w:pPr>
        <w:pStyle w:val="Footnote"/>
      </w:pPr>
      <w:r w:rsidRPr="00D97373">
        <w:rPr>
          <w:rStyle w:val="FootnoteReference"/>
          <w:rFonts w:ascii="Gotham Book" w:hAnsi="Gotham Book"/>
          <w:szCs w:val="20"/>
        </w:rPr>
        <w:footnoteRef/>
      </w:r>
      <w:r>
        <w:t xml:space="preserve"> </w:t>
      </w:r>
      <w:r w:rsidRPr="002A5FF9">
        <w:t>Child Protection Registry,</w:t>
      </w:r>
      <w:r>
        <w:t xml:space="preserve"> NSW Police Force,</w:t>
      </w:r>
      <w:r w:rsidRPr="002A5FF9">
        <w:t xml:space="preserve"> </w:t>
      </w:r>
      <w:r w:rsidRPr="002A5FF9">
        <w:rPr>
          <w:i/>
        </w:rPr>
        <w:t>Staffing Submission for the Child Protection Registry</w:t>
      </w:r>
      <w:r w:rsidRPr="002A5FF9">
        <w:t xml:space="preserve">, 11 October 2016, D/2016/575518, </w:t>
      </w:r>
      <w:r>
        <w:t>NSW Police Force response</w:t>
      </w:r>
      <w:r w:rsidRPr="002A5FF9">
        <w:t xml:space="preserve"> to </w:t>
      </w:r>
      <w:r>
        <w:t>item 8 of Law Enforcement Conduct Commission Notice</w:t>
      </w:r>
      <w:r w:rsidRPr="002A5FF9">
        <w:t xml:space="preserve"> 914 of 2017, p 1;</w:t>
      </w:r>
      <w:r>
        <w:t xml:space="preserve"> </w:t>
      </w:r>
      <w:r w:rsidRPr="00D97373">
        <w:t xml:space="preserve">Sex Crimes Squad, </w:t>
      </w:r>
      <w:r w:rsidRPr="002537C4">
        <w:rPr>
          <w:i/>
        </w:rPr>
        <w:t>Workload issues impacting upon the Child Protection Register (CPR)</w:t>
      </w:r>
      <w:r w:rsidRPr="00D97373">
        <w:t xml:space="preserve">, 18 July 2017, </w:t>
      </w:r>
      <w:r>
        <w:t>NSW Police Force response</w:t>
      </w:r>
      <w:r w:rsidRPr="00D97373">
        <w:t xml:space="preserve"> to item 19(a) of </w:t>
      </w:r>
      <w:r>
        <w:t>Law Enforcement Conduct Commission Notice</w:t>
      </w:r>
      <w:r w:rsidRPr="00D97373">
        <w:t xml:space="preserve"> 929 of 2017.</w:t>
      </w:r>
    </w:p>
  </w:footnote>
  <w:footnote w:id="98">
    <w:p w14:paraId="25168790" w14:textId="28271964" w:rsidR="0042789D" w:rsidRPr="00D97373" w:rsidRDefault="0042789D" w:rsidP="0093493F">
      <w:pPr>
        <w:pStyle w:val="Footnote"/>
      </w:pPr>
      <w:r w:rsidRPr="00D97373">
        <w:rPr>
          <w:rStyle w:val="FootnoteReference"/>
          <w:rFonts w:ascii="Gotham Book" w:hAnsi="Gotham Book"/>
          <w:szCs w:val="20"/>
        </w:rPr>
        <w:footnoteRef/>
      </w:r>
      <w:r>
        <w:t xml:space="preserve"> </w:t>
      </w:r>
      <w:r>
        <w:rPr>
          <w:i/>
        </w:rPr>
        <w:t>NSW Police Force r</w:t>
      </w:r>
      <w:r w:rsidRPr="007461D8">
        <w:rPr>
          <w:i/>
        </w:rPr>
        <w:t>esponse to the inte</w:t>
      </w:r>
      <w:r>
        <w:rPr>
          <w:i/>
        </w:rPr>
        <w:t xml:space="preserve">rim report of Operation Tusket, </w:t>
      </w:r>
      <w:r w:rsidRPr="007461D8">
        <w:t>23 October 2018,</w:t>
      </w:r>
      <w:r>
        <w:rPr>
          <w:i/>
        </w:rPr>
        <w:t xml:space="preserve"> </w:t>
      </w:r>
      <w:r w:rsidRPr="00D97373">
        <w:t xml:space="preserve">F/2018/94374; D/2018/851613, p 1; </w:t>
      </w:r>
      <w:r w:rsidRPr="0017145C">
        <w:rPr>
          <w:i/>
        </w:rPr>
        <w:t>Grand totals year to date 2018</w:t>
      </w:r>
      <w:r>
        <w:t xml:space="preserve"> [results of the CPR case review]</w:t>
      </w:r>
      <w:r w:rsidRPr="00D97373">
        <w:t xml:space="preserve">, </w:t>
      </w:r>
      <w:r>
        <w:t>NSW Police Force response</w:t>
      </w:r>
      <w:r w:rsidRPr="00D97373">
        <w:t xml:space="preserve"> to item 1 of </w:t>
      </w:r>
      <w:r>
        <w:t>Law Enforcement Conduct Commission Notice</w:t>
      </w:r>
      <w:r w:rsidRPr="00D97373">
        <w:t xml:space="preserve"> 988 of 2018.</w:t>
      </w:r>
    </w:p>
  </w:footnote>
  <w:footnote w:id="99">
    <w:p w14:paraId="6C5B5C87" w14:textId="009821D5" w:rsidR="0042789D" w:rsidRPr="00D97373" w:rsidRDefault="0042789D" w:rsidP="0093493F">
      <w:pPr>
        <w:pStyle w:val="Footnote"/>
      </w:pPr>
      <w:r w:rsidRPr="00D97373">
        <w:rPr>
          <w:rStyle w:val="FootnoteReference"/>
          <w:rFonts w:ascii="Gotham Book" w:hAnsi="Gotham Book"/>
          <w:szCs w:val="20"/>
        </w:rPr>
        <w:footnoteRef/>
      </w:r>
      <w:r w:rsidRPr="00D97373">
        <w:t xml:space="preserve"> The Commander</w:t>
      </w:r>
      <w:r>
        <w:t xml:space="preserve"> of the State Crime Command </w:t>
      </w:r>
      <w:r w:rsidRPr="00D97373">
        <w:t xml:space="preserve">advised </w:t>
      </w:r>
      <w:r>
        <w:t xml:space="preserve">the Commission </w:t>
      </w:r>
      <w:r w:rsidRPr="00D97373">
        <w:t xml:space="preserve">that there were two categories of Register files that were excluded from the CPR case review, being files of registrable persons who moved interstate, and files of persons in custody at the time of the review. The Commander stated that both these categories were excluded as they would be subject to review through other processes: </w:t>
      </w:r>
      <w:r>
        <w:t xml:space="preserve">Law Enforcement Conduct Commission consultation with NSW Police Force, Sydney, </w:t>
      </w:r>
      <w:r w:rsidRPr="00304E3C">
        <w:t>20 December 2018.</w:t>
      </w:r>
    </w:p>
  </w:footnote>
  <w:footnote w:id="100">
    <w:p w14:paraId="07F9903F" w14:textId="550BC505" w:rsidR="0042789D" w:rsidRPr="00083555" w:rsidRDefault="0042789D" w:rsidP="0093493F">
      <w:pPr>
        <w:pStyle w:val="Footnote"/>
      </w:pPr>
      <w:r w:rsidRPr="00D97373">
        <w:rPr>
          <w:rStyle w:val="FootnoteReference"/>
          <w:szCs w:val="20"/>
        </w:rPr>
        <w:footnoteRef/>
      </w:r>
      <w:r w:rsidRPr="00D97373">
        <w:t xml:space="preserve"> This</w:t>
      </w:r>
      <w:r>
        <w:t xml:space="preserve"> number</w:t>
      </w:r>
      <w:r w:rsidRPr="00D97373">
        <w:t xml:space="preserve"> is based on subtracting the number of ‘correct’ files and the number of ‘reporting period correct but suspended in custody’ files from the total of 5</w:t>
      </w:r>
      <w:r>
        <w:t>,</w:t>
      </w:r>
      <w:r w:rsidRPr="00D97373">
        <w:t xml:space="preserve">749 files reviewed: see </w:t>
      </w:r>
      <w:r w:rsidRPr="00083555">
        <w:t>Appendix 1.</w:t>
      </w:r>
    </w:p>
  </w:footnote>
  <w:footnote w:id="101">
    <w:p w14:paraId="0C1F7544" w14:textId="7F0804DA" w:rsidR="0042789D" w:rsidRPr="00083555" w:rsidRDefault="0042789D" w:rsidP="000B7240">
      <w:pPr>
        <w:pStyle w:val="Footnote"/>
      </w:pPr>
      <w:r w:rsidRPr="00083555">
        <w:rPr>
          <w:rStyle w:val="FootnoteReference"/>
          <w:szCs w:val="20"/>
        </w:rPr>
        <w:footnoteRef/>
      </w:r>
      <w:r w:rsidRPr="00083555">
        <w:t xml:space="preserve"> This table was pr</w:t>
      </w:r>
      <w:r>
        <w:t>oduced in the NSW Police Force</w:t>
      </w:r>
      <w:r w:rsidRPr="00083555">
        <w:t xml:space="preserve"> response to item 1 of </w:t>
      </w:r>
      <w:r>
        <w:t>Law Enforcement Conduct Commission</w:t>
      </w:r>
      <w:r w:rsidRPr="00083555">
        <w:t xml:space="preserve"> Notice 988 of 2018.</w:t>
      </w:r>
    </w:p>
  </w:footnote>
  <w:footnote w:id="102">
    <w:p w14:paraId="34B46758" w14:textId="78C69B5C" w:rsidR="0042789D" w:rsidRPr="00083555" w:rsidRDefault="0042789D" w:rsidP="000B7240">
      <w:pPr>
        <w:pStyle w:val="Footnote"/>
      </w:pPr>
      <w:r w:rsidRPr="00083555">
        <w:rPr>
          <w:rStyle w:val="FootnoteReference"/>
          <w:szCs w:val="20"/>
        </w:rPr>
        <w:footnoteRef/>
      </w:r>
      <w:r w:rsidRPr="00083555">
        <w:t xml:space="preserve"> For an explanation of reporting periods under the CPOR Act, see Chapter 2, section </w:t>
      </w:r>
      <w:r w:rsidRPr="00083555">
        <w:fldChar w:fldCharType="begin"/>
      </w:r>
      <w:r w:rsidRPr="00083555">
        <w:instrText xml:space="preserve"> REF _Ref9261607 \r \h </w:instrText>
      </w:r>
      <w:r>
        <w:instrText xml:space="preserve"> \* MERGEFORMAT </w:instrText>
      </w:r>
      <w:r w:rsidRPr="00083555">
        <w:fldChar w:fldCharType="separate"/>
      </w:r>
      <w:r w:rsidR="00022664">
        <w:rPr>
          <w:rFonts w:hint="cs"/>
          <w:cs/>
        </w:rPr>
        <w:t>‎</w:t>
      </w:r>
      <w:r w:rsidR="00022664">
        <w:t>2.2.3</w:t>
      </w:r>
      <w:r w:rsidRPr="00083555">
        <w:fldChar w:fldCharType="end"/>
      </w:r>
      <w:r w:rsidRPr="00083555">
        <w:t>.</w:t>
      </w:r>
    </w:p>
  </w:footnote>
  <w:footnote w:id="103">
    <w:p w14:paraId="07ED6560" w14:textId="5B4BEA3E" w:rsidR="0042789D" w:rsidRPr="00083555" w:rsidRDefault="0042789D" w:rsidP="000B7240">
      <w:pPr>
        <w:pStyle w:val="Footnote"/>
      </w:pPr>
      <w:r w:rsidRPr="00083555">
        <w:rPr>
          <w:rStyle w:val="FootnoteReference"/>
          <w:szCs w:val="20"/>
        </w:rPr>
        <w:footnoteRef/>
      </w:r>
      <w:r w:rsidRPr="00083555">
        <w:t xml:space="preserve"> See the category ‘Reporting period increased – Eg 8 years to 15 years or life’ in the table in Appendix 1.</w:t>
      </w:r>
    </w:p>
  </w:footnote>
  <w:footnote w:id="104">
    <w:p w14:paraId="3956D583" w14:textId="4989AEEC" w:rsidR="0042789D" w:rsidRPr="00E76119" w:rsidRDefault="0042789D" w:rsidP="000B7240">
      <w:pPr>
        <w:pStyle w:val="Footnote"/>
      </w:pPr>
      <w:r w:rsidRPr="00083555">
        <w:rPr>
          <w:rStyle w:val="FootnoteReference"/>
          <w:szCs w:val="20"/>
        </w:rPr>
        <w:footnoteRef/>
      </w:r>
      <w:r w:rsidRPr="00083555">
        <w:t xml:space="preserve"> See the category ‘Reporting period </w:t>
      </w:r>
      <w:r w:rsidRPr="0042789D">
        <w:t>decreased – Eg life to 15</w:t>
      </w:r>
      <w:r w:rsidRPr="00083555">
        <w:t xml:space="preserve"> years or 8 years’ in the table in Appendix 1.</w:t>
      </w:r>
    </w:p>
  </w:footnote>
  <w:footnote w:id="105">
    <w:p w14:paraId="5349E0EC" w14:textId="5B8B5FF3" w:rsidR="0042789D" w:rsidRDefault="0042789D" w:rsidP="000B7240">
      <w:pPr>
        <w:pStyle w:val="Footnote"/>
      </w:pPr>
      <w:r w:rsidRPr="00E76119">
        <w:rPr>
          <w:rStyle w:val="FootnoteReference"/>
          <w:szCs w:val="20"/>
        </w:rPr>
        <w:footnoteRef/>
      </w:r>
      <w:r w:rsidRPr="00E76119">
        <w:t xml:space="preserve"> See the category ‘Should not be on register’ in the table in </w:t>
      </w:r>
      <w:r w:rsidRPr="000011B1">
        <w:t>Appendix 1.</w:t>
      </w:r>
    </w:p>
  </w:footnote>
  <w:footnote w:id="106">
    <w:p w14:paraId="79A81FE6" w14:textId="64ED0E0A" w:rsidR="0042789D" w:rsidRPr="001D68C2" w:rsidRDefault="0042789D" w:rsidP="001A6334">
      <w:pPr>
        <w:pStyle w:val="FootnoteText"/>
        <w:spacing w:before="60" w:after="60"/>
      </w:pPr>
      <w:r w:rsidRPr="001D68C2">
        <w:rPr>
          <w:rStyle w:val="FootnoteReference"/>
        </w:rPr>
        <w:footnoteRef/>
      </w:r>
      <w:r w:rsidRPr="001D68C2">
        <w:t xml:space="preserve"> </w:t>
      </w:r>
      <w:r>
        <w:t>Letter from Chief Commissioner, Law Enforcement Conduct Commission,</w:t>
      </w:r>
      <w:r w:rsidRPr="001D68C2">
        <w:t xml:space="preserve"> to </w:t>
      </w:r>
      <w:r w:rsidRPr="001D68C2">
        <w:rPr>
          <w:rFonts w:ascii="Gotham Book" w:hAnsi="Gotham Book"/>
        </w:rPr>
        <w:t>Deputy Commissioner, Invest</w:t>
      </w:r>
      <w:r>
        <w:rPr>
          <w:rFonts w:ascii="Gotham Book" w:hAnsi="Gotham Book"/>
        </w:rPr>
        <w:t>igations and Counter Terrorism, NSW Police Force,</w:t>
      </w:r>
      <w:r w:rsidRPr="001D68C2">
        <w:rPr>
          <w:rFonts w:ascii="Gotham Book" w:hAnsi="Gotham Book"/>
        </w:rPr>
        <w:t xml:space="preserve"> 28 February 2019.</w:t>
      </w:r>
    </w:p>
  </w:footnote>
  <w:footnote w:id="107">
    <w:p w14:paraId="41DCA1A8" w14:textId="487F12E6" w:rsidR="0042789D" w:rsidRPr="00046469" w:rsidRDefault="0042789D" w:rsidP="001A6334">
      <w:pPr>
        <w:pStyle w:val="FootnoteText"/>
        <w:spacing w:before="60" w:after="60"/>
        <w:rPr>
          <w:rFonts w:ascii="Gotham Book" w:hAnsi="Gotham Book"/>
        </w:rPr>
      </w:pPr>
      <w:r w:rsidRPr="003E6EC9">
        <w:rPr>
          <w:rStyle w:val="FootnoteReference"/>
          <w:rFonts w:ascii="Gotham Book" w:hAnsi="Gotham Book"/>
        </w:rPr>
        <w:footnoteRef/>
      </w:r>
      <w:r w:rsidRPr="003E6EC9">
        <w:rPr>
          <w:rFonts w:ascii="Gotham Book" w:hAnsi="Gotham Book"/>
        </w:rPr>
        <w:t xml:space="preserve"> Letter from Deputy Commissioner, Investigations and Counter Terrorism, </w:t>
      </w:r>
      <w:r>
        <w:rPr>
          <w:rFonts w:ascii="Gotham Book" w:hAnsi="Gotham Book"/>
        </w:rPr>
        <w:t>NSW Police Force</w:t>
      </w:r>
      <w:r w:rsidRPr="003E6EC9">
        <w:rPr>
          <w:rFonts w:ascii="Gotham Book" w:hAnsi="Gotham Book"/>
        </w:rPr>
        <w:t xml:space="preserve">, to Chief </w:t>
      </w:r>
      <w:r w:rsidRPr="00046469">
        <w:rPr>
          <w:rFonts w:ascii="Gotham Book" w:hAnsi="Gotham Book"/>
        </w:rPr>
        <w:t xml:space="preserve">Commissioner, </w:t>
      </w:r>
      <w:r>
        <w:rPr>
          <w:rFonts w:ascii="Gotham Book" w:hAnsi="Gotham Book"/>
        </w:rPr>
        <w:t>Law Enforcement Conduct Commission</w:t>
      </w:r>
      <w:r w:rsidRPr="00046469">
        <w:rPr>
          <w:rFonts w:ascii="Gotham Book" w:hAnsi="Gotham Book"/>
        </w:rPr>
        <w:t>, 22 March 2019.</w:t>
      </w:r>
    </w:p>
  </w:footnote>
  <w:footnote w:id="108">
    <w:p w14:paraId="31E559B3" w14:textId="2B8401D0" w:rsidR="0042789D" w:rsidRDefault="0042789D">
      <w:pPr>
        <w:pStyle w:val="FootnoteText"/>
      </w:pPr>
      <w:r w:rsidRPr="00046469">
        <w:rPr>
          <w:rStyle w:val="FootnoteReference"/>
        </w:rPr>
        <w:footnoteRef/>
      </w:r>
      <w:r w:rsidRPr="00046469">
        <w:t xml:space="preserve"> Letter from Commissioner of Police, </w:t>
      </w:r>
      <w:r>
        <w:t>NSW Police Force</w:t>
      </w:r>
      <w:r w:rsidRPr="00046469">
        <w:t>, to Chief Commiss</w:t>
      </w:r>
      <w:r>
        <w:t>ioner, Law Enforcement Conduct Commission, 30 September 2019 (</w:t>
      </w:r>
      <w:r w:rsidRPr="00046469">
        <w:t>Annexure</w:t>
      </w:r>
      <w:r w:rsidRPr="003E6EC9">
        <w:t xml:space="preserve"> B: Submissions on Proposed Recommendations</w:t>
      </w:r>
      <w:r>
        <w:t>)</w:t>
      </w:r>
      <w:r w:rsidRPr="003E6EC9">
        <w:t>.</w:t>
      </w:r>
    </w:p>
  </w:footnote>
  <w:footnote w:id="109">
    <w:p w14:paraId="0BBDBAA6" w14:textId="5F7F2F01" w:rsidR="0042789D" w:rsidRPr="003E6EC9" w:rsidRDefault="0042789D">
      <w:pPr>
        <w:pStyle w:val="FootnoteText"/>
      </w:pPr>
      <w:r w:rsidRPr="003E6EC9">
        <w:rPr>
          <w:rStyle w:val="FootnoteReference"/>
        </w:rPr>
        <w:footnoteRef/>
      </w:r>
      <w:r w:rsidRPr="003E6EC9">
        <w:t xml:space="preserve"> Letter from Commissioner of Police, </w:t>
      </w:r>
      <w:r>
        <w:t>NSW Police Force</w:t>
      </w:r>
      <w:r w:rsidRPr="003E6EC9">
        <w:t>, to Chief Commiss</w:t>
      </w:r>
      <w:r>
        <w:t>ioner, Law Enforcement Conduct Commission, 30 September 2019 (</w:t>
      </w:r>
      <w:r w:rsidRPr="003E6EC9">
        <w:t>Annexure B: Submissions on Proposed Recommendations</w:t>
      </w:r>
      <w:r>
        <w:t>)</w:t>
      </w:r>
      <w:r w:rsidRPr="003E6EC9">
        <w:t>.</w:t>
      </w:r>
    </w:p>
  </w:footnote>
  <w:footnote w:id="110">
    <w:p w14:paraId="0714133B" w14:textId="5CC951C8" w:rsidR="0042789D" w:rsidRPr="003E6EC9" w:rsidRDefault="0042789D">
      <w:pPr>
        <w:pStyle w:val="FootnoteText"/>
      </w:pPr>
      <w:r w:rsidRPr="003E6EC9">
        <w:rPr>
          <w:rStyle w:val="FootnoteReference"/>
        </w:rPr>
        <w:footnoteRef/>
      </w:r>
      <w:r w:rsidRPr="003E6EC9">
        <w:t xml:space="preserve"> </w:t>
      </w:r>
      <w:r w:rsidRPr="003E6EC9">
        <w:rPr>
          <w:i/>
        </w:rPr>
        <w:t>Child Protection (Offenders Registration) Act 2000</w:t>
      </w:r>
      <w:r w:rsidRPr="003E6EC9">
        <w:t xml:space="preserve"> (NSW) pt 3A; </w:t>
      </w:r>
      <w:r w:rsidRPr="003E6EC9">
        <w:rPr>
          <w:i/>
        </w:rPr>
        <w:t>Child Protection (Working with Children) Act 2012</w:t>
      </w:r>
      <w:r w:rsidRPr="003E6EC9">
        <w:t xml:space="preserve"> (NSW) s 18 and sch 2, cl 1(1)(ac).</w:t>
      </w:r>
    </w:p>
  </w:footnote>
  <w:footnote w:id="111">
    <w:p w14:paraId="6D531F0E" w14:textId="6065D972" w:rsidR="0042789D" w:rsidRPr="003E6EC9" w:rsidRDefault="0042789D" w:rsidP="005F4A7F">
      <w:pPr>
        <w:pStyle w:val="FootnoteText"/>
        <w:spacing w:before="60" w:after="60"/>
      </w:pPr>
      <w:r w:rsidRPr="003E6EC9">
        <w:rPr>
          <w:rStyle w:val="FootnoteReference"/>
          <w:rFonts w:ascii="Gotham Book" w:hAnsi="Gotham Book"/>
        </w:rPr>
        <w:footnoteRef/>
      </w:r>
      <w:r w:rsidRPr="003E6EC9">
        <w:rPr>
          <w:rFonts w:ascii="Gotham Book" w:hAnsi="Gotham Book"/>
        </w:rPr>
        <w:t xml:space="preserve"> </w:t>
      </w:r>
      <w:r w:rsidRPr="003E6EC9">
        <w:rPr>
          <w:i/>
        </w:rPr>
        <w:t>Child Protection (Offenders Prohibition Orders) Act 2004</w:t>
      </w:r>
      <w:r w:rsidRPr="003E6EC9">
        <w:t xml:space="preserve"> (NSW) ss 3-5.</w:t>
      </w:r>
    </w:p>
  </w:footnote>
  <w:footnote w:id="112">
    <w:p w14:paraId="6225CEC7" w14:textId="516A7763" w:rsidR="0042789D" w:rsidRDefault="0042789D">
      <w:pPr>
        <w:pStyle w:val="FootnoteText"/>
      </w:pPr>
      <w:r w:rsidRPr="003E6EC9">
        <w:rPr>
          <w:rStyle w:val="FootnoteReference"/>
        </w:rPr>
        <w:footnoteRef/>
      </w:r>
      <w:r w:rsidRPr="003E6EC9">
        <w:t xml:space="preserve"> Letter from Commissioner of Police, </w:t>
      </w:r>
      <w:r>
        <w:t>NSW Police Force</w:t>
      </w:r>
      <w:r w:rsidRPr="003E6EC9">
        <w:t xml:space="preserve">, to Chief Commissioner, </w:t>
      </w:r>
      <w:r>
        <w:t>Law Enforcement Conduct Commission</w:t>
      </w:r>
      <w:r w:rsidRPr="003E6EC9">
        <w:t xml:space="preserve">, 30 September 2019 </w:t>
      </w:r>
      <w:r>
        <w:t>(</w:t>
      </w:r>
      <w:r w:rsidRPr="003E6EC9">
        <w:t>Annexure B: Submissions on Proposed Recommendations</w:t>
      </w:r>
      <w:r>
        <w:t>)</w:t>
      </w:r>
      <w:r w:rsidRPr="003E6EC9">
        <w:t>.</w:t>
      </w:r>
    </w:p>
  </w:footnote>
  <w:footnote w:id="113">
    <w:p w14:paraId="55D6D8B3" w14:textId="62B76F33" w:rsidR="0042789D" w:rsidRPr="00AA480D" w:rsidRDefault="0042789D" w:rsidP="000E2816">
      <w:pPr>
        <w:pStyle w:val="FootnoteText"/>
        <w:spacing w:before="60" w:after="60"/>
      </w:pPr>
      <w:r w:rsidRPr="00AA480D">
        <w:rPr>
          <w:rStyle w:val="FootnoteReference"/>
        </w:rPr>
        <w:footnoteRef/>
      </w:r>
      <w:r w:rsidRPr="00AA480D">
        <w:t xml:space="preserve"> </w:t>
      </w:r>
      <w:r>
        <w:t xml:space="preserve">The CPR case file of Mr FF was produced by the NSW Police Force in response </w:t>
      </w:r>
      <w:r w:rsidRPr="00AA480D">
        <w:t xml:space="preserve">to item 2(q) of </w:t>
      </w:r>
      <w:r>
        <w:t>Law Enforcement Conduct Commission Notice</w:t>
      </w:r>
      <w:r w:rsidRPr="00AA480D">
        <w:t xml:space="preserve"> 929 of 2018</w:t>
      </w:r>
      <w:r>
        <w:t>.</w:t>
      </w:r>
    </w:p>
  </w:footnote>
  <w:footnote w:id="114">
    <w:p w14:paraId="2BC72BDC" w14:textId="759C40D3" w:rsidR="0042789D" w:rsidRPr="000711B1" w:rsidRDefault="0042789D" w:rsidP="000711B1">
      <w:pPr>
        <w:pStyle w:val="Footnote"/>
      </w:pPr>
      <w:r w:rsidRPr="000711B1">
        <w:rPr>
          <w:rStyle w:val="FootnoteReference"/>
          <w:rFonts w:ascii="Gotham Book" w:hAnsi="Gotham Book"/>
          <w:szCs w:val="20"/>
        </w:rPr>
        <w:footnoteRef/>
      </w:r>
      <w:r w:rsidRPr="000711B1">
        <w:t xml:space="preserve"> </w:t>
      </w:r>
      <w:r w:rsidRPr="0023580E">
        <w:t xml:space="preserve">For discussion of the challenges that can be involved in applying the reporting period formulas in the CPOR Act, see Chapter 6 section </w:t>
      </w:r>
      <w:r w:rsidRPr="0023580E">
        <w:fldChar w:fldCharType="begin"/>
      </w:r>
      <w:r w:rsidRPr="0023580E">
        <w:instrText xml:space="preserve"> REF _Ref9261696 \r \h  \* MERGEFORMAT </w:instrText>
      </w:r>
      <w:r w:rsidRPr="0023580E">
        <w:fldChar w:fldCharType="separate"/>
      </w:r>
      <w:r w:rsidR="00022664">
        <w:rPr>
          <w:rFonts w:hint="cs"/>
          <w:cs/>
        </w:rPr>
        <w:t>‎</w:t>
      </w:r>
      <w:r w:rsidR="00022664">
        <w:t>6.3.3</w:t>
      </w:r>
      <w:r w:rsidRPr="0023580E">
        <w:fldChar w:fldCharType="end"/>
      </w:r>
      <w:r w:rsidRPr="0023580E">
        <w:t xml:space="preserve"> and Appendix 2 (part </w:t>
      </w:r>
      <w:r w:rsidRPr="0023580E">
        <w:fldChar w:fldCharType="begin"/>
      </w:r>
      <w:r w:rsidRPr="0023580E">
        <w:instrText xml:space="preserve"> REF _Ref9428606 \r \h </w:instrText>
      </w:r>
      <w:r>
        <w:instrText xml:space="preserve"> \* MERGEFORMAT </w:instrText>
      </w:r>
      <w:r w:rsidRPr="0023580E">
        <w:fldChar w:fldCharType="separate"/>
      </w:r>
      <w:r w:rsidR="00022664">
        <w:rPr>
          <w:rFonts w:hint="cs"/>
          <w:cs/>
        </w:rPr>
        <w:t>‎</w:t>
      </w:r>
      <w:r w:rsidR="00022664">
        <w:t>5</w:t>
      </w:r>
      <w:r w:rsidRPr="0023580E">
        <w:fldChar w:fldCharType="end"/>
      </w:r>
      <w:r w:rsidRPr="0023580E">
        <w:t>).</w:t>
      </w:r>
    </w:p>
  </w:footnote>
  <w:footnote w:id="115">
    <w:p w14:paraId="042980CB" w14:textId="400B28DA" w:rsidR="0042789D" w:rsidRPr="000711B1" w:rsidRDefault="0042789D" w:rsidP="000711B1">
      <w:pPr>
        <w:pStyle w:val="Footnote"/>
      </w:pPr>
      <w:r w:rsidRPr="000711B1">
        <w:rPr>
          <w:rStyle w:val="FootnoteReference"/>
          <w:rFonts w:ascii="Gotham Book" w:hAnsi="Gotham Book"/>
          <w:szCs w:val="20"/>
        </w:rPr>
        <w:footnoteRef/>
      </w:r>
      <w:r w:rsidRPr="000711B1">
        <w:t xml:space="preserve"> </w:t>
      </w:r>
      <w:r>
        <w:t>The CPR case file of Mr AA was produced by the NSW Police Force in r</w:t>
      </w:r>
      <w:r w:rsidRPr="000711B1">
        <w:t xml:space="preserve">esponse to item 2(c) of </w:t>
      </w:r>
      <w:r>
        <w:t>Law Enforcement Conduct Commission Notice</w:t>
      </w:r>
      <w:r w:rsidRPr="000711B1">
        <w:t xml:space="preserve"> 929 of 2018</w:t>
      </w:r>
      <w:r>
        <w:t>.</w:t>
      </w:r>
    </w:p>
  </w:footnote>
  <w:footnote w:id="116">
    <w:p w14:paraId="63AF2F2E" w14:textId="77777777" w:rsidR="0042789D" w:rsidRPr="00CF25A1" w:rsidRDefault="0042789D" w:rsidP="00CF25A1">
      <w:pPr>
        <w:pStyle w:val="Footnote"/>
        <w:rPr>
          <w:szCs w:val="20"/>
        </w:rPr>
      </w:pPr>
      <w:r w:rsidRPr="00CF25A1">
        <w:rPr>
          <w:rStyle w:val="FootnoteReference"/>
          <w:rFonts w:ascii="Gotham Book" w:hAnsi="Gotham Book"/>
          <w:szCs w:val="20"/>
        </w:rPr>
        <w:footnoteRef/>
      </w:r>
      <w:r w:rsidRPr="00CF25A1">
        <w:rPr>
          <w:szCs w:val="20"/>
        </w:rPr>
        <w:t xml:space="preserve"> </w:t>
      </w:r>
      <w:r w:rsidRPr="00CF25A1">
        <w:rPr>
          <w:i/>
          <w:szCs w:val="20"/>
        </w:rPr>
        <w:t>Child Protection (Offenders Registration) Act 2000</w:t>
      </w:r>
      <w:r w:rsidRPr="00CF25A1">
        <w:rPr>
          <w:szCs w:val="20"/>
        </w:rPr>
        <w:t xml:space="preserve"> (NSW) s 14A(c)(iii) and (2).</w:t>
      </w:r>
    </w:p>
  </w:footnote>
  <w:footnote w:id="117">
    <w:p w14:paraId="2C8698C4" w14:textId="168C4761" w:rsidR="0042789D" w:rsidRPr="000711B1" w:rsidRDefault="0042789D" w:rsidP="000711B1">
      <w:pPr>
        <w:pStyle w:val="Footnote"/>
      </w:pPr>
      <w:r w:rsidRPr="000711B1">
        <w:rPr>
          <w:rStyle w:val="FootnoteReference"/>
          <w:rFonts w:ascii="Gotham Book" w:hAnsi="Gotham Book"/>
          <w:szCs w:val="20"/>
        </w:rPr>
        <w:footnoteRef/>
      </w:r>
      <w:r>
        <w:t xml:space="preserve"> The CPR case file of Mr QQ was produced by the NSW Police Force in response to </w:t>
      </w:r>
      <w:r w:rsidRPr="000711B1">
        <w:t xml:space="preserve">item 2(l) of </w:t>
      </w:r>
      <w:r>
        <w:t>Law Enforcement Conduct Commission Notice</w:t>
      </w:r>
      <w:r w:rsidRPr="000711B1">
        <w:t xml:space="preserve"> 929 of 2018</w:t>
      </w:r>
      <w:r>
        <w:t>.</w:t>
      </w:r>
    </w:p>
  </w:footnote>
  <w:footnote w:id="118">
    <w:p w14:paraId="5926E05F" w14:textId="77777777" w:rsidR="0042789D" w:rsidRPr="000711B1" w:rsidRDefault="0042789D" w:rsidP="000711B1">
      <w:pPr>
        <w:pStyle w:val="Footnote"/>
      </w:pPr>
      <w:r w:rsidRPr="000711B1">
        <w:rPr>
          <w:rStyle w:val="FootnoteReference"/>
          <w:rFonts w:ascii="Gotham Book" w:hAnsi="Gotham Book"/>
          <w:szCs w:val="20"/>
        </w:rPr>
        <w:footnoteRef/>
      </w:r>
      <w:r w:rsidRPr="000711B1">
        <w:t xml:space="preserve"> </w:t>
      </w:r>
      <w:r w:rsidRPr="000711B1">
        <w:rPr>
          <w:i/>
        </w:rPr>
        <w:t>Child Protection (Offender Registration) Act 2000</w:t>
      </w:r>
      <w:r w:rsidRPr="000711B1">
        <w:t xml:space="preserve"> (NSW) s 3(3) and s 14A(4)(a).</w:t>
      </w:r>
    </w:p>
  </w:footnote>
  <w:footnote w:id="119">
    <w:p w14:paraId="437A900D" w14:textId="77777777" w:rsidR="0042789D" w:rsidRPr="000711B1" w:rsidRDefault="0042789D" w:rsidP="000711B1">
      <w:pPr>
        <w:pStyle w:val="Footnote"/>
      </w:pPr>
      <w:r w:rsidRPr="000711B1">
        <w:rPr>
          <w:rStyle w:val="FootnoteReference"/>
          <w:rFonts w:ascii="Gotham Book" w:hAnsi="Gotham Book"/>
          <w:szCs w:val="20"/>
        </w:rPr>
        <w:footnoteRef/>
      </w:r>
      <w:r w:rsidRPr="000711B1">
        <w:t xml:space="preserve"> </w:t>
      </w:r>
      <w:r w:rsidRPr="000711B1">
        <w:rPr>
          <w:i/>
        </w:rPr>
        <w:t>Child Protection (Offender Registration) Act 2000</w:t>
      </w:r>
      <w:r w:rsidRPr="000711B1">
        <w:t xml:space="preserve"> (NSW) s 14A(b)(ii).</w:t>
      </w:r>
    </w:p>
  </w:footnote>
  <w:footnote w:id="120">
    <w:p w14:paraId="4FF52002" w14:textId="77777777" w:rsidR="0042789D" w:rsidRPr="000711B1" w:rsidRDefault="0042789D" w:rsidP="000711B1">
      <w:pPr>
        <w:pStyle w:val="Footnote"/>
      </w:pPr>
      <w:r w:rsidRPr="000711B1">
        <w:rPr>
          <w:rStyle w:val="FootnoteReference"/>
          <w:rFonts w:ascii="Gotham Book" w:hAnsi="Gotham Book"/>
          <w:szCs w:val="20"/>
        </w:rPr>
        <w:footnoteRef/>
      </w:r>
      <w:r w:rsidRPr="000711B1">
        <w:t xml:space="preserve"> </w:t>
      </w:r>
      <w:r w:rsidRPr="000711B1">
        <w:rPr>
          <w:i/>
        </w:rPr>
        <w:t>Child Protection (Offenders Registration) Act 2000</w:t>
      </w:r>
      <w:r w:rsidRPr="000711B1">
        <w:t xml:space="preserve"> (NSW) s 14.</w:t>
      </w:r>
    </w:p>
  </w:footnote>
  <w:footnote w:id="121">
    <w:p w14:paraId="06EF3109" w14:textId="7BF28318" w:rsidR="0042789D" w:rsidRPr="000711B1" w:rsidRDefault="0042789D" w:rsidP="00A961E7">
      <w:pPr>
        <w:pStyle w:val="Footnote"/>
      </w:pPr>
      <w:r w:rsidRPr="000711B1">
        <w:rPr>
          <w:rStyle w:val="FootnoteReference"/>
          <w:rFonts w:ascii="Gotham Book" w:hAnsi="Gotham Book"/>
          <w:szCs w:val="20"/>
        </w:rPr>
        <w:footnoteRef/>
      </w:r>
      <w:r>
        <w:t xml:space="preserve"> The CPR case file of Mr DD was produced by the NSW Police Force in response </w:t>
      </w:r>
      <w:r w:rsidRPr="000711B1">
        <w:t xml:space="preserve">to item 2(e) of </w:t>
      </w:r>
      <w:r>
        <w:t>Law Enforcement Conduct Commission Notice</w:t>
      </w:r>
      <w:r w:rsidRPr="000711B1">
        <w:t xml:space="preserve"> 929 of 2018</w:t>
      </w:r>
      <w:r>
        <w:t xml:space="preserve">. Mr DD’s case is also Example 2 in Appendix 2 (in </w:t>
      </w:r>
      <w:r w:rsidRPr="00D0563C">
        <w:t xml:space="preserve">part </w:t>
      </w:r>
      <w:r w:rsidRPr="00D0563C">
        <w:fldChar w:fldCharType="begin"/>
      </w:r>
      <w:r w:rsidRPr="00D0563C">
        <w:instrText xml:space="preserve"> REF _Ref10543528 \r \h  \* MERGEFORMAT </w:instrText>
      </w:r>
      <w:r w:rsidRPr="00D0563C">
        <w:fldChar w:fldCharType="separate"/>
      </w:r>
      <w:r w:rsidR="00022664">
        <w:rPr>
          <w:rFonts w:hint="cs"/>
          <w:cs/>
        </w:rPr>
        <w:t>‎</w:t>
      </w:r>
      <w:r w:rsidR="00022664">
        <w:t>4.1.2</w:t>
      </w:r>
      <w:r w:rsidRPr="00D0563C">
        <w:fldChar w:fldCharType="end"/>
      </w:r>
      <w:r w:rsidRPr="00D0563C">
        <w:t>).</w:t>
      </w:r>
    </w:p>
  </w:footnote>
  <w:footnote w:id="122">
    <w:p w14:paraId="5FD3E922" w14:textId="396545A6" w:rsidR="0042789D" w:rsidRPr="000711B1" w:rsidRDefault="0042789D" w:rsidP="00A961E7">
      <w:pPr>
        <w:pStyle w:val="Footnote"/>
        <w:rPr>
          <w:rFonts w:cs="Arial"/>
        </w:rPr>
      </w:pPr>
      <w:r w:rsidRPr="000711B1">
        <w:rPr>
          <w:rStyle w:val="FootnoteReference"/>
          <w:rFonts w:ascii="Gotham Book" w:hAnsi="Gotham Book" w:cs="Arial"/>
          <w:szCs w:val="20"/>
        </w:rPr>
        <w:footnoteRef/>
      </w:r>
      <w:r>
        <w:rPr>
          <w:rFonts w:cs="Arial"/>
        </w:rPr>
        <w:t xml:space="preserve"> </w:t>
      </w:r>
      <w:r w:rsidRPr="000711B1">
        <w:rPr>
          <w:rFonts w:cs="Arial"/>
          <w:i/>
        </w:rPr>
        <w:t>Child Protection (Offenders Registration) Act 2000</w:t>
      </w:r>
      <w:r w:rsidRPr="000711B1">
        <w:rPr>
          <w:rFonts w:cs="Arial"/>
        </w:rPr>
        <w:t xml:space="preserve"> (NSW) s 3(3), 3A(2)(c)(i) and (5).</w:t>
      </w:r>
    </w:p>
  </w:footnote>
  <w:footnote w:id="123">
    <w:p w14:paraId="46F98793" w14:textId="457405F9" w:rsidR="0042789D" w:rsidRPr="000711B1" w:rsidRDefault="0042789D" w:rsidP="000711B1">
      <w:pPr>
        <w:pStyle w:val="Footnote"/>
      </w:pPr>
      <w:r w:rsidRPr="000711B1">
        <w:rPr>
          <w:rStyle w:val="FootnoteReference"/>
          <w:rFonts w:ascii="Gotham Book" w:hAnsi="Gotham Book"/>
          <w:szCs w:val="20"/>
        </w:rPr>
        <w:footnoteRef/>
      </w:r>
      <w:r w:rsidRPr="000711B1">
        <w:t xml:space="preserve"> </w:t>
      </w:r>
      <w:r>
        <w:t xml:space="preserve">The CPR case file of Mr NN was produced by the NSW Police Force in response </w:t>
      </w:r>
      <w:r w:rsidRPr="000711B1">
        <w:t xml:space="preserve">to item 2(h) of </w:t>
      </w:r>
      <w:r>
        <w:t>Law Enforcement Conduct Commission Notice</w:t>
      </w:r>
      <w:r w:rsidRPr="000711B1">
        <w:t xml:space="preserve"> 929 of 2018</w:t>
      </w:r>
      <w:r>
        <w:t>.</w:t>
      </w:r>
    </w:p>
  </w:footnote>
  <w:footnote w:id="124">
    <w:p w14:paraId="45D92096" w14:textId="5C99D99D" w:rsidR="0042789D" w:rsidRPr="00FA454A" w:rsidRDefault="0042789D" w:rsidP="00D46C84">
      <w:pPr>
        <w:pStyle w:val="Footnote"/>
      </w:pPr>
      <w:r>
        <w:rPr>
          <w:rStyle w:val="FootnoteReference"/>
        </w:rPr>
        <w:footnoteRef/>
      </w:r>
      <w:r>
        <w:t xml:space="preserve"> </w:t>
      </w:r>
      <w:r w:rsidRPr="00FA454A">
        <w:t xml:space="preserve">Mr GG’s case is </w:t>
      </w:r>
      <w:r w:rsidRPr="00FA454A">
        <w:rPr>
          <w:rFonts w:ascii="Gotham Book" w:hAnsi="Gotham Book"/>
        </w:rPr>
        <w:t xml:space="preserve">summarised in Chapter 6, section </w:t>
      </w:r>
      <w:r w:rsidRPr="00FA454A">
        <w:rPr>
          <w:rFonts w:ascii="Gotham Book" w:hAnsi="Gotham Book"/>
        </w:rPr>
        <w:fldChar w:fldCharType="begin"/>
      </w:r>
      <w:r w:rsidRPr="00FA454A">
        <w:rPr>
          <w:rFonts w:ascii="Gotham Book" w:hAnsi="Gotham Book"/>
        </w:rPr>
        <w:instrText xml:space="preserve"> REF _Ref9273831 \r \h </w:instrText>
      </w:r>
      <w:r>
        <w:rPr>
          <w:rFonts w:ascii="Gotham Book" w:hAnsi="Gotham Book"/>
        </w:rPr>
        <w:instrText xml:space="preserve"> \* MERGEFORMAT </w:instrText>
      </w:r>
      <w:r w:rsidRPr="00FA454A">
        <w:rPr>
          <w:rFonts w:ascii="Gotham Book" w:hAnsi="Gotham Book"/>
        </w:rPr>
      </w:r>
      <w:r w:rsidRPr="00FA454A">
        <w:rPr>
          <w:rFonts w:ascii="Gotham Book" w:hAnsi="Gotham Book"/>
        </w:rPr>
        <w:fldChar w:fldCharType="separate"/>
      </w:r>
      <w:r w:rsidR="00022664">
        <w:rPr>
          <w:rFonts w:ascii="Gotham Book" w:hAnsi="Gotham Book" w:hint="cs"/>
          <w:cs/>
        </w:rPr>
        <w:t>‎</w:t>
      </w:r>
      <w:r w:rsidR="00022664">
        <w:rPr>
          <w:rFonts w:ascii="Gotham Book" w:hAnsi="Gotham Book"/>
        </w:rPr>
        <w:t>6.3.6</w:t>
      </w:r>
      <w:r w:rsidRPr="00FA454A">
        <w:rPr>
          <w:rFonts w:ascii="Gotham Book" w:hAnsi="Gotham Book"/>
        </w:rPr>
        <w:fldChar w:fldCharType="end"/>
      </w:r>
      <w:r w:rsidRPr="00FA454A">
        <w:rPr>
          <w:rFonts w:ascii="Gotham Book" w:hAnsi="Gotham Book"/>
        </w:rPr>
        <w:t xml:space="preserve">, and set out in full in Appendix 2 (part </w:t>
      </w:r>
      <w:r w:rsidRPr="00FA454A">
        <w:rPr>
          <w:rFonts w:ascii="Gotham Book" w:hAnsi="Gotham Book"/>
        </w:rPr>
        <w:fldChar w:fldCharType="begin"/>
      </w:r>
      <w:r w:rsidRPr="00FA454A">
        <w:rPr>
          <w:rFonts w:ascii="Gotham Book" w:hAnsi="Gotham Book"/>
        </w:rPr>
        <w:instrText xml:space="preserve"> REF _Ref9929519 \r \h </w:instrText>
      </w:r>
      <w:r>
        <w:rPr>
          <w:rFonts w:ascii="Gotham Book" w:hAnsi="Gotham Book"/>
        </w:rPr>
        <w:instrText xml:space="preserve"> \* MERGEFORMAT </w:instrText>
      </w:r>
      <w:r w:rsidRPr="00FA454A">
        <w:rPr>
          <w:rFonts w:ascii="Gotham Book" w:hAnsi="Gotham Book"/>
        </w:rPr>
      </w:r>
      <w:r w:rsidRPr="00FA454A">
        <w:rPr>
          <w:rFonts w:ascii="Gotham Book" w:hAnsi="Gotham Book"/>
        </w:rPr>
        <w:fldChar w:fldCharType="separate"/>
      </w:r>
      <w:r w:rsidR="00022664">
        <w:rPr>
          <w:rFonts w:ascii="Gotham Book" w:hAnsi="Gotham Book" w:hint="cs"/>
          <w:cs/>
        </w:rPr>
        <w:t>‎</w:t>
      </w:r>
      <w:r w:rsidR="00022664">
        <w:rPr>
          <w:rFonts w:ascii="Gotham Book" w:hAnsi="Gotham Book"/>
        </w:rPr>
        <w:t>6.3</w:t>
      </w:r>
      <w:r w:rsidRPr="00FA454A">
        <w:rPr>
          <w:rFonts w:ascii="Gotham Book" w:hAnsi="Gotham Book"/>
        </w:rPr>
        <w:fldChar w:fldCharType="end"/>
      </w:r>
      <w:r w:rsidRPr="00FA454A">
        <w:rPr>
          <w:rFonts w:ascii="Gotham Book" w:hAnsi="Gotham Book"/>
        </w:rPr>
        <w:t>, Example 8).</w:t>
      </w:r>
    </w:p>
  </w:footnote>
  <w:footnote w:id="125">
    <w:p w14:paraId="35C3EC3D" w14:textId="44295476" w:rsidR="0042789D" w:rsidRPr="00FA454A" w:rsidRDefault="0042789D" w:rsidP="00D46C84">
      <w:pPr>
        <w:pStyle w:val="Footnote"/>
      </w:pPr>
      <w:r w:rsidRPr="00FA454A">
        <w:rPr>
          <w:rStyle w:val="FootnoteReference"/>
        </w:rPr>
        <w:footnoteRef/>
      </w:r>
      <w:r w:rsidRPr="00FA454A">
        <w:t xml:space="preserve"> Mr EE’s case is Example 1 in Appendix 2 (in part </w:t>
      </w:r>
      <w:r w:rsidRPr="00FA454A">
        <w:fldChar w:fldCharType="begin"/>
      </w:r>
      <w:r w:rsidRPr="00FA454A">
        <w:instrText xml:space="preserve"> REF _Ref9428861 \r \h  \* MERGEFORMAT </w:instrText>
      </w:r>
      <w:r w:rsidRPr="00FA454A">
        <w:fldChar w:fldCharType="separate"/>
      </w:r>
      <w:r w:rsidR="00022664">
        <w:rPr>
          <w:rFonts w:hint="cs"/>
          <w:cs/>
        </w:rPr>
        <w:t>‎</w:t>
      </w:r>
      <w:r w:rsidR="00022664">
        <w:t>4.1.1</w:t>
      </w:r>
      <w:r w:rsidRPr="00FA454A">
        <w:fldChar w:fldCharType="end"/>
      </w:r>
      <w:r w:rsidRPr="00FA454A">
        <w:t>).</w:t>
      </w:r>
    </w:p>
  </w:footnote>
  <w:footnote w:id="126">
    <w:p w14:paraId="207A6E89" w14:textId="0704C765" w:rsidR="0042789D" w:rsidRPr="003F69C1" w:rsidRDefault="0042789D" w:rsidP="00D46C84">
      <w:pPr>
        <w:pStyle w:val="Footnote"/>
        <w:rPr>
          <w:rFonts w:ascii="Gotham Book" w:hAnsi="Gotham Book" w:cs="Arial"/>
        </w:rPr>
      </w:pPr>
      <w:r w:rsidRPr="00FA454A">
        <w:rPr>
          <w:rStyle w:val="FootnoteReference"/>
          <w:rFonts w:ascii="Gotham Book" w:hAnsi="Gotham Book" w:cs="Arial"/>
        </w:rPr>
        <w:footnoteRef/>
      </w:r>
      <w:r w:rsidRPr="00FA454A">
        <w:rPr>
          <w:rFonts w:ascii="Gotham Book" w:hAnsi="Gotham Book" w:cs="Arial"/>
        </w:rPr>
        <w:t xml:space="preserve"> The CPR case file of Mr CC was produced by the NSW Police Force in response </w:t>
      </w:r>
      <w:r w:rsidRPr="00FA454A">
        <w:rPr>
          <w:rFonts w:ascii="Gotham Book" w:hAnsi="Gotham Book"/>
        </w:rPr>
        <w:t xml:space="preserve">to item 2(p) of </w:t>
      </w:r>
      <w:r>
        <w:rPr>
          <w:rFonts w:ascii="Gotham Book" w:hAnsi="Gotham Book"/>
        </w:rPr>
        <w:t>Law Enforcement Conduct Commission</w:t>
      </w:r>
      <w:r w:rsidRPr="00FA454A">
        <w:rPr>
          <w:rFonts w:ascii="Gotham Book" w:hAnsi="Gotham Book"/>
        </w:rPr>
        <w:t xml:space="preserve"> Notice 929 of 2018</w:t>
      </w:r>
      <w:r w:rsidRPr="00FA454A">
        <w:rPr>
          <w:rFonts w:ascii="Gotham Book" w:hAnsi="Gotham Book" w:cs="Arial"/>
        </w:rPr>
        <w:t xml:space="preserve">. Mr CC’s case is also the subject of Case Study 8 (in Chapter 4, section </w:t>
      </w:r>
      <w:r w:rsidRPr="00FA454A">
        <w:rPr>
          <w:rFonts w:ascii="Gotham Book" w:hAnsi="Gotham Book" w:cs="Arial"/>
        </w:rPr>
        <w:fldChar w:fldCharType="begin"/>
      </w:r>
      <w:r w:rsidRPr="00FA454A">
        <w:rPr>
          <w:rFonts w:ascii="Gotham Book" w:hAnsi="Gotham Book" w:cs="Arial"/>
        </w:rPr>
        <w:instrText xml:space="preserve"> REF _Ref9423158 \r \h  \* MERGEFORMAT </w:instrText>
      </w:r>
      <w:r w:rsidRPr="00FA454A">
        <w:rPr>
          <w:rFonts w:ascii="Gotham Book" w:hAnsi="Gotham Book" w:cs="Arial"/>
        </w:rPr>
      </w:r>
      <w:r w:rsidRPr="00FA454A">
        <w:rPr>
          <w:rFonts w:ascii="Gotham Book" w:hAnsi="Gotham Book" w:cs="Arial"/>
        </w:rPr>
        <w:fldChar w:fldCharType="separate"/>
      </w:r>
      <w:r w:rsidR="00022664">
        <w:rPr>
          <w:rFonts w:ascii="Gotham Book" w:hAnsi="Gotham Book" w:cs="Arial" w:hint="cs"/>
          <w:cs/>
        </w:rPr>
        <w:t>‎</w:t>
      </w:r>
      <w:r w:rsidR="00022664">
        <w:rPr>
          <w:rFonts w:ascii="Gotham Book" w:hAnsi="Gotham Book" w:cs="Arial"/>
        </w:rPr>
        <w:t>4.8</w:t>
      </w:r>
      <w:r w:rsidRPr="00FA454A">
        <w:rPr>
          <w:rFonts w:ascii="Gotham Book" w:hAnsi="Gotham Book" w:cs="Arial"/>
        </w:rPr>
        <w:fldChar w:fldCharType="end"/>
      </w:r>
      <w:r w:rsidRPr="00FA454A">
        <w:rPr>
          <w:rFonts w:ascii="Gotham Book" w:hAnsi="Gotham Book" w:cs="Arial"/>
        </w:rPr>
        <w:t xml:space="preserve">) and Example 3 in Appendix 2 (in part </w:t>
      </w:r>
      <w:r w:rsidRPr="00FA454A">
        <w:rPr>
          <w:rFonts w:ascii="Gotham Book" w:hAnsi="Gotham Book" w:cs="Arial"/>
        </w:rPr>
        <w:fldChar w:fldCharType="begin"/>
      </w:r>
      <w:r w:rsidRPr="00FA454A">
        <w:rPr>
          <w:rFonts w:ascii="Gotham Book" w:hAnsi="Gotham Book" w:cs="Arial"/>
        </w:rPr>
        <w:instrText xml:space="preserve"> REF _Ref9929895 \r \h  \* MERGEFORMAT </w:instrText>
      </w:r>
      <w:r w:rsidRPr="00FA454A">
        <w:rPr>
          <w:rFonts w:ascii="Gotham Book" w:hAnsi="Gotham Book" w:cs="Arial"/>
        </w:rPr>
      </w:r>
      <w:r w:rsidRPr="00FA454A">
        <w:rPr>
          <w:rFonts w:ascii="Gotham Book" w:hAnsi="Gotham Book" w:cs="Arial"/>
        </w:rPr>
        <w:fldChar w:fldCharType="separate"/>
      </w:r>
      <w:r w:rsidR="00022664">
        <w:rPr>
          <w:rFonts w:ascii="Gotham Book" w:hAnsi="Gotham Book" w:cs="Arial" w:hint="cs"/>
          <w:cs/>
        </w:rPr>
        <w:t>‎</w:t>
      </w:r>
      <w:r w:rsidR="00022664">
        <w:rPr>
          <w:rFonts w:ascii="Gotham Book" w:hAnsi="Gotham Book" w:cs="Arial"/>
        </w:rPr>
        <w:t>5.1</w:t>
      </w:r>
      <w:r w:rsidRPr="00FA454A">
        <w:rPr>
          <w:rFonts w:ascii="Gotham Book" w:hAnsi="Gotham Book" w:cs="Arial"/>
        </w:rPr>
        <w:fldChar w:fldCharType="end"/>
      </w:r>
      <w:r w:rsidRPr="00FA454A">
        <w:rPr>
          <w:rFonts w:ascii="Gotham Book" w:hAnsi="Gotham Book" w:cs="Arial"/>
        </w:rPr>
        <w:t>).</w:t>
      </w:r>
    </w:p>
  </w:footnote>
  <w:footnote w:id="127">
    <w:p w14:paraId="2DB207F3" w14:textId="33C32FCF" w:rsidR="0042789D" w:rsidRPr="0027221B" w:rsidRDefault="0042789D" w:rsidP="0027221B">
      <w:pPr>
        <w:pStyle w:val="Footnote"/>
        <w:rPr>
          <w:szCs w:val="20"/>
        </w:rPr>
      </w:pPr>
      <w:r w:rsidRPr="0041783B">
        <w:rPr>
          <w:rStyle w:val="FootnoteReference"/>
        </w:rPr>
        <w:footnoteRef/>
      </w:r>
      <w:r>
        <w:t xml:space="preserve"> Mr YY’s case was referred to in two emails produced by the NSW Police Force in response </w:t>
      </w:r>
      <w:r w:rsidRPr="005642FC">
        <w:t xml:space="preserve">to </w:t>
      </w:r>
      <w:r>
        <w:t>Law Enforcement Conduct Commission Notice 977</w:t>
      </w:r>
      <w:r w:rsidRPr="005642FC">
        <w:t xml:space="preserve"> of 2017</w:t>
      </w:r>
      <w:r>
        <w:t xml:space="preserve">: </w:t>
      </w:r>
      <w:r w:rsidRPr="001A285B">
        <w:t>Email from</w:t>
      </w:r>
      <w:r>
        <w:t xml:space="preserve"> Sex Crimes Squad, NSW Police Force, </w:t>
      </w:r>
      <w:r w:rsidRPr="005608B9">
        <w:rPr>
          <w:i/>
        </w:rPr>
        <w:t>Subject: URGENT – CPR issues</w:t>
      </w:r>
      <w:r>
        <w:t>, 14</w:t>
      </w:r>
      <w:r w:rsidRPr="001A285B">
        <w:t xml:space="preserve"> July 2016</w:t>
      </w:r>
      <w:r>
        <w:t xml:space="preserve"> (10:43) [case referred to under ‘INCIDENT TWO’]</w:t>
      </w:r>
      <w:r>
        <w:rPr>
          <w:szCs w:val="20"/>
        </w:rPr>
        <w:t xml:space="preserve"> and email from Child Protection Registry, NSW Police Force to Office of the General Counsel, NSW Police Force, </w:t>
      </w:r>
      <w:r w:rsidRPr="0027221B">
        <w:rPr>
          <w:i/>
          <w:szCs w:val="20"/>
        </w:rPr>
        <w:t>Subject: List of ‘Possible’ litigators re CPR Review</w:t>
      </w:r>
      <w:r>
        <w:rPr>
          <w:szCs w:val="20"/>
        </w:rPr>
        <w:t>, 16 August 2016 (12:19) [fifth case listed]. The Commission retrieved additional information about Mr YY’s case from COPS and JusticeLink.</w:t>
      </w:r>
    </w:p>
  </w:footnote>
  <w:footnote w:id="128">
    <w:p w14:paraId="24D94388" w14:textId="7E4FB2C4" w:rsidR="0042789D" w:rsidRPr="00567E56" w:rsidRDefault="0042789D">
      <w:pPr>
        <w:pStyle w:val="FootnoteText"/>
      </w:pPr>
      <w:r w:rsidRPr="00567E56">
        <w:rPr>
          <w:rStyle w:val="FootnoteReference"/>
        </w:rPr>
        <w:footnoteRef/>
      </w:r>
      <w:r w:rsidRPr="00567E56">
        <w:t xml:space="preserve"> See the category </w:t>
      </w:r>
      <w:r w:rsidRPr="00567E56">
        <w:rPr>
          <w:rFonts w:ascii="Gotham Book" w:hAnsi="Gotham Book"/>
        </w:rPr>
        <w:t xml:space="preserve">‘Interstate (Qld) Error in reporting period notification’ in the table in Appendix 1. This issue is discussed in Chapter 5 section </w:t>
      </w:r>
      <w:r w:rsidRPr="00567E56">
        <w:rPr>
          <w:rFonts w:ascii="Gotham Book" w:hAnsi="Gotham Book"/>
        </w:rPr>
        <w:fldChar w:fldCharType="begin"/>
      </w:r>
      <w:r w:rsidRPr="00567E56">
        <w:rPr>
          <w:rFonts w:ascii="Gotham Book" w:hAnsi="Gotham Book"/>
        </w:rPr>
        <w:instrText xml:space="preserve"> REF _Ref13137194 \r \h  \* MERGEFORMAT </w:instrText>
      </w:r>
      <w:r w:rsidRPr="00567E56">
        <w:rPr>
          <w:rFonts w:ascii="Gotham Book" w:hAnsi="Gotham Book"/>
        </w:rPr>
      </w:r>
      <w:r w:rsidRPr="00567E56">
        <w:rPr>
          <w:rFonts w:ascii="Gotham Book" w:hAnsi="Gotham Book"/>
        </w:rPr>
        <w:fldChar w:fldCharType="separate"/>
      </w:r>
      <w:r w:rsidR="00022664">
        <w:rPr>
          <w:rFonts w:ascii="Gotham Book" w:hAnsi="Gotham Book" w:hint="cs"/>
          <w:cs/>
        </w:rPr>
        <w:t>‎</w:t>
      </w:r>
      <w:r w:rsidR="00022664">
        <w:rPr>
          <w:rFonts w:ascii="Gotham Book" w:hAnsi="Gotham Book"/>
        </w:rPr>
        <w:t>5.2.4</w:t>
      </w:r>
      <w:r w:rsidRPr="00567E56">
        <w:rPr>
          <w:rFonts w:ascii="Gotham Book" w:hAnsi="Gotham Book"/>
        </w:rPr>
        <w:fldChar w:fldCharType="end"/>
      </w:r>
      <w:r w:rsidRPr="00567E56">
        <w:rPr>
          <w:rFonts w:ascii="Gotham Book" w:hAnsi="Gotham Book"/>
        </w:rPr>
        <w:t xml:space="preserve"> and Chapter 6 section </w:t>
      </w:r>
      <w:r w:rsidRPr="00567E56">
        <w:rPr>
          <w:rFonts w:ascii="Gotham Book" w:hAnsi="Gotham Book"/>
        </w:rPr>
        <w:fldChar w:fldCharType="begin"/>
      </w:r>
      <w:r w:rsidRPr="00567E56">
        <w:rPr>
          <w:rFonts w:ascii="Gotham Book" w:hAnsi="Gotham Book"/>
        </w:rPr>
        <w:instrText xml:space="preserve"> REF _Ref13137216 \r \h  \* MERGEFORMAT </w:instrText>
      </w:r>
      <w:r w:rsidRPr="00567E56">
        <w:rPr>
          <w:rFonts w:ascii="Gotham Book" w:hAnsi="Gotham Book"/>
        </w:rPr>
      </w:r>
      <w:r w:rsidRPr="00567E56">
        <w:rPr>
          <w:rFonts w:ascii="Gotham Book" w:hAnsi="Gotham Book"/>
        </w:rPr>
        <w:fldChar w:fldCharType="separate"/>
      </w:r>
      <w:r w:rsidR="00022664">
        <w:rPr>
          <w:rFonts w:ascii="Gotham Book" w:hAnsi="Gotham Book" w:hint="cs"/>
          <w:cs/>
        </w:rPr>
        <w:t>‎</w:t>
      </w:r>
      <w:r w:rsidR="00022664">
        <w:rPr>
          <w:rFonts w:ascii="Gotham Book" w:hAnsi="Gotham Book"/>
        </w:rPr>
        <w:t>6.3.6</w:t>
      </w:r>
      <w:r w:rsidRPr="00567E56">
        <w:rPr>
          <w:rFonts w:ascii="Gotham Book" w:hAnsi="Gotham Book"/>
        </w:rPr>
        <w:fldChar w:fldCharType="end"/>
      </w:r>
      <w:r w:rsidRPr="00567E56">
        <w:rPr>
          <w:rFonts w:ascii="Gotham Book" w:hAnsi="Gotham Book"/>
        </w:rPr>
        <w:t>.</w:t>
      </w:r>
    </w:p>
  </w:footnote>
  <w:footnote w:id="129">
    <w:p w14:paraId="6B3C2935" w14:textId="15E7029E" w:rsidR="0042789D" w:rsidRPr="009749A7" w:rsidRDefault="0042789D">
      <w:pPr>
        <w:pStyle w:val="FootnoteText"/>
      </w:pPr>
      <w:r w:rsidRPr="00567E56">
        <w:rPr>
          <w:rStyle w:val="FootnoteReference"/>
        </w:rPr>
        <w:footnoteRef/>
      </w:r>
      <w:r w:rsidRPr="00567E56">
        <w:t xml:space="preserve"> </w:t>
      </w:r>
      <w:r>
        <w:t xml:space="preserve">CPR case files produced by the NSW Police Force in response </w:t>
      </w:r>
      <w:r w:rsidRPr="00567E56">
        <w:t>to item</w:t>
      </w:r>
      <w:r>
        <w:t>s</w:t>
      </w:r>
      <w:r w:rsidRPr="00567E56">
        <w:t xml:space="preserve"> 2(j) </w:t>
      </w:r>
      <w:r>
        <w:t xml:space="preserve">and 2(k) </w:t>
      </w:r>
      <w:r w:rsidRPr="00567E56">
        <w:t xml:space="preserve">of </w:t>
      </w:r>
      <w:r>
        <w:t>Law Enforcement Conduct Commission Notice</w:t>
      </w:r>
      <w:r w:rsidRPr="00567E56">
        <w:t xml:space="preserve"> 929 of 2018.</w:t>
      </w:r>
    </w:p>
  </w:footnote>
  <w:footnote w:id="130">
    <w:p w14:paraId="26A792EE" w14:textId="241267F4" w:rsidR="0042789D" w:rsidRPr="00686049" w:rsidRDefault="0042789D" w:rsidP="00A42213">
      <w:pPr>
        <w:pStyle w:val="Footnote"/>
        <w:rPr>
          <w:rFonts w:ascii="Gotham Book" w:hAnsi="Gotham Book" w:cs="Arial"/>
          <w:szCs w:val="20"/>
        </w:rPr>
      </w:pPr>
      <w:r w:rsidRPr="00AA480D">
        <w:rPr>
          <w:rStyle w:val="FootnoteReference"/>
          <w:szCs w:val="20"/>
        </w:rPr>
        <w:footnoteRef/>
      </w:r>
      <w:r w:rsidRPr="00AA480D">
        <w:t xml:space="preserve"> </w:t>
      </w:r>
      <w:r>
        <w:rPr>
          <w:rFonts w:ascii="Gotham Book" w:hAnsi="Gotham Book" w:cs="Arial"/>
          <w:szCs w:val="20"/>
        </w:rPr>
        <w:t xml:space="preserve">Mr CC, CPR case file produced by NSW Police Force in response to item 2(p) of Law Enforcement Conduct Commission Notice 929 of 2018; Mr DD, CPR case file produced by NSW Police Force in response to item 2(e) </w:t>
      </w:r>
      <w:r>
        <w:t xml:space="preserve">of Law Enforcement Conduct Commission Notice 929 of 2018; </w:t>
      </w:r>
      <w:r w:rsidRPr="00A903C8">
        <w:rPr>
          <w:rFonts w:ascii="Gotham Book" w:hAnsi="Gotham Book" w:cs="Arial"/>
          <w:szCs w:val="20"/>
        </w:rPr>
        <w:t>Mr HH</w:t>
      </w:r>
      <w:r>
        <w:rPr>
          <w:rFonts w:ascii="Gotham Book" w:hAnsi="Gotham Book" w:cs="Arial"/>
          <w:szCs w:val="20"/>
        </w:rPr>
        <w:t>, CPR case file produced by NSW Police Force</w:t>
      </w:r>
      <w:r w:rsidRPr="00A903C8">
        <w:rPr>
          <w:rFonts w:ascii="Gotham Book" w:hAnsi="Gotham Book" w:cs="Arial"/>
          <w:szCs w:val="20"/>
        </w:rPr>
        <w:t xml:space="preserve"> in response to </w:t>
      </w:r>
      <w:r w:rsidRPr="00A903C8">
        <w:t xml:space="preserve">item 2(j) of </w:t>
      </w:r>
      <w:r>
        <w:t>Law Enforcement Conduct Commission</w:t>
      </w:r>
      <w:r w:rsidRPr="00A903C8">
        <w:t xml:space="preserve"> N</w:t>
      </w:r>
      <w:r>
        <w:t>otice 929 of 2018</w:t>
      </w:r>
      <w:r w:rsidRPr="006D00C2">
        <w:rPr>
          <w:rFonts w:ascii="Gotham Book" w:hAnsi="Gotham Book" w:cs="Arial"/>
          <w:szCs w:val="20"/>
        </w:rPr>
        <w:t xml:space="preserve">; </w:t>
      </w:r>
      <w:r w:rsidRPr="001A5898">
        <w:rPr>
          <w:rFonts w:ascii="Gotham Book" w:hAnsi="Gotham Book" w:cs="Arial"/>
          <w:szCs w:val="20"/>
        </w:rPr>
        <w:t xml:space="preserve">Mr JJ, CPR </w:t>
      </w:r>
      <w:r>
        <w:rPr>
          <w:rFonts w:ascii="Gotham Book" w:hAnsi="Gotham Book" w:cs="Arial"/>
          <w:szCs w:val="20"/>
        </w:rPr>
        <w:t>case file produced by NSW Police Force</w:t>
      </w:r>
      <w:r w:rsidRPr="001A5898">
        <w:rPr>
          <w:rFonts w:ascii="Gotham Book" w:hAnsi="Gotham Book" w:cs="Arial"/>
          <w:szCs w:val="20"/>
        </w:rPr>
        <w:t xml:space="preserve"> in response to item 2(k) of </w:t>
      </w:r>
      <w:r>
        <w:rPr>
          <w:rFonts w:ascii="Gotham Book" w:hAnsi="Gotham Book" w:cs="Arial"/>
          <w:szCs w:val="20"/>
        </w:rPr>
        <w:t>Law Enforcement Conduct Commission</w:t>
      </w:r>
      <w:r w:rsidRPr="001A5898">
        <w:rPr>
          <w:rFonts w:ascii="Gotham Book" w:hAnsi="Gotham Book" w:cs="Arial"/>
          <w:szCs w:val="20"/>
        </w:rPr>
        <w:t xml:space="preserve"> Notice 929 of 2018, and see</w:t>
      </w:r>
      <w:r>
        <w:rPr>
          <w:rFonts w:ascii="Gotham Book" w:hAnsi="Gotham Book" w:cs="Arial"/>
          <w:b/>
          <w:szCs w:val="20"/>
        </w:rPr>
        <w:t xml:space="preserve"> </w:t>
      </w:r>
      <w:r>
        <w:t>Child Protection Registry</w:t>
      </w:r>
      <w:r>
        <w:rPr>
          <w:i/>
        </w:rPr>
        <w:t xml:space="preserve">, </w:t>
      </w:r>
      <w:r>
        <w:t>NSW Police Force</w:t>
      </w:r>
      <w:r w:rsidRPr="001A5898">
        <w:t>,</w:t>
      </w:r>
      <w:r>
        <w:rPr>
          <w:i/>
        </w:rPr>
        <w:t xml:space="preserve"> </w:t>
      </w:r>
      <w:r w:rsidRPr="00837602">
        <w:rPr>
          <w:i/>
        </w:rPr>
        <w:t>Application to the Local Court</w:t>
      </w:r>
      <w:r>
        <w:t>, NSW Police Force response to item 6 of Law Enforcement Conduct Commission Notice 929 of 2017</w:t>
      </w:r>
      <w:r w:rsidRPr="006D00C2">
        <w:rPr>
          <w:rFonts w:ascii="Gotham Book" w:hAnsi="Gotham Book"/>
          <w:szCs w:val="20"/>
        </w:rPr>
        <w:t xml:space="preserve">; </w:t>
      </w:r>
      <w:r>
        <w:rPr>
          <w:rFonts w:ascii="Gotham Book" w:hAnsi="Gotham Book"/>
          <w:szCs w:val="20"/>
        </w:rPr>
        <w:t xml:space="preserve">Mr KK, </w:t>
      </w:r>
      <w:r w:rsidRPr="00831680">
        <w:rPr>
          <w:rFonts w:ascii="Gotham Book" w:hAnsi="Gotham Book" w:cs="Arial"/>
          <w:szCs w:val="20"/>
        </w:rPr>
        <w:t xml:space="preserve">CPR case file produced by </w:t>
      </w:r>
      <w:r>
        <w:rPr>
          <w:rFonts w:ascii="Gotham Book" w:hAnsi="Gotham Book" w:cs="Arial"/>
          <w:szCs w:val="20"/>
        </w:rPr>
        <w:t>NSW Police Force</w:t>
      </w:r>
      <w:r w:rsidRPr="00831680">
        <w:rPr>
          <w:rFonts w:ascii="Gotham Book" w:hAnsi="Gotham Book" w:cs="Arial"/>
          <w:szCs w:val="20"/>
        </w:rPr>
        <w:t xml:space="preserve"> in response</w:t>
      </w:r>
      <w:r>
        <w:rPr>
          <w:rFonts w:ascii="Gotham Book" w:hAnsi="Gotham Book" w:cs="Arial"/>
          <w:b/>
          <w:szCs w:val="20"/>
        </w:rPr>
        <w:t xml:space="preserve"> </w:t>
      </w:r>
      <w:r w:rsidRPr="00984CB9">
        <w:t xml:space="preserve">to item 2(i) of </w:t>
      </w:r>
      <w:r>
        <w:t>Law Enforcement Conduct Commission Notice</w:t>
      </w:r>
      <w:r w:rsidRPr="00984CB9">
        <w:t xml:space="preserve"> 929 of 2018</w:t>
      </w:r>
      <w:r w:rsidRPr="006D00C2">
        <w:rPr>
          <w:rFonts w:ascii="Gotham Book" w:hAnsi="Gotham Book" w:cs="Arial"/>
          <w:szCs w:val="20"/>
        </w:rPr>
        <w:t xml:space="preserve">; </w:t>
      </w:r>
      <w:r w:rsidRPr="00950267">
        <w:rPr>
          <w:rFonts w:ascii="Gotham Book" w:hAnsi="Gotham Book" w:cs="Arial"/>
          <w:szCs w:val="20"/>
        </w:rPr>
        <w:t>Mr NN,</w:t>
      </w:r>
      <w:r>
        <w:rPr>
          <w:rFonts w:ascii="Gotham Book" w:hAnsi="Gotham Book" w:cs="Arial"/>
          <w:b/>
          <w:szCs w:val="20"/>
        </w:rPr>
        <w:t xml:space="preserve"> </w:t>
      </w:r>
      <w:r>
        <w:rPr>
          <w:rFonts w:ascii="Gotham Book" w:hAnsi="Gotham Book" w:cs="Arial"/>
          <w:szCs w:val="20"/>
        </w:rPr>
        <w:t>CPR case file produced by NSW Police Force in response to</w:t>
      </w:r>
      <w:r>
        <w:t xml:space="preserve"> item 2(h) of Law Enforcement Conduct Commission Notice 929 of 2018</w:t>
      </w:r>
      <w:r>
        <w:rPr>
          <w:rFonts w:ascii="Gotham Book" w:hAnsi="Gotham Book" w:cs="Arial"/>
          <w:szCs w:val="20"/>
        </w:rPr>
        <w:t xml:space="preserve">; Mr YY, </w:t>
      </w:r>
      <w:r>
        <w:rPr>
          <w:szCs w:val="20"/>
        </w:rPr>
        <w:t xml:space="preserve">Email from Child Protection Registry, NSW Police Force to Office of General Counsel, NSW Police Force, </w:t>
      </w:r>
      <w:r w:rsidRPr="0027221B">
        <w:rPr>
          <w:i/>
          <w:szCs w:val="20"/>
        </w:rPr>
        <w:t>Subject: List of ‘Possible’ litigators re CPR Review</w:t>
      </w:r>
      <w:r>
        <w:rPr>
          <w:szCs w:val="20"/>
        </w:rPr>
        <w:t xml:space="preserve">, 16 August 2016 (12:19) </w:t>
      </w:r>
      <w:r>
        <w:t xml:space="preserve">NSW Police Force response to Law Enforcement Conduct Commission Notice 977 of 2018 </w:t>
      </w:r>
      <w:r>
        <w:rPr>
          <w:szCs w:val="20"/>
        </w:rPr>
        <w:t>[fifth case listed in email]; Mr SS</w:t>
      </w:r>
      <w:r>
        <w:rPr>
          <w:b/>
        </w:rPr>
        <w:t xml:space="preserve">, </w:t>
      </w:r>
      <w:r>
        <w:t xml:space="preserve">Email from Inspector, NSW Police Force to Child Protection Registry, NSW Police Force, </w:t>
      </w:r>
      <w:r w:rsidRPr="006445E3">
        <w:rPr>
          <w:i/>
        </w:rPr>
        <w:t>Subject: re reporting period errors</w:t>
      </w:r>
      <w:r>
        <w:t xml:space="preserve">, 25 October 2016 (14:11), NSW Police Force response to </w:t>
      </w:r>
      <w:r>
        <w:rPr>
          <w:szCs w:val="20"/>
        </w:rPr>
        <w:t>Law Enforcement Conduct Commission</w:t>
      </w:r>
      <w:r w:rsidRPr="00686049">
        <w:rPr>
          <w:szCs w:val="20"/>
        </w:rPr>
        <w:t xml:space="preserve"> Notice 977 of 2018 [fourth case listed in email]</w:t>
      </w:r>
      <w:r w:rsidRPr="00686049">
        <w:rPr>
          <w:b/>
          <w:szCs w:val="20"/>
        </w:rPr>
        <w:t>.</w:t>
      </w:r>
    </w:p>
  </w:footnote>
  <w:footnote w:id="131">
    <w:p w14:paraId="38759FC2" w14:textId="66704A99" w:rsidR="0042789D" w:rsidRDefault="0042789D">
      <w:pPr>
        <w:pStyle w:val="FootnoteText"/>
      </w:pPr>
      <w:r w:rsidRPr="00686049">
        <w:rPr>
          <w:rStyle w:val="FootnoteReference"/>
        </w:rPr>
        <w:footnoteRef/>
      </w:r>
      <w:r w:rsidRPr="00686049">
        <w:t xml:space="preserve"> </w:t>
      </w:r>
      <w:r w:rsidRPr="00686049">
        <w:rPr>
          <w:rFonts w:ascii="Gotham Book" w:hAnsi="Gotham Book" w:cs="Arial"/>
        </w:rPr>
        <w:t>Mr NN,</w:t>
      </w:r>
      <w:r w:rsidRPr="00686049">
        <w:rPr>
          <w:rFonts w:ascii="Gotham Book" w:hAnsi="Gotham Book" w:cs="Arial"/>
          <w:b/>
        </w:rPr>
        <w:t xml:space="preserve"> </w:t>
      </w:r>
      <w:r w:rsidRPr="00686049">
        <w:rPr>
          <w:rFonts w:ascii="Gotham Book" w:hAnsi="Gotham Book" w:cs="Arial"/>
        </w:rPr>
        <w:t xml:space="preserve">CPR case file produced by </w:t>
      </w:r>
      <w:r>
        <w:rPr>
          <w:rFonts w:ascii="Gotham Book" w:hAnsi="Gotham Book" w:cs="Arial"/>
        </w:rPr>
        <w:t>NSW Police Force</w:t>
      </w:r>
      <w:r w:rsidRPr="00686049">
        <w:rPr>
          <w:rFonts w:ascii="Gotham Book" w:hAnsi="Gotham Book" w:cs="Arial"/>
        </w:rPr>
        <w:t xml:space="preserve"> in response to</w:t>
      </w:r>
      <w:r w:rsidRPr="00686049">
        <w:t xml:space="preserve"> item 2(h) of </w:t>
      </w:r>
      <w:r>
        <w:t>Law Enforcement Conduct Commission</w:t>
      </w:r>
      <w:r w:rsidRPr="00686049">
        <w:t xml:space="preserve"> Notice 929 of 2018; Mr SS</w:t>
      </w:r>
      <w:r w:rsidRPr="00686049">
        <w:rPr>
          <w:b/>
        </w:rPr>
        <w:t xml:space="preserve">, </w:t>
      </w:r>
      <w:r w:rsidRPr="00686049">
        <w:t xml:space="preserve">Email from Inspector, </w:t>
      </w:r>
      <w:r>
        <w:t>NSW Police Force</w:t>
      </w:r>
      <w:r w:rsidRPr="00686049">
        <w:t xml:space="preserve"> to Child Protection Registry, </w:t>
      </w:r>
      <w:r>
        <w:t>NSW Police Force</w:t>
      </w:r>
      <w:r w:rsidRPr="00686049">
        <w:t xml:space="preserve">, </w:t>
      </w:r>
      <w:r w:rsidRPr="00686049">
        <w:rPr>
          <w:i/>
        </w:rPr>
        <w:t>Subject: re reporting period errors</w:t>
      </w:r>
      <w:r w:rsidRPr="00686049">
        <w:t xml:space="preserve">, 25 October 2016 (14:11), </w:t>
      </w:r>
      <w:r>
        <w:t>NSW Police Force</w:t>
      </w:r>
      <w:r w:rsidRPr="00686049">
        <w:t xml:space="preserve"> response to </w:t>
      </w:r>
      <w:r>
        <w:t>Law Enforcement Conduct Commission</w:t>
      </w:r>
      <w:r w:rsidRPr="00686049">
        <w:t xml:space="preserve"> Notice 977 of 2018 [fourth case listed in email]</w:t>
      </w:r>
      <w:r w:rsidRPr="00686049">
        <w:rPr>
          <w:b/>
        </w:rPr>
        <w:t>.</w:t>
      </w:r>
    </w:p>
  </w:footnote>
  <w:footnote w:id="132">
    <w:p w14:paraId="2BDD2678" w14:textId="77777777" w:rsidR="0042789D" w:rsidRPr="00A265D5" w:rsidRDefault="0042789D" w:rsidP="00A42213">
      <w:pPr>
        <w:pStyle w:val="Footnote"/>
        <w:rPr>
          <w:szCs w:val="20"/>
        </w:rPr>
      </w:pPr>
      <w:r w:rsidRPr="00A265D5">
        <w:rPr>
          <w:rStyle w:val="FootnoteReference"/>
          <w:szCs w:val="20"/>
        </w:rPr>
        <w:footnoteRef/>
      </w:r>
      <w:r w:rsidRPr="00A265D5">
        <w:rPr>
          <w:szCs w:val="20"/>
        </w:rPr>
        <w:t xml:space="preserve"> </w:t>
      </w:r>
      <w:r w:rsidRPr="00A265D5">
        <w:rPr>
          <w:i/>
          <w:szCs w:val="20"/>
        </w:rPr>
        <w:t>Child Protection (Offenders Registration) Act 2000</w:t>
      </w:r>
      <w:r w:rsidRPr="00A265D5">
        <w:rPr>
          <w:szCs w:val="20"/>
        </w:rPr>
        <w:t xml:space="preserve"> (NSW) s 16C(3), (5) and (7).</w:t>
      </w:r>
    </w:p>
  </w:footnote>
  <w:footnote w:id="133">
    <w:p w14:paraId="297E0428" w14:textId="432ACD96" w:rsidR="0042789D" w:rsidRPr="007B0E25" w:rsidRDefault="0042789D" w:rsidP="008142A6">
      <w:pPr>
        <w:pStyle w:val="Footnote"/>
        <w:rPr>
          <w:rFonts w:cs="Arial"/>
          <w:szCs w:val="20"/>
        </w:rPr>
      </w:pPr>
      <w:r w:rsidRPr="007B0E25">
        <w:rPr>
          <w:rStyle w:val="FootnoteReference"/>
          <w:szCs w:val="20"/>
        </w:rPr>
        <w:footnoteRef/>
      </w:r>
      <w:r w:rsidRPr="00A265D5">
        <w:rPr>
          <w:rFonts w:cs="Arial"/>
          <w:szCs w:val="20"/>
        </w:rPr>
        <w:t xml:space="preserve"> </w:t>
      </w:r>
      <w:r>
        <w:rPr>
          <w:rFonts w:ascii="Gotham Book" w:hAnsi="Gotham Book" w:cs="Arial"/>
          <w:szCs w:val="20"/>
        </w:rPr>
        <w:t xml:space="preserve">Mr YY, </w:t>
      </w:r>
      <w:r>
        <w:rPr>
          <w:szCs w:val="20"/>
        </w:rPr>
        <w:t xml:space="preserve">Email from Child Protection Registry, NSW Police Force to Office of General Counsel, NSW Police Force, </w:t>
      </w:r>
      <w:r w:rsidRPr="0027221B">
        <w:rPr>
          <w:i/>
          <w:szCs w:val="20"/>
        </w:rPr>
        <w:t>Subject: List of ‘Possible’ litigators re CPR Review</w:t>
      </w:r>
      <w:r>
        <w:rPr>
          <w:szCs w:val="20"/>
        </w:rPr>
        <w:t xml:space="preserve">, 16 August 2016 (12:19) </w:t>
      </w:r>
      <w:r>
        <w:t xml:space="preserve">NSW Police Force response to Law Enforcement Conduct Commission Notice 977 of 2018 </w:t>
      </w:r>
      <w:r>
        <w:rPr>
          <w:szCs w:val="20"/>
        </w:rPr>
        <w:t>[fifth case listed in email]</w:t>
      </w:r>
      <w:r>
        <w:rPr>
          <w:rFonts w:ascii="Gotham Book" w:hAnsi="Gotham Book" w:cs="Arial"/>
          <w:szCs w:val="20"/>
        </w:rPr>
        <w:t>, COPS event record for 20 November 2014</w:t>
      </w:r>
      <w:r w:rsidRPr="007B0E25">
        <w:rPr>
          <w:rFonts w:ascii="Gotham Book" w:hAnsi="Gotham Book"/>
          <w:szCs w:val="20"/>
        </w:rPr>
        <w:t xml:space="preserve"> and </w:t>
      </w:r>
      <w:r>
        <w:rPr>
          <w:rFonts w:ascii="Gotham Book" w:hAnsi="Gotham Book"/>
          <w:szCs w:val="20"/>
        </w:rPr>
        <w:t>intel record for 30 June 2016;</w:t>
      </w:r>
      <w:r w:rsidRPr="007B0E25">
        <w:rPr>
          <w:rFonts w:cs="Arial"/>
          <w:szCs w:val="20"/>
        </w:rPr>
        <w:t xml:space="preserve"> </w:t>
      </w:r>
      <w:r w:rsidRPr="007927A5">
        <w:rPr>
          <w:rFonts w:ascii="Gotham Book" w:hAnsi="Gotham Book" w:cs="Arial"/>
          <w:szCs w:val="20"/>
        </w:rPr>
        <w:t>Mr HH,</w:t>
      </w:r>
      <w:r>
        <w:rPr>
          <w:rFonts w:ascii="Gotham Book" w:hAnsi="Gotham Book" w:cs="Arial"/>
          <w:b/>
          <w:szCs w:val="20"/>
        </w:rPr>
        <w:t xml:space="preserve"> </w:t>
      </w:r>
      <w:r>
        <w:rPr>
          <w:rFonts w:cs="Arial"/>
          <w:szCs w:val="20"/>
        </w:rPr>
        <w:t>CPR c</w:t>
      </w:r>
      <w:r w:rsidRPr="007B0E25">
        <w:rPr>
          <w:rFonts w:cs="Arial"/>
          <w:szCs w:val="20"/>
        </w:rPr>
        <w:t xml:space="preserve">ase file </w:t>
      </w:r>
      <w:r>
        <w:rPr>
          <w:rFonts w:cs="Arial"/>
          <w:szCs w:val="20"/>
        </w:rPr>
        <w:t>produced by NSW Police Force in response to item 2</w:t>
      </w:r>
      <w:r w:rsidRPr="007B0E25">
        <w:rPr>
          <w:rFonts w:cs="Arial"/>
          <w:szCs w:val="20"/>
        </w:rPr>
        <w:t xml:space="preserve">(j) of </w:t>
      </w:r>
      <w:r>
        <w:rPr>
          <w:rFonts w:cs="Arial"/>
          <w:szCs w:val="20"/>
        </w:rPr>
        <w:t>Law Enforcement Conduct Commission Notice 929 of 2018, COPS event record for 6 October 2015;</w:t>
      </w:r>
      <w:r w:rsidRPr="007B0E25">
        <w:rPr>
          <w:rFonts w:cs="Arial"/>
          <w:szCs w:val="20"/>
        </w:rPr>
        <w:t xml:space="preserve"> </w:t>
      </w:r>
      <w:r>
        <w:rPr>
          <w:rFonts w:cs="Arial"/>
          <w:szCs w:val="20"/>
        </w:rPr>
        <w:t>Mr NN, CPR c</w:t>
      </w:r>
      <w:r w:rsidRPr="007B0E25">
        <w:rPr>
          <w:rFonts w:cs="Arial"/>
          <w:szCs w:val="20"/>
        </w:rPr>
        <w:t xml:space="preserve">ase file </w:t>
      </w:r>
      <w:r>
        <w:rPr>
          <w:rFonts w:cs="Arial"/>
          <w:szCs w:val="20"/>
        </w:rPr>
        <w:t>produced by NSW Police Force in r</w:t>
      </w:r>
      <w:r w:rsidRPr="007B0E25">
        <w:rPr>
          <w:rFonts w:cs="Arial"/>
          <w:szCs w:val="20"/>
        </w:rPr>
        <w:t xml:space="preserve">esponse to item 2(h) of </w:t>
      </w:r>
      <w:r>
        <w:rPr>
          <w:rFonts w:cs="Arial"/>
          <w:szCs w:val="20"/>
        </w:rPr>
        <w:t>Law Enforcement Conduct Commission Notice 929 of 2018, and COPS intel records for 12 March 2013, 1 October 2014 and 15 June 2016</w:t>
      </w:r>
      <w:r w:rsidRPr="007B0E25">
        <w:rPr>
          <w:rFonts w:cs="Arial"/>
          <w:szCs w:val="20"/>
        </w:rPr>
        <w:t>.</w:t>
      </w:r>
    </w:p>
  </w:footnote>
  <w:footnote w:id="134">
    <w:p w14:paraId="62722A5A" w14:textId="48BAA08E" w:rsidR="0042789D" w:rsidRPr="008142A6" w:rsidRDefault="0042789D" w:rsidP="008142A6">
      <w:pPr>
        <w:spacing w:before="60" w:after="60" w:line="240" w:lineRule="auto"/>
        <w:rPr>
          <w:b/>
          <w:sz w:val="20"/>
        </w:rPr>
      </w:pPr>
      <w:r w:rsidRPr="008142A6">
        <w:rPr>
          <w:rStyle w:val="FootnoteReference"/>
          <w:sz w:val="20"/>
        </w:rPr>
        <w:footnoteRef/>
      </w:r>
      <w:r w:rsidRPr="008142A6">
        <w:rPr>
          <w:sz w:val="20"/>
        </w:rPr>
        <w:t xml:space="preserve"> </w:t>
      </w:r>
      <w:r w:rsidRPr="008142A6">
        <w:rPr>
          <w:rFonts w:cs="Arial"/>
          <w:sz w:val="20"/>
          <w:szCs w:val="20"/>
        </w:rPr>
        <w:t xml:space="preserve">Mr CC, CPR case file produced by </w:t>
      </w:r>
      <w:r>
        <w:rPr>
          <w:rFonts w:cs="Arial"/>
          <w:sz w:val="20"/>
          <w:szCs w:val="20"/>
        </w:rPr>
        <w:t>NSW Police Force</w:t>
      </w:r>
      <w:r w:rsidRPr="008142A6">
        <w:rPr>
          <w:rFonts w:cs="Arial"/>
          <w:sz w:val="20"/>
          <w:szCs w:val="20"/>
        </w:rPr>
        <w:t xml:space="preserve"> in response to item 2(p) of </w:t>
      </w:r>
      <w:r>
        <w:rPr>
          <w:rFonts w:cs="Arial"/>
          <w:sz w:val="20"/>
          <w:szCs w:val="20"/>
        </w:rPr>
        <w:t>Law Enforcement Conduct Commission</w:t>
      </w:r>
      <w:r w:rsidRPr="008142A6">
        <w:rPr>
          <w:rFonts w:cs="Arial"/>
          <w:sz w:val="20"/>
          <w:szCs w:val="20"/>
        </w:rPr>
        <w:t xml:space="preserve"> Notice 929 of 2018; Mr DD, CPR case file produced by </w:t>
      </w:r>
      <w:r>
        <w:rPr>
          <w:rFonts w:cs="Arial"/>
          <w:sz w:val="20"/>
          <w:szCs w:val="20"/>
        </w:rPr>
        <w:t>NSW Police Force</w:t>
      </w:r>
      <w:r w:rsidRPr="008142A6">
        <w:rPr>
          <w:rFonts w:cs="Arial"/>
          <w:sz w:val="20"/>
          <w:szCs w:val="20"/>
        </w:rPr>
        <w:t xml:space="preserve"> in response to item 2(e) </w:t>
      </w:r>
      <w:r w:rsidRPr="008142A6">
        <w:rPr>
          <w:sz w:val="20"/>
        </w:rPr>
        <w:t xml:space="preserve">of </w:t>
      </w:r>
      <w:r>
        <w:rPr>
          <w:sz w:val="20"/>
        </w:rPr>
        <w:t>Law Enforcement Conduct Commission</w:t>
      </w:r>
      <w:r w:rsidRPr="008142A6">
        <w:rPr>
          <w:sz w:val="20"/>
        </w:rPr>
        <w:t xml:space="preserve"> Notice 929 of 2018; </w:t>
      </w:r>
      <w:r w:rsidRPr="008142A6">
        <w:rPr>
          <w:rFonts w:cs="Arial"/>
          <w:sz w:val="20"/>
          <w:szCs w:val="20"/>
        </w:rPr>
        <w:t xml:space="preserve">Mr HH, CPR case file produced by </w:t>
      </w:r>
      <w:r>
        <w:rPr>
          <w:rFonts w:cs="Arial"/>
          <w:sz w:val="20"/>
          <w:szCs w:val="20"/>
        </w:rPr>
        <w:t>NSW Police Force</w:t>
      </w:r>
      <w:r w:rsidRPr="008142A6">
        <w:rPr>
          <w:rFonts w:cs="Arial"/>
          <w:sz w:val="20"/>
          <w:szCs w:val="20"/>
        </w:rPr>
        <w:t xml:space="preserve"> in response to </w:t>
      </w:r>
      <w:r w:rsidRPr="008142A6">
        <w:rPr>
          <w:sz w:val="20"/>
        </w:rPr>
        <w:t xml:space="preserve">item 2(j) of </w:t>
      </w:r>
      <w:r>
        <w:rPr>
          <w:sz w:val="20"/>
        </w:rPr>
        <w:t>Law Enforcement Conduct Commission</w:t>
      </w:r>
      <w:r w:rsidRPr="008142A6">
        <w:rPr>
          <w:sz w:val="20"/>
        </w:rPr>
        <w:t xml:space="preserve"> Notice 929 of 2018</w:t>
      </w:r>
      <w:r w:rsidRPr="008142A6">
        <w:rPr>
          <w:rFonts w:cs="Arial"/>
          <w:sz w:val="20"/>
          <w:szCs w:val="20"/>
        </w:rPr>
        <w:t xml:space="preserve">; Mr JJ, CPR case file produced by </w:t>
      </w:r>
      <w:r>
        <w:rPr>
          <w:rFonts w:cs="Arial"/>
          <w:sz w:val="20"/>
          <w:szCs w:val="20"/>
        </w:rPr>
        <w:t>NSW Police Force</w:t>
      </w:r>
      <w:r w:rsidRPr="008142A6">
        <w:rPr>
          <w:rFonts w:cs="Arial"/>
          <w:sz w:val="20"/>
          <w:szCs w:val="20"/>
        </w:rPr>
        <w:t xml:space="preserve"> in response to item 2(k) of </w:t>
      </w:r>
      <w:r>
        <w:rPr>
          <w:rFonts w:cs="Arial"/>
          <w:sz w:val="20"/>
          <w:szCs w:val="20"/>
        </w:rPr>
        <w:t>Law Enforcement Conduct Commission</w:t>
      </w:r>
      <w:r w:rsidRPr="008142A6">
        <w:rPr>
          <w:rFonts w:cs="Arial"/>
          <w:sz w:val="20"/>
          <w:szCs w:val="20"/>
        </w:rPr>
        <w:t xml:space="preserve"> Notice 929 of 2018, and see</w:t>
      </w:r>
      <w:r w:rsidRPr="008142A6">
        <w:rPr>
          <w:rFonts w:cs="Arial"/>
          <w:b/>
          <w:sz w:val="20"/>
          <w:szCs w:val="20"/>
        </w:rPr>
        <w:t xml:space="preserve"> </w:t>
      </w:r>
      <w:r w:rsidRPr="008142A6">
        <w:rPr>
          <w:sz w:val="20"/>
        </w:rPr>
        <w:t>Child Protection Registry</w:t>
      </w:r>
      <w:r w:rsidRPr="008142A6">
        <w:rPr>
          <w:i/>
          <w:sz w:val="20"/>
        </w:rPr>
        <w:t xml:space="preserve">, </w:t>
      </w:r>
      <w:r>
        <w:rPr>
          <w:sz w:val="20"/>
        </w:rPr>
        <w:t>NSW Police Force</w:t>
      </w:r>
      <w:r w:rsidRPr="008142A6">
        <w:rPr>
          <w:sz w:val="20"/>
        </w:rPr>
        <w:t>,</w:t>
      </w:r>
      <w:r w:rsidRPr="008142A6">
        <w:rPr>
          <w:i/>
          <w:sz w:val="20"/>
        </w:rPr>
        <w:t xml:space="preserve"> Application to the Local Court</w:t>
      </w:r>
      <w:r w:rsidRPr="008142A6">
        <w:rPr>
          <w:sz w:val="20"/>
        </w:rPr>
        <w:t xml:space="preserve">, </w:t>
      </w:r>
      <w:r>
        <w:rPr>
          <w:sz w:val="20"/>
        </w:rPr>
        <w:t>NSW Police Force response</w:t>
      </w:r>
      <w:r w:rsidRPr="008142A6">
        <w:rPr>
          <w:sz w:val="20"/>
        </w:rPr>
        <w:t xml:space="preserve"> to item 6 of </w:t>
      </w:r>
      <w:r>
        <w:rPr>
          <w:sz w:val="20"/>
        </w:rPr>
        <w:t>Law Enforcement Conduct Commission</w:t>
      </w:r>
      <w:r w:rsidRPr="008142A6">
        <w:rPr>
          <w:sz w:val="20"/>
        </w:rPr>
        <w:t xml:space="preserve"> Notice 929 of 2017</w:t>
      </w:r>
      <w:r w:rsidRPr="008142A6">
        <w:rPr>
          <w:sz w:val="20"/>
          <w:szCs w:val="20"/>
        </w:rPr>
        <w:t xml:space="preserve">; Mr KK, </w:t>
      </w:r>
      <w:r w:rsidRPr="008142A6">
        <w:rPr>
          <w:rFonts w:cs="Arial"/>
          <w:sz w:val="20"/>
          <w:szCs w:val="20"/>
        </w:rPr>
        <w:t xml:space="preserve">CPR case file produced by </w:t>
      </w:r>
      <w:r>
        <w:rPr>
          <w:rFonts w:cs="Arial"/>
          <w:sz w:val="20"/>
          <w:szCs w:val="20"/>
        </w:rPr>
        <w:t>NSW Police Force</w:t>
      </w:r>
      <w:r w:rsidRPr="008142A6">
        <w:rPr>
          <w:rFonts w:cs="Arial"/>
          <w:sz w:val="20"/>
          <w:szCs w:val="20"/>
        </w:rPr>
        <w:t xml:space="preserve"> in response</w:t>
      </w:r>
      <w:r w:rsidRPr="008142A6">
        <w:rPr>
          <w:rFonts w:cs="Arial"/>
          <w:b/>
          <w:sz w:val="20"/>
          <w:szCs w:val="20"/>
        </w:rPr>
        <w:t xml:space="preserve"> </w:t>
      </w:r>
      <w:r w:rsidRPr="008142A6">
        <w:rPr>
          <w:sz w:val="20"/>
        </w:rPr>
        <w:t xml:space="preserve">to item 2(i) of </w:t>
      </w:r>
      <w:r>
        <w:rPr>
          <w:sz w:val="20"/>
        </w:rPr>
        <w:t>Law Enforcement Conduct Commission</w:t>
      </w:r>
      <w:r w:rsidRPr="008142A6">
        <w:rPr>
          <w:sz w:val="20"/>
        </w:rPr>
        <w:t xml:space="preserve"> Notice 929 of 2018</w:t>
      </w:r>
      <w:r w:rsidRPr="008142A6">
        <w:rPr>
          <w:rFonts w:cs="Arial"/>
          <w:sz w:val="20"/>
          <w:szCs w:val="20"/>
        </w:rPr>
        <w:t>; Mr NN,</w:t>
      </w:r>
      <w:r w:rsidRPr="008142A6">
        <w:rPr>
          <w:rFonts w:cs="Arial"/>
          <w:b/>
          <w:sz w:val="20"/>
          <w:szCs w:val="20"/>
        </w:rPr>
        <w:t xml:space="preserve"> </w:t>
      </w:r>
      <w:r w:rsidRPr="008142A6">
        <w:rPr>
          <w:rFonts w:cs="Arial"/>
          <w:sz w:val="20"/>
          <w:szCs w:val="20"/>
        </w:rPr>
        <w:t xml:space="preserve">CPR case file produced by </w:t>
      </w:r>
      <w:r>
        <w:rPr>
          <w:rFonts w:cs="Arial"/>
          <w:sz w:val="20"/>
          <w:szCs w:val="20"/>
        </w:rPr>
        <w:t>NSW Police Force</w:t>
      </w:r>
      <w:r w:rsidRPr="008142A6">
        <w:rPr>
          <w:rFonts w:cs="Arial"/>
          <w:sz w:val="20"/>
          <w:szCs w:val="20"/>
        </w:rPr>
        <w:t xml:space="preserve"> in response to</w:t>
      </w:r>
      <w:r w:rsidRPr="008142A6">
        <w:rPr>
          <w:sz w:val="20"/>
        </w:rPr>
        <w:t xml:space="preserve"> item 2(h) of </w:t>
      </w:r>
      <w:r>
        <w:rPr>
          <w:sz w:val="20"/>
        </w:rPr>
        <w:t>Law Enforcement Conduct Commission</w:t>
      </w:r>
      <w:r w:rsidRPr="008142A6">
        <w:rPr>
          <w:sz w:val="20"/>
        </w:rPr>
        <w:t xml:space="preserve"> Notice 929 of 2018</w:t>
      </w:r>
      <w:r w:rsidRPr="008142A6">
        <w:rPr>
          <w:rFonts w:cs="Arial"/>
          <w:sz w:val="20"/>
          <w:szCs w:val="20"/>
        </w:rPr>
        <w:t xml:space="preserve">; Mr YY, </w:t>
      </w:r>
      <w:r w:rsidRPr="008142A6">
        <w:rPr>
          <w:sz w:val="20"/>
          <w:szCs w:val="20"/>
        </w:rPr>
        <w:t xml:space="preserve">Email from Child Protection Registry, </w:t>
      </w:r>
      <w:r>
        <w:rPr>
          <w:sz w:val="20"/>
          <w:szCs w:val="20"/>
        </w:rPr>
        <w:t>NSW Police Force</w:t>
      </w:r>
      <w:r w:rsidRPr="008142A6">
        <w:rPr>
          <w:sz w:val="20"/>
          <w:szCs w:val="20"/>
        </w:rPr>
        <w:t xml:space="preserve"> to Office of General Counsel, </w:t>
      </w:r>
      <w:r>
        <w:rPr>
          <w:sz w:val="20"/>
          <w:szCs w:val="20"/>
        </w:rPr>
        <w:t>NSW Police Force</w:t>
      </w:r>
      <w:r w:rsidRPr="008142A6">
        <w:rPr>
          <w:sz w:val="20"/>
          <w:szCs w:val="20"/>
        </w:rPr>
        <w:t xml:space="preserve">, </w:t>
      </w:r>
      <w:r w:rsidRPr="008142A6">
        <w:rPr>
          <w:i/>
          <w:sz w:val="20"/>
          <w:szCs w:val="20"/>
        </w:rPr>
        <w:t>Subject: List of ‘Possible’ litigators re CPR Review</w:t>
      </w:r>
      <w:r w:rsidRPr="008142A6">
        <w:rPr>
          <w:sz w:val="20"/>
          <w:szCs w:val="20"/>
        </w:rPr>
        <w:t xml:space="preserve">, 16 August 2016 (12:19) </w:t>
      </w:r>
      <w:r>
        <w:rPr>
          <w:sz w:val="20"/>
        </w:rPr>
        <w:t>NSW Police Force response</w:t>
      </w:r>
      <w:r w:rsidRPr="008142A6">
        <w:rPr>
          <w:sz w:val="20"/>
        </w:rPr>
        <w:t xml:space="preserve"> to </w:t>
      </w:r>
      <w:r>
        <w:rPr>
          <w:sz w:val="20"/>
        </w:rPr>
        <w:t>Law Enforcement Conduct Commission</w:t>
      </w:r>
      <w:r w:rsidRPr="008142A6">
        <w:rPr>
          <w:sz w:val="20"/>
        </w:rPr>
        <w:t xml:space="preserve"> Notice 977 of 2018 </w:t>
      </w:r>
      <w:r w:rsidRPr="008142A6">
        <w:rPr>
          <w:sz w:val="20"/>
          <w:szCs w:val="20"/>
        </w:rPr>
        <w:t>[fifth case listed in email].</w:t>
      </w:r>
    </w:p>
  </w:footnote>
  <w:footnote w:id="135">
    <w:p w14:paraId="50CFA4E6" w14:textId="12678E6A" w:rsidR="0042789D" w:rsidRPr="00AA480D" w:rsidRDefault="0042789D" w:rsidP="00AA480D">
      <w:pPr>
        <w:pStyle w:val="FootnoteText"/>
      </w:pPr>
      <w:r w:rsidRPr="00AA480D">
        <w:rPr>
          <w:rStyle w:val="FootnoteReference"/>
        </w:rPr>
        <w:footnoteRef/>
      </w:r>
      <w:r w:rsidRPr="00AA480D">
        <w:t xml:space="preserve"> </w:t>
      </w:r>
      <w:r w:rsidRPr="00134808">
        <w:rPr>
          <w:rFonts w:ascii="Gotham Book" w:hAnsi="Gotham Book" w:cs="Arial"/>
        </w:rPr>
        <w:t xml:space="preserve">Mr CC, </w:t>
      </w:r>
      <w:r w:rsidRPr="00134808">
        <w:rPr>
          <w:rFonts w:ascii="Gotham Book" w:hAnsi="Gotham Book"/>
        </w:rPr>
        <w:t xml:space="preserve">Mr DD, </w:t>
      </w:r>
      <w:r w:rsidRPr="00134808">
        <w:rPr>
          <w:rFonts w:ascii="Gotham Book" w:hAnsi="Gotham Book" w:cs="Arial"/>
        </w:rPr>
        <w:t>Mr JJ, Mr KK and Mr YY</w:t>
      </w:r>
      <w:r>
        <w:rPr>
          <w:rFonts w:cs="Arial"/>
        </w:rPr>
        <w:t xml:space="preserve"> </w:t>
      </w:r>
      <w:r w:rsidRPr="00CF5D24">
        <w:rPr>
          <w:rFonts w:cs="Arial"/>
        </w:rPr>
        <w:t>(see references in previous footnote).</w:t>
      </w:r>
      <w:r>
        <w:rPr>
          <w:rFonts w:cs="Arial"/>
        </w:rPr>
        <w:t xml:space="preserve">  </w:t>
      </w:r>
    </w:p>
  </w:footnote>
  <w:footnote w:id="136">
    <w:p w14:paraId="0C5E7B16" w14:textId="4A642085" w:rsidR="0042789D" w:rsidRPr="00D63410" w:rsidRDefault="0042789D">
      <w:pPr>
        <w:pStyle w:val="FootnoteText"/>
      </w:pPr>
      <w:r w:rsidRPr="00D63410">
        <w:rPr>
          <w:rStyle w:val="FootnoteReference"/>
        </w:rPr>
        <w:footnoteRef/>
      </w:r>
      <w:r w:rsidRPr="00D63410">
        <w:t xml:space="preserve"> </w:t>
      </w:r>
      <w:r w:rsidRPr="003E6EC9">
        <w:t xml:space="preserve">Letter from Commissioner of Police, </w:t>
      </w:r>
      <w:r>
        <w:t>NSW Police Force</w:t>
      </w:r>
      <w:r w:rsidRPr="003E6EC9">
        <w:t xml:space="preserve">, to Chief Commissioner, </w:t>
      </w:r>
      <w:r>
        <w:t>Law Enforcement Conduct Commission</w:t>
      </w:r>
      <w:r w:rsidRPr="003E6EC9">
        <w:t>, 30 September 2019,</w:t>
      </w:r>
      <w:r>
        <w:t xml:space="preserve"> p 3</w:t>
      </w:r>
      <w:r w:rsidRPr="003E6EC9">
        <w:t>.</w:t>
      </w:r>
    </w:p>
  </w:footnote>
  <w:footnote w:id="137">
    <w:p w14:paraId="7E1F8C3E" w14:textId="766896A0" w:rsidR="0042789D" w:rsidRPr="0042789D" w:rsidRDefault="0042789D" w:rsidP="00510E34">
      <w:pPr>
        <w:pStyle w:val="FootnoteText"/>
      </w:pPr>
      <w:r w:rsidRPr="005947E1">
        <w:rPr>
          <w:rStyle w:val="FootnoteReference"/>
        </w:rPr>
        <w:footnoteRef/>
      </w:r>
      <w:r w:rsidRPr="005947E1">
        <w:t xml:space="preserve"> These numbers are based on the r</w:t>
      </w:r>
      <w:r>
        <w:t>esults of the NSW Police Force</w:t>
      </w:r>
      <w:r w:rsidRPr="005947E1">
        <w:t xml:space="preserve"> CPR case review (see </w:t>
      </w:r>
      <w:r w:rsidRPr="0042789D">
        <w:t xml:space="preserve">Appendix 1), with slight alteration based on the Commission’s review of two cases (see section 3.5.3) and the results of the process the NSW Police Force undertook in 2019 to identify persons incorrectly determined not to be registrable (see sections 3.4 and 3.5.1). </w:t>
      </w:r>
    </w:p>
  </w:footnote>
  <w:footnote w:id="138">
    <w:p w14:paraId="3DB9A718" w14:textId="550459DA" w:rsidR="0042789D" w:rsidRPr="00D4345C" w:rsidRDefault="0042789D">
      <w:pPr>
        <w:pStyle w:val="FootnoteText"/>
      </w:pPr>
      <w:r w:rsidRPr="0042789D">
        <w:rPr>
          <w:rStyle w:val="FootnoteReference"/>
        </w:rPr>
        <w:footnoteRef/>
      </w:r>
      <w:r w:rsidRPr="0042789D">
        <w:t xml:space="preserve"> Cf. </w:t>
      </w:r>
      <w:r w:rsidRPr="0042789D">
        <w:rPr>
          <w:i/>
        </w:rPr>
        <w:t>Law Enforcement Conduct Commission Act 2016</w:t>
      </w:r>
      <w:r w:rsidRPr="0042789D">
        <w:t xml:space="preserve"> (NSW) s 11(1)(b)(vi).</w:t>
      </w:r>
    </w:p>
  </w:footnote>
  <w:footnote w:id="139">
    <w:p w14:paraId="3CC29FBF" w14:textId="0058ED22" w:rsidR="0042789D" w:rsidRPr="00E06E3C" w:rsidRDefault="0042789D" w:rsidP="00BA6D5F">
      <w:pPr>
        <w:pStyle w:val="FootnoteText"/>
        <w:spacing w:before="60" w:after="60"/>
      </w:pPr>
      <w:r w:rsidRPr="00D4345C">
        <w:rPr>
          <w:rStyle w:val="FootnoteReference"/>
        </w:rPr>
        <w:footnoteRef/>
      </w:r>
      <w:r w:rsidRPr="00D4345C">
        <w:t xml:space="preserve"> </w:t>
      </w:r>
      <w:r w:rsidRPr="00D4345C">
        <w:rPr>
          <w:i/>
        </w:rPr>
        <w:t>Form 3</w:t>
      </w:r>
      <w:r w:rsidRPr="00D4345C">
        <w:t xml:space="preserve">, 29 January 2002, and Child Protection Registry, </w:t>
      </w:r>
      <w:r>
        <w:t>NSW Police Force</w:t>
      </w:r>
      <w:r w:rsidRPr="00D4345C">
        <w:t xml:space="preserve">, </w:t>
      </w:r>
      <w:r w:rsidRPr="00D4345C">
        <w:rPr>
          <w:i/>
        </w:rPr>
        <w:t>Request for advice from Office of General Counsel surrounding the annulment of convictions for persons placed erroneously on the Child Protection Register (CPR)</w:t>
      </w:r>
      <w:r w:rsidRPr="00D4345C">
        <w:t xml:space="preserve">, 11 August 2016, D/2016/438915, both </w:t>
      </w:r>
      <w:r>
        <w:t xml:space="preserve">documents </w:t>
      </w:r>
      <w:r w:rsidRPr="00D4345C">
        <w:t xml:space="preserve">contained in </w:t>
      </w:r>
      <w:r>
        <w:t>NSW Police Force</w:t>
      </w:r>
      <w:r w:rsidRPr="00D4345C">
        <w:t xml:space="preserve"> response to item 2(p) of </w:t>
      </w:r>
      <w:r>
        <w:t>Law Enforcement Conduct Commission</w:t>
      </w:r>
      <w:r w:rsidRPr="00D4345C">
        <w:t xml:space="preserve"> Notice 929 of 2018; </w:t>
      </w:r>
      <w:r w:rsidRPr="00D4345C">
        <w:rPr>
          <w:i/>
        </w:rPr>
        <w:t>Form 3</w:t>
      </w:r>
      <w:r w:rsidRPr="00D4345C">
        <w:t xml:space="preserve">, 27 June 2002, </w:t>
      </w:r>
      <w:r w:rsidRPr="00D4345C">
        <w:rPr>
          <w:i/>
        </w:rPr>
        <w:t>Details of Initial Case Creation: Case Number: C23380902</w:t>
      </w:r>
      <w:r w:rsidRPr="00D4345C">
        <w:t xml:space="preserve">, 15 March 2017, and Letter from Sex Crimes Squad, </w:t>
      </w:r>
      <w:r>
        <w:t>NSW Police Force</w:t>
      </w:r>
      <w:r w:rsidRPr="00D4345C">
        <w:t xml:space="preserve">, to Attorney General’s Department, Department of Justice, 7 June 2017, all three documents in </w:t>
      </w:r>
      <w:r>
        <w:t>NSW Police Force</w:t>
      </w:r>
      <w:r w:rsidRPr="00D4345C">
        <w:t xml:space="preserve"> response to item 2(i) of </w:t>
      </w:r>
      <w:r>
        <w:t>Law Enforcement Conduct Commission</w:t>
      </w:r>
      <w:r w:rsidRPr="00D4345C">
        <w:t xml:space="preserve"> Notice 929 of 2018.</w:t>
      </w:r>
    </w:p>
  </w:footnote>
  <w:footnote w:id="140">
    <w:p w14:paraId="1A39387C" w14:textId="1FFF20D2" w:rsidR="0042789D" w:rsidRPr="00CB4F89" w:rsidRDefault="0042789D" w:rsidP="0015039E">
      <w:pPr>
        <w:pStyle w:val="FootnoteText"/>
        <w:tabs>
          <w:tab w:val="left" w:pos="709"/>
        </w:tabs>
      </w:pPr>
      <w:r w:rsidRPr="00CB4F89">
        <w:rPr>
          <w:rStyle w:val="FootnoteReference"/>
        </w:rPr>
        <w:footnoteRef/>
      </w:r>
      <w:r w:rsidRPr="00CB4F89">
        <w:t xml:space="preserve"> Letter from Commissioner of Police, </w:t>
      </w:r>
      <w:r>
        <w:t>NSW Police Force</w:t>
      </w:r>
      <w:r w:rsidRPr="00CB4F89">
        <w:t>, to Chief Commissioner</w:t>
      </w:r>
      <w:r>
        <w:t>, Law Enforcement Conduct Commission, 30 September 2019</w:t>
      </w:r>
      <w:r w:rsidRPr="00CB4F89">
        <w:t xml:space="preserve"> </w:t>
      </w:r>
      <w:r>
        <w:t>(</w:t>
      </w:r>
      <w:r w:rsidRPr="00CB4F89">
        <w:t>Annexure A: Submissions on Proposed Findings</w:t>
      </w:r>
      <w:r>
        <w:t>)</w:t>
      </w:r>
      <w:r w:rsidRPr="00CB4F89">
        <w:t>.</w:t>
      </w:r>
    </w:p>
  </w:footnote>
  <w:footnote w:id="141">
    <w:p w14:paraId="71C877EB" w14:textId="26E75DD7" w:rsidR="0042789D" w:rsidRPr="002C559A" w:rsidRDefault="0042789D" w:rsidP="006649CA">
      <w:pPr>
        <w:pStyle w:val="Footnote"/>
        <w:rPr>
          <w:szCs w:val="20"/>
        </w:rPr>
      </w:pPr>
      <w:r w:rsidRPr="006649CA">
        <w:rPr>
          <w:rStyle w:val="FootnoteReference"/>
          <w:szCs w:val="20"/>
        </w:rPr>
        <w:footnoteRef/>
      </w:r>
      <w:r w:rsidRPr="006649CA">
        <w:rPr>
          <w:szCs w:val="20"/>
        </w:rPr>
        <w:t xml:space="preserve"> For a </w:t>
      </w:r>
      <w:r w:rsidRPr="002C559A">
        <w:rPr>
          <w:szCs w:val="20"/>
        </w:rPr>
        <w:t xml:space="preserve">discussion of this case file see Example 8 </w:t>
      </w:r>
      <w:r>
        <w:rPr>
          <w:szCs w:val="20"/>
        </w:rPr>
        <w:t>in</w:t>
      </w:r>
      <w:r w:rsidRPr="002C559A">
        <w:rPr>
          <w:szCs w:val="20"/>
        </w:rPr>
        <w:t xml:space="preserve"> Appendix 2</w:t>
      </w:r>
      <w:r>
        <w:rPr>
          <w:szCs w:val="20"/>
        </w:rPr>
        <w:t xml:space="preserve"> (in part 6.3)</w:t>
      </w:r>
      <w:r w:rsidRPr="002C559A">
        <w:rPr>
          <w:szCs w:val="20"/>
        </w:rPr>
        <w:t>.</w:t>
      </w:r>
    </w:p>
  </w:footnote>
  <w:footnote w:id="142">
    <w:p w14:paraId="418A6BAA" w14:textId="606AB59F" w:rsidR="0042789D" w:rsidRPr="002C559A" w:rsidRDefault="0042789D" w:rsidP="006649CA">
      <w:pPr>
        <w:pStyle w:val="Footnote"/>
        <w:rPr>
          <w:szCs w:val="20"/>
        </w:rPr>
      </w:pPr>
      <w:r w:rsidRPr="002C559A">
        <w:rPr>
          <w:rStyle w:val="FootnoteReference"/>
          <w:szCs w:val="20"/>
        </w:rPr>
        <w:footnoteRef/>
      </w:r>
      <w:r w:rsidRPr="002C559A">
        <w:rPr>
          <w:szCs w:val="20"/>
        </w:rPr>
        <w:t xml:space="preserve"> See Chapter </w:t>
      </w:r>
      <w:r w:rsidRPr="002C559A">
        <w:rPr>
          <w:szCs w:val="20"/>
        </w:rPr>
        <w:fldChar w:fldCharType="begin"/>
      </w:r>
      <w:r w:rsidRPr="002C559A">
        <w:rPr>
          <w:szCs w:val="20"/>
        </w:rPr>
        <w:instrText xml:space="preserve"> REF _Ref9350149 \r \h  \* MERGEFORMAT </w:instrText>
      </w:r>
      <w:r w:rsidRPr="002C559A">
        <w:rPr>
          <w:szCs w:val="20"/>
        </w:rPr>
      </w:r>
      <w:r w:rsidRPr="002C559A">
        <w:rPr>
          <w:szCs w:val="20"/>
        </w:rPr>
        <w:fldChar w:fldCharType="separate"/>
      </w:r>
      <w:r w:rsidR="00022664">
        <w:rPr>
          <w:rFonts w:hint="cs"/>
          <w:szCs w:val="20"/>
          <w:cs/>
        </w:rPr>
        <w:t>‎</w:t>
      </w:r>
      <w:r w:rsidR="00022664">
        <w:rPr>
          <w:szCs w:val="20"/>
        </w:rPr>
        <w:t>6</w:t>
      </w:r>
      <w:r w:rsidRPr="002C559A">
        <w:rPr>
          <w:szCs w:val="20"/>
        </w:rPr>
        <w:fldChar w:fldCharType="end"/>
      </w:r>
      <w:r w:rsidRPr="002C559A">
        <w:rPr>
          <w:szCs w:val="20"/>
        </w:rPr>
        <w:t>.</w:t>
      </w:r>
    </w:p>
  </w:footnote>
  <w:footnote w:id="143">
    <w:p w14:paraId="76514075" w14:textId="1BB4D005" w:rsidR="0042789D" w:rsidRPr="006649CA" w:rsidRDefault="0042789D" w:rsidP="006649CA">
      <w:pPr>
        <w:pStyle w:val="Footnote"/>
        <w:rPr>
          <w:szCs w:val="20"/>
        </w:rPr>
      </w:pPr>
      <w:r w:rsidRPr="002C559A">
        <w:rPr>
          <w:rStyle w:val="FootnoteReference"/>
          <w:szCs w:val="20"/>
        </w:rPr>
        <w:footnoteRef/>
      </w:r>
      <w:r w:rsidRPr="002C559A">
        <w:rPr>
          <w:szCs w:val="20"/>
        </w:rPr>
        <w:t xml:space="preserve"> See Chapter </w:t>
      </w:r>
      <w:r w:rsidRPr="002C559A">
        <w:rPr>
          <w:szCs w:val="20"/>
        </w:rPr>
        <w:fldChar w:fldCharType="begin"/>
      </w:r>
      <w:r w:rsidRPr="002C559A">
        <w:rPr>
          <w:szCs w:val="20"/>
        </w:rPr>
        <w:instrText xml:space="preserve"> REF _Ref9350160 \r \h  \* MERGEFORMAT </w:instrText>
      </w:r>
      <w:r w:rsidRPr="002C559A">
        <w:rPr>
          <w:szCs w:val="20"/>
        </w:rPr>
      </w:r>
      <w:r w:rsidRPr="002C559A">
        <w:rPr>
          <w:szCs w:val="20"/>
        </w:rPr>
        <w:fldChar w:fldCharType="separate"/>
      </w:r>
      <w:r w:rsidR="00022664">
        <w:rPr>
          <w:rFonts w:hint="cs"/>
          <w:szCs w:val="20"/>
          <w:cs/>
        </w:rPr>
        <w:t>‎</w:t>
      </w:r>
      <w:r w:rsidR="00022664">
        <w:rPr>
          <w:szCs w:val="20"/>
        </w:rPr>
        <w:t>7</w:t>
      </w:r>
      <w:r w:rsidRPr="002C559A">
        <w:rPr>
          <w:szCs w:val="20"/>
        </w:rPr>
        <w:fldChar w:fldCharType="end"/>
      </w:r>
      <w:r w:rsidRPr="002C559A">
        <w:rPr>
          <w:szCs w:val="20"/>
        </w:rPr>
        <w:t>.</w:t>
      </w:r>
    </w:p>
  </w:footnote>
  <w:footnote w:id="144">
    <w:p w14:paraId="12D853FD" w14:textId="668E7182" w:rsidR="0042789D" w:rsidRPr="006649CA" w:rsidRDefault="0042789D" w:rsidP="00025C48">
      <w:pPr>
        <w:spacing w:before="60" w:after="60" w:line="240" w:lineRule="auto"/>
        <w:rPr>
          <w:sz w:val="20"/>
          <w:szCs w:val="20"/>
        </w:rPr>
      </w:pPr>
      <w:r w:rsidRPr="006649CA">
        <w:rPr>
          <w:rStyle w:val="FootnoteReference"/>
          <w:sz w:val="20"/>
          <w:szCs w:val="20"/>
        </w:rPr>
        <w:footnoteRef/>
      </w:r>
      <w:r w:rsidRPr="006649CA">
        <w:rPr>
          <w:sz w:val="20"/>
          <w:szCs w:val="20"/>
        </w:rPr>
        <w:t xml:space="preserve"> Workforce Intelligence Unit, Human Resources Command, </w:t>
      </w:r>
      <w:r>
        <w:rPr>
          <w:sz w:val="20"/>
          <w:szCs w:val="20"/>
        </w:rPr>
        <w:t>NSW Police Force</w:t>
      </w:r>
      <w:r w:rsidRPr="006649CA">
        <w:rPr>
          <w:sz w:val="20"/>
          <w:szCs w:val="20"/>
        </w:rPr>
        <w:t xml:space="preserve">, </w:t>
      </w:r>
      <w:r w:rsidRPr="006649CA">
        <w:rPr>
          <w:i/>
          <w:sz w:val="20"/>
          <w:szCs w:val="20"/>
        </w:rPr>
        <w:t>HR Analysis: Child Protection Register Staffing Review</w:t>
      </w:r>
      <w:r w:rsidRPr="006649CA">
        <w:rPr>
          <w:sz w:val="20"/>
          <w:szCs w:val="20"/>
        </w:rPr>
        <w:t xml:space="preserve">, 20 July 2017, D/2017/630614, </w:t>
      </w:r>
      <w:r>
        <w:rPr>
          <w:sz w:val="20"/>
          <w:szCs w:val="20"/>
        </w:rPr>
        <w:t>NSW Police Force response</w:t>
      </w:r>
      <w:r w:rsidRPr="006649CA">
        <w:rPr>
          <w:sz w:val="20"/>
          <w:szCs w:val="20"/>
        </w:rPr>
        <w:t xml:space="preserve"> to item 1 of </w:t>
      </w:r>
      <w:r>
        <w:rPr>
          <w:sz w:val="20"/>
          <w:szCs w:val="20"/>
        </w:rPr>
        <w:t xml:space="preserve">Law Enforcement Conduct Commission Notice 929 of 2017, Recommendation 9. </w:t>
      </w:r>
      <w:r w:rsidRPr="006649CA">
        <w:rPr>
          <w:sz w:val="20"/>
          <w:szCs w:val="20"/>
        </w:rPr>
        <w:t xml:space="preserve"> </w:t>
      </w:r>
    </w:p>
  </w:footnote>
  <w:footnote w:id="145">
    <w:p w14:paraId="51954CFF" w14:textId="699A4094" w:rsidR="0042789D" w:rsidRPr="00FC214F" w:rsidRDefault="0042789D" w:rsidP="00656EE0">
      <w:pPr>
        <w:pStyle w:val="FootnoteText"/>
        <w:spacing w:before="60" w:after="60"/>
      </w:pPr>
      <w:r w:rsidRPr="00656EE0">
        <w:rPr>
          <w:rStyle w:val="FootnoteReference"/>
        </w:rPr>
        <w:footnoteRef/>
      </w:r>
      <w:r w:rsidRPr="00656EE0">
        <w:t xml:space="preserve"> See </w:t>
      </w:r>
      <w:r w:rsidRPr="00FC214F">
        <w:t xml:space="preserve">Chapter 5 section </w:t>
      </w:r>
      <w:r w:rsidRPr="00FC214F">
        <w:fldChar w:fldCharType="begin"/>
      </w:r>
      <w:r w:rsidRPr="00FC214F">
        <w:instrText xml:space="preserve"> REF _Ref9351951 \r \h  \* MERGEFORMAT </w:instrText>
      </w:r>
      <w:r w:rsidRPr="00FC214F">
        <w:fldChar w:fldCharType="separate"/>
      </w:r>
      <w:r w:rsidR="00022664">
        <w:rPr>
          <w:rFonts w:hint="cs"/>
          <w:cs/>
        </w:rPr>
        <w:t>‎</w:t>
      </w:r>
      <w:r w:rsidR="00022664">
        <w:t>5.4.1</w:t>
      </w:r>
      <w:r w:rsidRPr="00FC214F">
        <w:fldChar w:fldCharType="end"/>
      </w:r>
      <w:r w:rsidRPr="00FC214F">
        <w:t>.</w:t>
      </w:r>
    </w:p>
  </w:footnote>
  <w:footnote w:id="146">
    <w:p w14:paraId="0907EA59" w14:textId="75CDF321" w:rsidR="0042789D" w:rsidRPr="00696B85" w:rsidRDefault="0042789D">
      <w:pPr>
        <w:pStyle w:val="FootnoteText"/>
      </w:pPr>
      <w:r w:rsidRPr="00FC214F">
        <w:rPr>
          <w:rStyle w:val="FootnoteReference"/>
        </w:rPr>
        <w:footnoteRef/>
      </w:r>
      <w:r w:rsidRPr="00FC214F">
        <w:t xml:space="preserve"> This includes: the 45 p</w:t>
      </w:r>
      <w:r>
        <w:t>ersons</w:t>
      </w:r>
      <w:r w:rsidRPr="00FC214F">
        <w:t xml:space="preserve"> who the CPR case review identified should not have been placed on the Register, minus the one person in this category who the Commission concluded in fact had been correctly placed on the Register (see section 3.5.3), the 144</w:t>
      </w:r>
      <w:r>
        <w:t xml:space="preserve"> persons whose </w:t>
      </w:r>
      <w:r w:rsidRPr="00FC214F">
        <w:t>reporting period</w:t>
      </w:r>
      <w:r>
        <w:t>s</w:t>
      </w:r>
      <w:r w:rsidRPr="00FC214F">
        <w:t xml:space="preserve"> </w:t>
      </w:r>
      <w:r>
        <w:t>the CPR case review identified had been incorrectly calculated as being</w:t>
      </w:r>
      <w:r w:rsidRPr="00FC214F">
        <w:t xml:space="preserve"> longer than permitted under the CPOR Act, and 89 </w:t>
      </w:r>
      <w:r w:rsidRPr="00FC214F">
        <w:rPr>
          <w:rFonts w:ascii="Gotham Book" w:hAnsi="Gotham Book"/>
        </w:rPr>
        <w:t>pe</w:t>
      </w:r>
      <w:r>
        <w:rPr>
          <w:rFonts w:ascii="Gotham Book" w:hAnsi="Gotham Book"/>
        </w:rPr>
        <w:t>rsons</w:t>
      </w:r>
      <w:r w:rsidRPr="00FC214F">
        <w:rPr>
          <w:rFonts w:ascii="Gotham Book" w:hAnsi="Gotham Book"/>
        </w:rPr>
        <w:t xml:space="preserve"> whose reporting periods were not kept up to date with the law in Queensland: see the discussion in Chapter 4 section 4.10 and the table of CPR case review results in Appendix 1.</w:t>
      </w:r>
    </w:p>
  </w:footnote>
  <w:footnote w:id="147">
    <w:p w14:paraId="739D2A25" w14:textId="2E9B5023" w:rsidR="0042789D" w:rsidRDefault="0042789D">
      <w:pPr>
        <w:pStyle w:val="FootnoteText"/>
      </w:pPr>
      <w:r>
        <w:rPr>
          <w:rStyle w:val="FootnoteReference"/>
        </w:rPr>
        <w:footnoteRef/>
      </w:r>
      <w:r>
        <w:t xml:space="preserve"> </w:t>
      </w:r>
      <w:r w:rsidRPr="00CB4F89">
        <w:t xml:space="preserve">Letter from Commissioner of Police, </w:t>
      </w:r>
      <w:r>
        <w:t>NSW Police Force</w:t>
      </w:r>
      <w:r w:rsidRPr="00CB4F89">
        <w:t>, to Chief Commis</w:t>
      </w:r>
      <w:r>
        <w:t>sioner, Law Enforcement Conduct Commission, 30 September 2019</w:t>
      </w:r>
      <w:r w:rsidRPr="00CB4F89">
        <w:t xml:space="preserve"> </w:t>
      </w:r>
      <w:r>
        <w:t>(</w:t>
      </w:r>
      <w:r w:rsidRPr="00CB4F89">
        <w:t>Annexure A: Submissions on Proposed Findings</w:t>
      </w:r>
      <w:r>
        <w:t>) p 4.</w:t>
      </w:r>
    </w:p>
  </w:footnote>
  <w:footnote w:id="148">
    <w:p w14:paraId="79A9A6E4" w14:textId="5BBA5E62" w:rsidR="0042789D" w:rsidRPr="007B0E25" w:rsidRDefault="0042789D" w:rsidP="002F451D">
      <w:pPr>
        <w:pStyle w:val="Footnote"/>
        <w:rPr>
          <w:rFonts w:cs="Arial"/>
          <w:szCs w:val="20"/>
        </w:rPr>
      </w:pPr>
      <w:r w:rsidRPr="007B0E25">
        <w:rPr>
          <w:rStyle w:val="FootnoteReference"/>
          <w:szCs w:val="20"/>
        </w:rPr>
        <w:footnoteRef/>
      </w:r>
      <w:r w:rsidRPr="00A265D5">
        <w:rPr>
          <w:rFonts w:cs="Arial"/>
          <w:szCs w:val="20"/>
        </w:rPr>
        <w:t xml:space="preserve"> </w:t>
      </w:r>
      <w:r>
        <w:rPr>
          <w:rFonts w:ascii="Gotham Book" w:hAnsi="Gotham Book" w:cs="Arial"/>
          <w:szCs w:val="20"/>
        </w:rPr>
        <w:t xml:space="preserve">Mr YY, </w:t>
      </w:r>
      <w:r>
        <w:rPr>
          <w:szCs w:val="20"/>
        </w:rPr>
        <w:t xml:space="preserve">Email from Child Protection Registry, NSW Police Force to Office of General Counsel, NSW Police Force, </w:t>
      </w:r>
      <w:r w:rsidRPr="0027221B">
        <w:rPr>
          <w:i/>
          <w:szCs w:val="20"/>
        </w:rPr>
        <w:t>Subject: List of ‘Possible’ litigators re CPR Review</w:t>
      </w:r>
      <w:r>
        <w:rPr>
          <w:szCs w:val="20"/>
        </w:rPr>
        <w:t xml:space="preserve">, 16 August 2016 (12:19) </w:t>
      </w:r>
      <w:r>
        <w:t xml:space="preserve">NSW Police Force response to Law Enforcement Conduct Commission Notice 977 of 2018 </w:t>
      </w:r>
      <w:r>
        <w:rPr>
          <w:szCs w:val="20"/>
        </w:rPr>
        <w:t>[fifth case listed in email]</w:t>
      </w:r>
      <w:r>
        <w:rPr>
          <w:rFonts w:ascii="Gotham Book" w:hAnsi="Gotham Book" w:cs="Arial"/>
          <w:szCs w:val="20"/>
        </w:rPr>
        <w:t>, COPS event record for 20 November 2014</w:t>
      </w:r>
      <w:r w:rsidRPr="007B0E25">
        <w:rPr>
          <w:rFonts w:ascii="Gotham Book" w:hAnsi="Gotham Book"/>
          <w:szCs w:val="20"/>
        </w:rPr>
        <w:t xml:space="preserve"> and </w:t>
      </w:r>
      <w:r>
        <w:rPr>
          <w:rFonts w:ascii="Gotham Book" w:hAnsi="Gotham Book"/>
          <w:szCs w:val="20"/>
        </w:rPr>
        <w:t>intel record for 30 June 2016;</w:t>
      </w:r>
      <w:r w:rsidRPr="007B0E25">
        <w:rPr>
          <w:rFonts w:cs="Arial"/>
          <w:szCs w:val="20"/>
        </w:rPr>
        <w:t xml:space="preserve"> </w:t>
      </w:r>
      <w:r w:rsidRPr="007927A5">
        <w:rPr>
          <w:rFonts w:ascii="Gotham Book" w:hAnsi="Gotham Book" w:cs="Arial"/>
          <w:szCs w:val="20"/>
        </w:rPr>
        <w:t>Mr HH,</w:t>
      </w:r>
      <w:r>
        <w:rPr>
          <w:rFonts w:ascii="Gotham Book" w:hAnsi="Gotham Book" w:cs="Arial"/>
          <w:b/>
          <w:szCs w:val="20"/>
        </w:rPr>
        <w:t xml:space="preserve"> </w:t>
      </w:r>
      <w:r>
        <w:rPr>
          <w:rFonts w:cs="Arial"/>
          <w:szCs w:val="20"/>
        </w:rPr>
        <w:t>CPR c</w:t>
      </w:r>
      <w:r w:rsidRPr="007B0E25">
        <w:rPr>
          <w:rFonts w:cs="Arial"/>
          <w:szCs w:val="20"/>
        </w:rPr>
        <w:t xml:space="preserve">ase file </w:t>
      </w:r>
      <w:r>
        <w:rPr>
          <w:rFonts w:cs="Arial"/>
          <w:szCs w:val="20"/>
        </w:rPr>
        <w:t>produced by NSW Police Force in r</w:t>
      </w:r>
      <w:r w:rsidRPr="007B0E25">
        <w:rPr>
          <w:rFonts w:cs="Arial"/>
          <w:szCs w:val="20"/>
        </w:rPr>
        <w:t xml:space="preserve">esponse to item 2 (j) of </w:t>
      </w:r>
      <w:r>
        <w:rPr>
          <w:rFonts w:cs="Arial"/>
          <w:szCs w:val="20"/>
        </w:rPr>
        <w:t>Law Enforcement Conduct Commission Notice 929 of 2018, COPS event record for 6 October 2015;</w:t>
      </w:r>
      <w:r w:rsidRPr="007B0E25">
        <w:rPr>
          <w:rFonts w:cs="Arial"/>
          <w:szCs w:val="20"/>
        </w:rPr>
        <w:t xml:space="preserve"> </w:t>
      </w:r>
      <w:r>
        <w:rPr>
          <w:rFonts w:cs="Arial"/>
          <w:szCs w:val="20"/>
        </w:rPr>
        <w:t>Mr NN, CPR c</w:t>
      </w:r>
      <w:r w:rsidRPr="007B0E25">
        <w:rPr>
          <w:rFonts w:cs="Arial"/>
          <w:szCs w:val="20"/>
        </w:rPr>
        <w:t xml:space="preserve">ase file </w:t>
      </w:r>
      <w:r>
        <w:rPr>
          <w:rFonts w:cs="Arial"/>
          <w:szCs w:val="20"/>
        </w:rPr>
        <w:t>produced by NSW Police Force in r</w:t>
      </w:r>
      <w:r w:rsidRPr="007B0E25">
        <w:rPr>
          <w:rFonts w:cs="Arial"/>
          <w:szCs w:val="20"/>
        </w:rPr>
        <w:t xml:space="preserve">esponse to item 2(h) of </w:t>
      </w:r>
      <w:r>
        <w:rPr>
          <w:rFonts w:cs="Arial"/>
          <w:szCs w:val="20"/>
        </w:rPr>
        <w:t>Law Enforcement Conduct Commission Notice 929 of 2018, and COPS intel records for 12 March 2013, 1 October 2014 and 15 June 2016</w:t>
      </w:r>
      <w:r w:rsidRPr="007B0E25">
        <w:rPr>
          <w:rFonts w:cs="Arial"/>
          <w:szCs w:val="20"/>
        </w:rPr>
        <w:t>.</w:t>
      </w:r>
    </w:p>
  </w:footnote>
  <w:footnote w:id="149">
    <w:p w14:paraId="5064A959" w14:textId="24DFA1EB" w:rsidR="0042789D" w:rsidRPr="00FA4B16" w:rsidRDefault="0042789D">
      <w:pPr>
        <w:pStyle w:val="FootnoteText"/>
      </w:pPr>
      <w:r w:rsidRPr="00FA4B16">
        <w:rPr>
          <w:rStyle w:val="FootnoteReference"/>
        </w:rPr>
        <w:footnoteRef/>
      </w:r>
      <w:r w:rsidRPr="00FA4B16">
        <w:t xml:space="preserve"> Letter from Commissioner of Police, </w:t>
      </w:r>
      <w:r>
        <w:t>NSW Police Force</w:t>
      </w:r>
      <w:r w:rsidRPr="00FA4B16">
        <w:t>, to Chief Commis</w:t>
      </w:r>
      <w:r>
        <w:t>sioner, Law Enforcement Conduct Commission, 30 September 2019</w:t>
      </w:r>
      <w:r w:rsidRPr="00FA4B16">
        <w:t xml:space="preserve"> </w:t>
      </w:r>
      <w:r>
        <w:t>(</w:t>
      </w:r>
      <w:r w:rsidRPr="00FA4B16">
        <w:t>Annexure A: Submissions on Proposed Findings</w:t>
      </w:r>
      <w:r>
        <w:t>)</w:t>
      </w:r>
      <w:r w:rsidRPr="00FA4B16">
        <w:t xml:space="preserve"> p 4.</w:t>
      </w:r>
    </w:p>
  </w:footnote>
  <w:footnote w:id="150">
    <w:p w14:paraId="469616CE" w14:textId="5F1C0603" w:rsidR="0042789D" w:rsidRPr="00E06E3C" w:rsidRDefault="0042789D" w:rsidP="00915106">
      <w:pPr>
        <w:pStyle w:val="FootnoteText"/>
      </w:pPr>
      <w:r w:rsidRPr="001B2D50">
        <w:rPr>
          <w:rStyle w:val="FootnoteReference"/>
        </w:rPr>
        <w:footnoteRef/>
      </w:r>
      <w:r w:rsidRPr="001B2D50">
        <w:t xml:space="preserve"> See </w:t>
      </w:r>
      <w:r>
        <w:t xml:space="preserve">the discussion in </w:t>
      </w:r>
      <w:r w:rsidRPr="00E1187D">
        <w:t xml:space="preserve">Chapter </w:t>
      </w:r>
      <w:r w:rsidRPr="00E1187D">
        <w:fldChar w:fldCharType="begin"/>
      </w:r>
      <w:r w:rsidRPr="00E1187D">
        <w:instrText xml:space="preserve"> REF _Ref9350149 \r \h </w:instrText>
      </w:r>
      <w:r>
        <w:instrText xml:space="preserve"> \* MERGEFORMAT </w:instrText>
      </w:r>
      <w:r w:rsidRPr="00E1187D">
        <w:fldChar w:fldCharType="separate"/>
      </w:r>
      <w:r w:rsidR="00022664">
        <w:rPr>
          <w:rFonts w:hint="cs"/>
          <w:cs/>
        </w:rPr>
        <w:t>‎</w:t>
      </w:r>
      <w:r w:rsidR="00022664">
        <w:t>6</w:t>
      </w:r>
      <w:r w:rsidRPr="00E1187D">
        <w:fldChar w:fldCharType="end"/>
      </w:r>
      <w:r w:rsidRPr="00E1187D">
        <w:t xml:space="preserve"> and Appendix 2.</w:t>
      </w:r>
    </w:p>
  </w:footnote>
  <w:footnote w:id="151">
    <w:p w14:paraId="7A1A1045" w14:textId="77777777" w:rsidR="0042789D" w:rsidRPr="00DD40BF" w:rsidRDefault="0042789D" w:rsidP="00F361F3">
      <w:pPr>
        <w:pStyle w:val="FootnoteText"/>
      </w:pPr>
      <w:r w:rsidRPr="00DD40BF">
        <w:rPr>
          <w:rStyle w:val="FootnoteReference"/>
        </w:rPr>
        <w:footnoteRef/>
      </w:r>
      <w:r w:rsidRPr="00DD40BF">
        <w:t xml:space="preserve"> Cf. </w:t>
      </w:r>
      <w:r w:rsidRPr="00DD40BF">
        <w:rPr>
          <w:i/>
        </w:rPr>
        <w:t>Law Enforcement Conduct Commission Act 2016</w:t>
      </w:r>
      <w:r w:rsidRPr="00DD40BF">
        <w:t xml:space="preserve"> (NSW) s 11(1)(b)(i) and (3)(b)(i).</w:t>
      </w:r>
    </w:p>
  </w:footnote>
  <w:footnote w:id="152">
    <w:p w14:paraId="7DA410EC" w14:textId="62DE03ED" w:rsidR="0042789D" w:rsidRDefault="0042789D">
      <w:pPr>
        <w:pStyle w:val="FootnoteText"/>
      </w:pPr>
      <w:r w:rsidRPr="00DD40BF">
        <w:rPr>
          <w:rStyle w:val="FootnoteReference"/>
        </w:rPr>
        <w:footnoteRef/>
      </w:r>
      <w:r w:rsidRPr="00DD40BF">
        <w:t xml:space="preserve"> Letter from Commissioner of Police, </w:t>
      </w:r>
      <w:r>
        <w:t>NSW Police Force</w:t>
      </w:r>
      <w:r w:rsidRPr="00DD40BF">
        <w:t xml:space="preserve">, to Chief Commissioner, </w:t>
      </w:r>
      <w:r>
        <w:t>Law Enforcement Conduct Commission</w:t>
      </w:r>
      <w:r w:rsidRPr="00DD40BF">
        <w:t>, 30 Septem</w:t>
      </w:r>
      <w:r>
        <w:t>ber 2019</w:t>
      </w:r>
      <w:r w:rsidRPr="00DD40BF">
        <w:t xml:space="preserve"> </w:t>
      </w:r>
      <w:r>
        <w:t>(</w:t>
      </w:r>
      <w:r w:rsidRPr="00DD40BF">
        <w:t>Annexure A: Submissions on Proposed Findings</w:t>
      </w:r>
      <w:r>
        <w:t>)</w:t>
      </w:r>
      <w:r w:rsidRPr="00DD40BF">
        <w:t xml:space="preserve"> p 5.</w:t>
      </w:r>
    </w:p>
  </w:footnote>
  <w:footnote w:id="153">
    <w:p w14:paraId="72A676B5" w14:textId="1B128E01" w:rsidR="0042789D" w:rsidRPr="004A3983" w:rsidRDefault="0042789D" w:rsidP="00267B1D">
      <w:pPr>
        <w:spacing w:before="60" w:after="60" w:line="240" w:lineRule="auto"/>
        <w:rPr>
          <w:sz w:val="20"/>
          <w:szCs w:val="20"/>
        </w:rPr>
      </w:pPr>
      <w:r w:rsidRPr="00692CCF">
        <w:rPr>
          <w:rStyle w:val="FootnoteReference"/>
          <w:sz w:val="20"/>
          <w:szCs w:val="20"/>
        </w:rPr>
        <w:footnoteRef/>
      </w:r>
      <w:r w:rsidRPr="00692CCF">
        <w:rPr>
          <w:sz w:val="20"/>
          <w:szCs w:val="20"/>
        </w:rPr>
        <w:t xml:space="preserve"> C</w:t>
      </w:r>
      <w:r>
        <w:rPr>
          <w:sz w:val="20"/>
          <w:szCs w:val="20"/>
        </w:rPr>
        <w:t>OMPASS is the NSW Police Force</w:t>
      </w:r>
      <w:r w:rsidRPr="00692CCF">
        <w:rPr>
          <w:sz w:val="20"/>
          <w:szCs w:val="20"/>
        </w:rPr>
        <w:t xml:space="preserve"> command performance accountability system, which ‘contributes to the assessment and improvement of corporate performance’. COMPASS </w:t>
      </w:r>
      <w:r w:rsidRPr="004A3983">
        <w:rPr>
          <w:sz w:val="20"/>
          <w:szCs w:val="20"/>
        </w:rPr>
        <w:t xml:space="preserve">forums ‘identify emerging risks and trends with organisation-wide consequences’, and ‘contribute to evidence based decision-making and explore how to best achieve corporate objectives from alternative strategies: NSW Police Force, </w:t>
      </w:r>
      <w:r w:rsidRPr="004A3983">
        <w:rPr>
          <w:i/>
          <w:sz w:val="20"/>
          <w:szCs w:val="20"/>
        </w:rPr>
        <w:t>Annual Report 2011-12</w:t>
      </w:r>
      <w:r w:rsidRPr="004A3983">
        <w:rPr>
          <w:sz w:val="20"/>
          <w:szCs w:val="20"/>
        </w:rPr>
        <w:t>, p 13, &lt;</w:t>
      </w:r>
      <w:hyperlink r:id="rId3" w:history="1">
        <w:r w:rsidRPr="0042789D">
          <w:rPr>
            <w:rStyle w:val="Hyperlink"/>
            <w:color w:val="auto"/>
            <w:sz w:val="20"/>
            <w:szCs w:val="20"/>
            <w:u w:val="none"/>
          </w:rPr>
          <w:t>https://www.police.nsw.gov.au/__data/assets/pdf_file/0020/250148/2011-12_NSW_Police_Force_Annual_Report.pdf</w:t>
        </w:r>
      </w:hyperlink>
      <w:r w:rsidRPr="0042789D">
        <w:rPr>
          <w:sz w:val="20"/>
          <w:szCs w:val="20"/>
        </w:rPr>
        <w:t>&gt;.</w:t>
      </w:r>
      <w:r w:rsidRPr="004A3983">
        <w:rPr>
          <w:sz w:val="20"/>
          <w:szCs w:val="20"/>
        </w:rPr>
        <w:t xml:space="preserve"> </w:t>
      </w:r>
    </w:p>
  </w:footnote>
  <w:footnote w:id="154">
    <w:p w14:paraId="7864086A" w14:textId="55887B7B" w:rsidR="0042789D" w:rsidRDefault="0042789D" w:rsidP="00970C45">
      <w:pPr>
        <w:pStyle w:val="Footnote"/>
      </w:pPr>
      <w:r w:rsidRPr="004A3983">
        <w:rPr>
          <w:rStyle w:val="FootnoteReference"/>
          <w:szCs w:val="20"/>
        </w:rPr>
        <w:footnoteRef/>
      </w:r>
      <w:r w:rsidRPr="004A3983">
        <w:rPr>
          <w:szCs w:val="20"/>
        </w:rPr>
        <w:t xml:space="preserve"> </w:t>
      </w:r>
      <w:r w:rsidRPr="004A3983">
        <w:t xml:space="preserve">Manager, Child Protection Registry, NSW Police Force, </w:t>
      </w:r>
      <w:r w:rsidRPr="004A3983">
        <w:rPr>
          <w:i/>
        </w:rPr>
        <w:t>Management of the Child Protection Register in New South Wales: Michael O’Brien Scholarship 2017</w:t>
      </w:r>
      <w:r w:rsidRPr="004A3983">
        <w:t xml:space="preserve"> (2018), NSW Police Force</w:t>
      </w:r>
      <w:r>
        <w:t xml:space="preserve"> response to item 1 of Law Enforcement Conduct Commission Notice 929 of 2018</w:t>
      </w:r>
      <w:r w:rsidRPr="00696B74">
        <w:rPr>
          <w:szCs w:val="20"/>
        </w:rPr>
        <w:t xml:space="preserve">. The Michael O’Brien Memorial Scholarship is awarded to one member of the NSW Police Force each year to provide financial support for overseas study in relation to major criminal investigation or investigative support activities. </w:t>
      </w:r>
    </w:p>
  </w:footnote>
  <w:footnote w:id="155">
    <w:p w14:paraId="5DFACAA1" w14:textId="4AE638B0" w:rsidR="0042789D" w:rsidRPr="00696B74" w:rsidRDefault="0042789D" w:rsidP="00B379BD">
      <w:pPr>
        <w:pStyle w:val="Footnote"/>
        <w:rPr>
          <w:szCs w:val="20"/>
        </w:rPr>
      </w:pPr>
      <w:r w:rsidRPr="00696B74">
        <w:rPr>
          <w:rStyle w:val="FootnoteReference"/>
          <w:szCs w:val="20"/>
        </w:rPr>
        <w:footnoteRef/>
      </w:r>
      <w:r w:rsidRPr="00696B74">
        <w:rPr>
          <w:szCs w:val="20"/>
        </w:rPr>
        <w:t xml:space="preserve"> </w:t>
      </w:r>
      <w:r>
        <w:t>Workforce Intelligence</w:t>
      </w:r>
      <w:r w:rsidRPr="00802C2E">
        <w:t xml:space="preserve"> Unit, </w:t>
      </w:r>
      <w:r>
        <w:t>Human Resources Command, NSW Police Force,</w:t>
      </w:r>
      <w:r w:rsidRPr="00802C2E">
        <w:t xml:space="preserve"> </w:t>
      </w:r>
      <w:r w:rsidRPr="00802C2E">
        <w:rPr>
          <w:i/>
        </w:rPr>
        <w:t>HR Analysis: Child Protection Register Staffing Review</w:t>
      </w:r>
      <w:r w:rsidRPr="00802C2E">
        <w:t xml:space="preserve">, 20 July 2017, D/2017/630614, </w:t>
      </w:r>
      <w:r>
        <w:t>NSW Police Force response</w:t>
      </w:r>
      <w:r w:rsidRPr="00802C2E">
        <w:t xml:space="preserve"> to item 1 of </w:t>
      </w:r>
      <w:r>
        <w:t>Law Enforcement Conduct Commission Notice</w:t>
      </w:r>
      <w:r w:rsidRPr="00802C2E">
        <w:t xml:space="preserve"> 929 of 2017</w:t>
      </w:r>
      <w:r>
        <w:rPr>
          <w:szCs w:val="20"/>
        </w:rPr>
        <w:t>.</w:t>
      </w:r>
    </w:p>
  </w:footnote>
  <w:footnote w:id="156">
    <w:p w14:paraId="7F7068C4" w14:textId="57C99EAC" w:rsidR="0042789D" w:rsidRPr="005D491F" w:rsidRDefault="0042789D" w:rsidP="000E0659">
      <w:pPr>
        <w:pStyle w:val="FootnoteText"/>
      </w:pPr>
      <w:r w:rsidRPr="005D491F">
        <w:rPr>
          <w:rStyle w:val="FootnoteReference"/>
        </w:rPr>
        <w:footnoteRef/>
      </w:r>
      <w:r w:rsidRPr="005D491F">
        <w:t xml:space="preserve"> Letter from Commissioner of Police, </w:t>
      </w:r>
      <w:r>
        <w:t>NSW Police Force</w:t>
      </w:r>
      <w:r w:rsidRPr="005D491F">
        <w:t xml:space="preserve">, to Chief Commissioner, </w:t>
      </w:r>
      <w:r>
        <w:t>Law Enforcement Conduct Commission</w:t>
      </w:r>
      <w:r w:rsidRPr="005D491F">
        <w:t>, 30 September 2019, p 2.</w:t>
      </w:r>
      <w:r>
        <w:t xml:space="preserve"> See the discussion on dedicated officers in Chapter 5 </w:t>
      </w:r>
      <w:r w:rsidRPr="00103CB8">
        <w:t>section 5.6.</w:t>
      </w:r>
    </w:p>
  </w:footnote>
  <w:footnote w:id="157">
    <w:p w14:paraId="7885ACE3" w14:textId="18C1C1E4" w:rsidR="0042789D" w:rsidRDefault="0042789D" w:rsidP="00032C04">
      <w:pPr>
        <w:pStyle w:val="Footnote"/>
      </w:pPr>
      <w:r w:rsidRPr="00566992">
        <w:rPr>
          <w:rStyle w:val="FootnoteReference"/>
          <w:rFonts w:ascii="Gotham Book" w:hAnsi="Gotham Book"/>
        </w:rPr>
        <w:footnoteRef/>
      </w:r>
      <w:r w:rsidRPr="00566992">
        <w:t xml:space="preserve"> The CPR case review identified 45 persons in this category, but the Commission has concluded two Register files it reviewed should not be included in this category: see </w:t>
      </w:r>
      <w:r>
        <w:t xml:space="preserve">Chapter 3 </w:t>
      </w:r>
      <w:r w:rsidRPr="002264B6">
        <w:t xml:space="preserve">section </w:t>
      </w:r>
      <w:r w:rsidRPr="002264B6">
        <w:fldChar w:fldCharType="begin"/>
      </w:r>
      <w:r w:rsidRPr="002264B6">
        <w:instrText xml:space="preserve"> REF _Ref9353448 \r \h </w:instrText>
      </w:r>
      <w:r>
        <w:instrText xml:space="preserve"> \* MERGEFORMAT </w:instrText>
      </w:r>
      <w:r w:rsidRPr="002264B6">
        <w:fldChar w:fldCharType="separate"/>
      </w:r>
      <w:r w:rsidR="00022664">
        <w:rPr>
          <w:rFonts w:hint="cs"/>
          <w:cs/>
        </w:rPr>
        <w:t>‎</w:t>
      </w:r>
      <w:r w:rsidR="00022664">
        <w:t>3.5.3</w:t>
      </w:r>
      <w:r w:rsidRPr="002264B6">
        <w:fldChar w:fldCharType="end"/>
      </w:r>
      <w:r w:rsidRPr="002264B6">
        <w:t>.</w:t>
      </w:r>
    </w:p>
  </w:footnote>
  <w:footnote w:id="158">
    <w:p w14:paraId="5C786A25" w14:textId="51B2530A" w:rsidR="0042789D" w:rsidRPr="003141C4" w:rsidRDefault="0042789D">
      <w:pPr>
        <w:pStyle w:val="FootnoteText"/>
      </w:pPr>
      <w:r w:rsidRPr="003141C4">
        <w:rPr>
          <w:rStyle w:val="FootnoteReference"/>
        </w:rPr>
        <w:footnoteRef/>
      </w:r>
      <w:r w:rsidRPr="003141C4">
        <w:t xml:space="preserve"> </w:t>
      </w:r>
      <w:r w:rsidRPr="003141C4">
        <w:rPr>
          <w:i/>
        </w:rPr>
        <w:t>Law Enforcement Conduct Commission Act 2016</w:t>
      </w:r>
      <w:r w:rsidRPr="003141C4">
        <w:t xml:space="preserve"> (NSW) s 11(1)(b)(i).</w:t>
      </w:r>
    </w:p>
  </w:footnote>
  <w:footnote w:id="159">
    <w:p w14:paraId="2618E749" w14:textId="5EFC56FE" w:rsidR="0042789D" w:rsidRPr="004A3983" w:rsidRDefault="0042789D" w:rsidP="008347E5">
      <w:pPr>
        <w:pStyle w:val="Footnote"/>
      </w:pPr>
      <w:r w:rsidRPr="00676BFB">
        <w:rPr>
          <w:rStyle w:val="FootnoteReference"/>
          <w:rFonts w:ascii="Gotham Book" w:hAnsi="Gotham Book"/>
        </w:rPr>
        <w:footnoteRef/>
      </w:r>
      <w:r w:rsidRPr="00676BFB">
        <w:t xml:space="preserve"> </w:t>
      </w:r>
      <w:r>
        <w:t xml:space="preserve">Child Protection Registry, NSW Police Force, </w:t>
      </w:r>
      <w:r>
        <w:rPr>
          <w:i/>
        </w:rPr>
        <w:t>Request for</w:t>
      </w:r>
      <w:r w:rsidRPr="003671A3">
        <w:rPr>
          <w:i/>
        </w:rPr>
        <w:t xml:space="preserve"> advice from Office of General Counsel surrounding the annul</w:t>
      </w:r>
      <w:r>
        <w:rPr>
          <w:i/>
        </w:rPr>
        <w:t>ment of convictions for persons</w:t>
      </w:r>
      <w:r w:rsidRPr="003671A3">
        <w:rPr>
          <w:i/>
        </w:rPr>
        <w:t xml:space="preserve"> placed erroneously on the </w:t>
      </w:r>
      <w:r w:rsidRPr="004A3983">
        <w:rPr>
          <w:i/>
        </w:rPr>
        <w:t>Child Protection Register (CPR)</w:t>
      </w:r>
      <w:r w:rsidRPr="004A3983">
        <w:t>, 11 August 2016, D/2016/438915, NSW Police Force response to item 2(p) of Law Enforcement Conduct Commission Notice 929 of 2018.</w:t>
      </w:r>
    </w:p>
  </w:footnote>
  <w:footnote w:id="160">
    <w:p w14:paraId="6F56B36F" w14:textId="15648CA2" w:rsidR="0042789D" w:rsidRPr="004A3983" w:rsidRDefault="0042789D" w:rsidP="008347E5">
      <w:pPr>
        <w:pStyle w:val="Footnote"/>
      </w:pPr>
      <w:r w:rsidRPr="004A3983">
        <w:rPr>
          <w:rStyle w:val="FootnoteReference"/>
        </w:rPr>
        <w:footnoteRef/>
      </w:r>
      <w:r w:rsidRPr="004A3983">
        <w:t xml:space="preserve"> NSW Police Force, </w:t>
      </w:r>
      <w:r w:rsidRPr="004A3983">
        <w:rPr>
          <w:i/>
        </w:rPr>
        <w:t>Legal,</w:t>
      </w:r>
      <w:r w:rsidRPr="004A3983">
        <w:t xml:space="preserve"> &lt;</w:t>
      </w:r>
      <w:hyperlink r:id="rId4" w:history="1">
        <w:r w:rsidRPr="004A3983">
          <w:rPr>
            <w:rStyle w:val="Hyperlink"/>
            <w:color w:val="auto"/>
            <w:u w:val="none"/>
          </w:rPr>
          <w:t>https://www.police.nsw.gov.au/about_us/organisational_structure/units/legal</w:t>
        </w:r>
      </w:hyperlink>
      <w:r w:rsidRPr="004A3983">
        <w:t>&gt;.</w:t>
      </w:r>
    </w:p>
  </w:footnote>
  <w:footnote w:id="161">
    <w:p w14:paraId="2C63FFF5" w14:textId="4BA484A9" w:rsidR="0042789D" w:rsidRPr="00C02007" w:rsidRDefault="0042789D">
      <w:pPr>
        <w:pStyle w:val="FootnoteText"/>
      </w:pPr>
      <w:r w:rsidRPr="004A3983">
        <w:rPr>
          <w:rStyle w:val="FootnoteReference"/>
        </w:rPr>
        <w:footnoteRef/>
      </w:r>
      <w:r w:rsidRPr="004A3983">
        <w:t xml:space="preserve"> </w:t>
      </w:r>
      <w:r w:rsidRPr="004A3983">
        <w:rPr>
          <w:rFonts w:cs="Arial"/>
        </w:rPr>
        <w:t>These included the cases the subject of Case Studies 4 and 6 in Chapter 3.</w:t>
      </w:r>
    </w:p>
  </w:footnote>
  <w:footnote w:id="162">
    <w:p w14:paraId="2D2175B8" w14:textId="170619E6" w:rsidR="0042789D" w:rsidRPr="00676BFB" w:rsidRDefault="0042789D" w:rsidP="003B4199">
      <w:pPr>
        <w:pStyle w:val="Footnote"/>
        <w:rPr>
          <w:rFonts w:ascii="Gotham Book" w:hAnsi="Gotham Book"/>
        </w:rPr>
      </w:pPr>
      <w:r w:rsidRPr="00676BFB">
        <w:rPr>
          <w:rStyle w:val="FootnoteReference"/>
          <w:rFonts w:ascii="Gotham Book" w:hAnsi="Gotham Book"/>
        </w:rPr>
        <w:footnoteRef/>
      </w:r>
      <w:r w:rsidRPr="00676BFB">
        <w:rPr>
          <w:rFonts w:ascii="Gotham Book" w:hAnsi="Gotham Book"/>
        </w:rPr>
        <w:t xml:space="preserve"> </w:t>
      </w:r>
      <w:r>
        <w:t xml:space="preserve">Child Protection Registry, NSW Police Force, </w:t>
      </w:r>
      <w:r>
        <w:rPr>
          <w:i/>
        </w:rPr>
        <w:t>Request for</w:t>
      </w:r>
      <w:r w:rsidRPr="003671A3">
        <w:rPr>
          <w:i/>
        </w:rPr>
        <w:t xml:space="preserve"> advice from Office of General Counsel surrounding the annul</w:t>
      </w:r>
      <w:r>
        <w:rPr>
          <w:i/>
        </w:rPr>
        <w:t>ment of convictions for person[s]</w:t>
      </w:r>
      <w:r w:rsidRPr="003671A3">
        <w:rPr>
          <w:i/>
        </w:rPr>
        <w:t xml:space="preserve"> placed erroneously on the Child Protection Register (CPR)</w:t>
      </w:r>
      <w:r>
        <w:t>, 11 August 2016, D/2016/438915, NSW Police Force response to item 2(p) of Law Enforcement Conduct Commission Notice 929 of 2018</w:t>
      </w:r>
      <w:r w:rsidRPr="00676BFB">
        <w:rPr>
          <w:rFonts w:ascii="Gotham Book" w:hAnsi="Gotham Book"/>
        </w:rPr>
        <w:t>.</w:t>
      </w:r>
    </w:p>
  </w:footnote>
  <w:footnote w:id="163">
    <w:p w14:paraId="77ADE4FD" w14:textId="35A0924A" w:rsidR="0042789D" w:rsidRPr="007E14B2" w:rsidRDefault="0042789D" w:rsidP="004C1308">
      <w:pPr>
        <w:pStyle w:val="Footnote"/>
      </w:pPr>
      <w:r w:rsidRPr="00676BFB">
        <w:rPr>
          <w:rStyle w:val="FootnoteReference"/>
          <w:rFonts w:ascii="Gotham Book" w:hAnsi="Gotham Book"/>
        </w:rPr>
        <w:footnoteRef/>
      </w:r>
      <w:r w:rsidRPr="00676BFB">
        <w:t xml:space="preserve"> </w:t>
      </w:r>
      <w:r w:rsidRPr="001C13A7">
        <w:t>O</w:t>
      </w:r>
      <w:r>
        <w:t xml:space="preserve">ffice of the </w:t>
      </w:r>
      <w:r w:rsidRPr="001C13A7">
        <w:t>G</w:t>
      </w:r>
      <w:r>
        <w:t xml:space="preserve">eneral </w:t>
      </w:r>
      <w:r w:rsidRPr="001C13A7">
        <w:t>C</w:t>
      </w:r>
      <w:r>
        <w:t>ounsel</w:t>
      </w:r>
      <w:r w:rsidRPr="001C13A7">
        <w:t>,</w:t>
      </w:r>
      <w:r>
        <w:t xml:space="preserve"> NSW Police Force,</w:t>
      </w:r>
      <w:r w:rsidRPr="001C13A7">
        <w:t xml:space="preserve"> </w:t>
      </w:r>
      <w:r>
        <w:t>[</w:t>
      </w:r>
      <w:r w:rsidRPr="001C13A7">
        <w:t xml:space="preserve">Advice in response to request </w:t>
      </w:r>
      <w:r>
        <w:t>D/2016/438915]</w:t>
      </w:r>
      <w:r w:rsidRPr="001C13A7">
        <w:t xml:space="preserve">, 26 August 2016, </w:t>
      </w:r>
      <w:r>
        <w:t>NSW Police Force response</w:t>
      </w:r>
      <w:r w:rsidRPr="001C13A7">
        <w:t xml:space="preserve"> to </w:t>
      </w:r>
      <w:r>
        <w:t>Law Enforcement Conduct Commission Notice</w:t>
      </w:r>
      <w:r w:rsidRPr="001C13A7">
        <w:t xml:space="preserve"> 977 of 2018. </w:t>
      </w:r>
    </w:p>
  </w:footnote>
  <w:footnote w:id="164">
    <w:p w14:paraId="6536B33F" w14:textId="11BF8644" w:rsidR="0042789D" w:rsidRPr="00676BFB" w:rsidRDefault="0042789D" w:rsidP="004C1308">
      <w:pPr>
        <w:pStyle w:val="Footnote"/>
      </w:pPr>
      <w:r w:rsidRPr="00112C73">
        <w:rPr>
          <w:rStyle w:val="FootnoteReference"/>
          <w:rFonts w:ascii="Gotham Book" w:hAnsi="Gotham Book"/>
        </w:rPr>
        <w:footnoteRef/>
      </w:r>
      <w:r w:rsidRPr="00112C73">
        <w:t xml:space="preserve"> </w:t>
      </w:r>
      <w:r>
        <w:t xml:space="preserve">Comments dated 18 October 2016 on </w:t>
      </w:r>
      <w:r w:rsidRPr="00112C73">
        <w:t>O</w:t>
      </w:r>
      <w:r>
        <w:t xml:space="preserve">ffice of the </w:t>
      </w:r>
      <w:r w:rsidRPr="00112C73">
        <w:t>G</w:t>
      </w:r>
      <w:r>
        <w:t xml:space="preserve">eneral </w:t>
      </w:r>
      <w:r w:rsidRPr="00112C73">
        <w:t>C</w:t>
      </w:r>
      <w:r>
        <w:t>ounsel, NSW Police Force</w:t>
      </w:r>
      <w:r w:rsidRPr="00112C73">
        <w:t xml:space="preserve">, </w:t>
      </w:r>
      <w:r>
        <w:t>[</w:t>
      </w:r>
      <w:r w:rsidRPr="00112C73">
        <w:t xml:space="preserve">Advice in response to request </w:t>
      </w:r>
      <w:r>
        <w:t>D/2016/438915]</w:t>
      </w:r>
      <w:r w:rsidRPr="00112C73">
        <w:t xml:space="preserve">, 26 August 2016, </w:t>
      </w:r>
      <w:r>
        <w:t>NSW Police Force response</w:t>
      </w:r>
      <w:r w:rsidRPr="00112C73">
        <w:t xml:space="preserve"> to </w:t>
      </w:r>
      <w:r>
        <w:t>Law Enforcement Conduct Commission Notice</w:t>
      </w:r>
      <w:r w:rsidRPr="00112C73">
        <w:t xml:space="preserve"> 977 of 2018.</w:t>
      </w:r>
      <w:r>
        <w:t xml:space="preserve"> The Treasury Managed Fund is an insurance</w:t>
      </w:r>
      <w:r>
        <w:rPr>
          <w:lang w:val="en"/>
        </w:rPr>
        <w:t xml:space="preserve"> scheme created by the NSW G</w:t>
      </w:r>
      <w:r w:rsidRPr="00A23F31">
        <w:rPr>
          <w:lang w:val="en"/>
        </w:rPr>
        <w:t>overnment to ins</w:t>
      </w:r>
      <w:r>
        <w:rPr>
          <w:lang w:val="en"/>
        </w:rPr>
        <w:t xml:space="preserve">ure NSW government agencies: insurance and care NSW, </w:t>
      </w:r>
      <w:r w:rsidRPr="0035226C">
        <w:rPr>
          <w:i/>
          <w:lang w:val="en"/>
        </w:rPr>
        <w:t>Treasury Managed Fund</w:t>
      </w:r>
      <w:r>
        <w:rPr>
          <w:lang w:val="en"/>
        </w:rPr>
        <w:t>, 2019, &lt;</w:t>
      </w:r>
      <w:r w:rsidRPr="0035226C">
        <w:rPr>
          <w:lang w:val="en"/>
        </w:rPr>
        <w:t>https://www.icare.nsw.gov.au/government-agencies/our-funds-and-schemes/treasury-managed-fund/</w:t>
      </w:r>
      <w:r>
        <w:rPr>
          <w:lang w:val="en"/>
        </w:rPr>
        <w:t>&gt;.</w:t>
      </w:r>
    </w:p>
  </w:footnote>
  <w:footnote w:id="165">
    <w:p w14:paraId="7E87631B" w14:textId="09E85A64" w:rsidR="0042789D" w:rsidRPr="00DC5208" w:rsidRDefault="0042789D" w:rsidP="004C1308">
      <w:pPr>
        <w:spacing w:before="60" w:after="60" w:line="240" w:lineRule="auto"/>
        <w:rPr>
          <w:sz w:val="20"/>
          <w:szCs w:val="20"/>
        </w:rPr>
      </w:pPr>
      <w:r w:rsidRPr="00DC5208">
        <w:rPr>
          <w:rStyle w:val="FootnoteReference"/>
          <w:rFonts w:ascii="Gotham Book" w:hAnsi="Gotham Book"/>
          <w:sz w:val="20"/>
          <w:szCs w:val="20"/>
        </w:rPr>
        <w:footnoteRef/>
      </w:r>
      <w:r w:rsidRPr="00DC5208">
        <w:rPr>
          <w:sz w:val="20"/>
          <w:szCs w:val="20"/>
        </w:rPr>
        <w:t xml:space="preserve"> </w:t>
      </w:r>
      <w:r w:rsidRPr="00DC5208">
        <w:rPr>
          <w:rFonts w:cs="Arial"/>
          <w:sz w:val="20"/>
          <w:szCs w:val="20"/>
        </w:rPr>
        <w:t xml:space="preserve">Mr CC, CPR case file produced by </w:t>
      </w:r>
      <w:r>
        <w:rPr>
          <w:rFonts w:cs="Arial"/>
          <w:sz w:val="20"/>
          <w:szCs w:val="20"/>
        </w:rPr>
        <w:t>NSW Police Force</w:t>
      </w:r>
      <w:r w:rsidRPr="00DC5208">
        <w:rPr>
          <w:rFonts w:cs="Arial"/>
          <w:sz w:val="20"/>
          <w:szCs w:val="20"/>
        </w:rPr>
        <w:t xml:space="preserve"> in response to item 2(p) of </w:t>
      </w:r>
      <w:r>
        <w:rPr>
          <w:rFonts w:cs="Arial"/>
          <w:sz w:val="20"/>
          <w:szCs w:val="20"/>
        </w:rPr>
        <w:t>Law Enforcement Conduct Commission</w:t>
      </w:r>
      <w:r w:rsidRPr="00DC5208">
        <w:rPr>
          <w:rFonts w:cs="Arial"/>
          <w:sz w:val="20"/>
          <w:szCs w:val="20"/>
        </w:rPr>
        <w:t xml:space="preserve"> Notice 929 of 2018; Mr DD, CPR case file produced by </w:t>
      </w:r>
      <w:r>
        <w:rPr>
          <w:rFonts w:cs="Arial"/>
          <w:sz w:val="20"/>
          <w:szCs w:val="20"/>
        </w:rPr>
        <w:t>NSW Police Force</w:t>
      </w:r>
      <w:r w:rsidRPr="00DC5208">
        <w:rPr>
          <w:rFonts w:cs="Arial"/>
          <w:sz w:val="20"/>
          <w:szCs w:val="20"/>
        </w:rPr>
        <w:t xml:space="preserve"> in response to item 2(e) </w:t>
      </w:r>
      <w:r w:rsidRPr="00DC5208">
        <w:rPr>
          <w:sz w:val="20"/>
          <w:szCs w:val="20"/>
        </w:rPr>
        <w:t xml:space="preserve">of </w:t>
      </w:r>
      <w:r>
        <w:rPr>
          <w:sz w:val="20"/>
          <w:szCs w:val="20"/>
        </w:rPr>
        <w:t>Law Enforcement Conduct Commission</w:t>
      </w:r>
      <w:r w:rsidRPr="00DC5208">
        <w:rPr>
          <w:sz w:val="20"/>
          <w:szCs w:val="20"/>
        </w:rPr>
        <w:t xml:space="preserve"> Notice 929 of 2018; Mr EE, CPR case file produced by </w:t>
      </w:r>
      <w:r>
        <w:rPr>
          <w:sz w:val="20"/>
          <w:szCs w:val="20"/>
        </w:rPr>
        <w:t>NSW Police Force</w:t>
      </w:r>
      <w:r w:rsidRPr="00DC5208">
        <w:rPr>
          <w:sz w:val="20"/>
          <w:szCs w:val="20"/>
        </w:rPr>
        <w:t xml:space="preserve"> in response to item 2(f) of </w:t>
      </w:r>
      <w:r>
        <w:rPr>
          <w:sz w:val="20"/>
          <w:szCs w:val="20"/>
        </w:rPr>
        <w:t>Law Enforcement Conduct Commission</w:t>
      </w:r>
      <w:r w:rsidRPr="00DC5208">
        <w:rPr>
          <w:sz w:val="20"/>
          <w:szCs w:val="20"/>
        </w:rPr>
        <w:t xml:space="preserve"> Notice 929 of 2018; Mr GG, CPR case file produced by </w:t>
      </w:r>
      <w:r>
        <w:rPr>
          <w:sz w:val="20"/>
          <w:szCs w:val="20"/>
        </w:rPr>
        <w:t>NSW Police Force</w:t>
      </w:r>
      <w:r w:rsidRPr="00DC5208">
        <w:rPr>
          <w:sz w:val="20"/>
          <w:szCs w:val="20"/>
        </w:rPr>
        <w:t xml:space="preserve"> in response to item 2(g) of </w:t>
      </w:r>
      <w:r>
        <w:rPr>
          <w:sz w:val="20"/>
          <w:szCs w:val="20"/>
        </w:rPr>
        <w:t>Law Enforcement Conduct Commission</w:t>
      </w:r>
      <w:r w:rsidRPr="00DC5208">
        <w:rPr>
          <w:sz w:val="20"/>
          <w:szCs w:val="20"/>
        </w:rPr>
        <w:t xml:space="preserve"> Notice 929 of 2018; </w:t>
      </w:r>
      <w:r w:rsidRPr="00DC5208">
        <w:rPr>
          <w:rFonts w:cs="Arial"/>
          <w:sz w:val="20"/>
          <w:szCs w:val="20"/>
        </w:rPr>
        <w:t xml:space="preserve">Mr HH, CPR case file produced by </w:t>
      </w:r>
      <w:r>
        <w:rPr>
          <w:rFonts w:cs="Arial"/>
          <w:sz w:val="20"/>
          <w:szCs w:val="20"/>
        </w:rPr>
        <w:t>NSW Police Force</w:t>
      </w:r>
      <w:r w:rsidRPr="00DC5208">
        <w:rPr>
          <w:rFonts w:cs="Arial"/>
          <w:sz w:val="20"/>
          <w:szCs w:val="20"/>
        </w:rPr>
        <w:t xml:space="preserve"> in response to </w:t>
      </w:r>
      <w:r w:rsidRPr="00DC5208">
        <w:rPr>
          <w:sz w:val="20"/>
          <w:szCs w:val="20"/>
        </w:rPr>
        <w:t xml:space="preserve">item 2(j) of </w:t>
      </w:r>
      <w:r>
        <w:rPr>
          <w:sz w:val="20"/>
          <w:szCs w:val="20"/>
        </w:rPr>
        <w:t>Law Enforcement Conduct Commission</w:t>
      </w:r>
      <w:r w:rsidRPr="00DC5208">
        <w:rPr>
          <w:sz w:val="20"/>
          <w:szCs w:val="20"/>
        </w:rPr>
        <w:t xml:space="preserve"> Notice 929 of 2018</w:t>
      </w:r>
      <w:r w:rsidRPr="00DC5208">
        <w:rPr>
          <w:rFonts w:cs="Arial"/>
          <w:sz w:val="20"/>
          <w:szCs w:val="20"/>
        </w:rPr>
        <w:t xml:space="preserve">; Mr JJ, CPR case file produced by </w:t>
      </w:r>
      <w:r>
        <w:rPr>
          <w:rFonts w:cs="Arial"/>
          <w:sz w:val="20"/>
          <w:szCs w:val="20"/>
        </w:rPr>
        <w:t>NSW Police Force</w:t>
      </w:r>
      <w:r w:rsidRPr="00DC5208">
        <w:rPr>
          <w:rFonts w:cs="Arial"/>
          <w:sz w:val="20"/>
          <w:szCs w:val="20"/>
        </w:rPr>
        <w:t xml:space="preserve"> in response to item 2(k) of </w:t>
      </w:r>
      <w:r>
        <w:rPr>
          <w:rFonts w:cs="Arial"/>
          <w:sz w:val="20"/>
          <w:szCs w:val="20"/>
        </w:rPr>
        <w:t>Law Enforcement Conduct Commission</w:t>
      </w:r>
      <w:r w:rsidRPr="00DC5208">
        <w:rPr>
          <w:rFonts w:cs="Arial"/>
          <w:sz w:val="20"/>
          <w:szCs w:val="20"/>
        </w:rPr>
        <w:t xml:space="preserve"> Notice 929 of 2018, and see</w:t>
      </w:r>
      <w:r w:rsidRPr="00DC5208">
        <w:rPr>
          <w:rFonts w:cs="Arial"/>
          <w:b/>
          <w:sz w:val="20"/>
          <w:szCs w:val="20"/>
        </w:rPr>
        <w:t xml:space="preserve"> </w:t>
      </w:r>
      <w:r w:rsidRPr="00DC5208">
        <w:rPr>
          <w:sz w:val="20"/>
          <w:szCs w:val="20"/>
        </w:rPr>
        <w:t>Child Protection Registry</w:t>
      </w:r>
      <w:r w:rsidRPr="00DC5208">
        <w:rPr>
          <w:i/>
          <w:sz w:val="20"/>
          <w:szCs w:val="20"/>
        </w:rPr>
        <w:t xml:space="preserve">, </w:t>
      </w:r>
      <w:r>
        <w:rPr>
          <w:sz w:val="20"/>
          <w:szCs w:val="20"/>
        </w:rPr>
        <w:t>NSW Police Force</w:t>
      </w:r>
      <w:r w:rsidRPr="00DC5208">
        <w:rPr>
          <w:sz w:val="20"/>
          <w:szCs w:val="20"/>
        </w:rPr>
        <w:t>,</w:t>
      </w:r>
      <w:r w:rsidRPr="00DC5208">
        <w:rPr>
          <w:i/>
          <w:sz w:val="20"/>
          <w:szCs w:val="20"/>
        </w:rPr>
        <w:t xml:space="preserve"> Application to the Local Court</w:t>
      </w:r>
      <w:r w:rsidRPr="00DC5208">
        <w:rPr>
          <w:sz w:val="20"/>
          <w:szCs w:val="20"/>
        </w:rPr>
        <w:t xml:space="preserve">, </w:t>
      </w:r>
      <w:r>
        <w:rPr>
          <w:sz w:val="20"/>
          <w:szCs w:val="20"/>
        </w:rPr>
        <w:t>NSW Police Force</w:t>
      </w:r>
      <w:r w:rsidRPr="00DC5208">
        <w:rPr>
          <w:sz w:val="20"/>
          <w:szCs w:val="20"/>
        </w:rPr>
        <w:t xml:space="preserve"> response to item 6 of </w:t>
      </w:r>
      <w:r>
        <w:rPr>
          <w:sz w:val="20"/>
          <w:szCs w:val="20"/>
        </w:rPr>
        <w:t>Law Enforcement Conduct Commission</w:t>
      </w:r>
      <w:r w:rsidRPr="00DC5208">
        <w:rPr>
          <w:sz w:val="20"/>
          <w:szCs w:val="20"/>
        </w:rPr>
        <w:t xml:space="preserve"> Notice 929 of 2017; Mr KK, </w:t>
      </w:r>
      <w:r w:rsidRPr="00DC5208">
        <w:rPr>
          <w:rFonts w:cs="Arial"/>
          <w:sz w:val="20"/>
          <w:szCs w:val="20"/>
        </w:rPr>
        <w:t xml:space="preserve">CPR case file produced by </w:t>
      </w:r>
      <w:r>
        <w:rPr>
          <w:rFonts w:cs="Arial"/>
          <w:sz w:val="20"/>
          <w:szCs w:val="20"/>
        </w:rPr>
        <w:t>NSW Police Force</w:t>
      </w:r>
      <w:r w:rsidRPr="00DC5208">
        <w:rPr>
          <w:rFonts w:cs="Arial"/>
          <w:sz w:val="20"/>
          <w:szCs w:val="20"/>
        </w:rPr>
        <w:t xml:space="preserve"> in response</w:t>
      </w:r>
      <w:r w:rsidRPr="00DC5208">
        <w:rPr>
          <w:rFonts w:cs="Arial"/>
          <w:b/>
          <w:sz w:val="20"/>
          <w:szCs w:val="20"/>
        </w:rPr>
        <w:t xml:space="preserve"> </w:t>
      </w:r>
      <w:r w:rsidRPr="00DC5208">
        <w:rPr>
          <w:sz w:val="20"/>
          <w:szCs w:val="20"/>
        </w:rPr>
        <w:t xml:space="preserve">to item 2(i) of </w:t>
      </w:r>
      <w:r>
        <w:rPr>
          <w:sz w:val="20"/>
          <w:szCs w:val="20"/>
        </w:rPr>
        <w:t>Law Enforcement Conduct Commission</w:t>
      </w:r>
      <w:r w:rsidRPr="00DC5208">
        <w:rPr>
          <w:sz w:val="20"/>
          <w:szCs w:val="20"/>
        </w:rPr>
        <w:t xml:space="preserve"> Notice 929 of 2018</w:t>
      </w:r>
      <w:r w:rsidRPr="00DC5208">
        <w:rPr>
          <w:rFonts w:cs="Arial"/>
          <w:sz w:val="20"/>
          <w:szCs w:val="20"/>
        </w:rPr>
        <w:t>; Mr NN,</w:t>
      </w:r>
      <w:r w:rsidRPr="00DC5208">
        <w:rPr>
          <w:rFonts w:cs="Arial"/>
          <w:b/>
          <w:sz w:val="20"/>
          <w:szCs w:val="20"/>
        </w:rPr>
        <w:t xml:space="preserve"> </w:t>
      </w:r>
      <w:r w:rsidRPr="00DC5208">
        <w:rPr>
          <w:rFonts w:cs="Arial"/>
          <w:sz w:val="20"/>
          <w:szCs w:val="20"/>
        </w:rPr>
        <w:t xml:space="preserve">CPR case file produced by </w:t>
      </w:r>
      <w:r>
        <w:rPr>
          <w:rFonts w:cs="Arial"/>
          <w:sz w:val="20"/>
          <w:szCs w:val="20"/>
        </w:rPr>
        <w:t>NSW Police Force</w:t>
      </w:r>
      <w:r w:rsidRPr="00DC5208">
        <w:rPr>
          <w:rFonts w:cs="Arial"/>
          <w:sz w:val="20"/>
          <w:szCs w:val="20"/>
        </w:rPr>
        <w:t xml:space="preserve"> in response to</w:t>
      </w:r>
      <w:r w:rsidRPr="00DC5208">
        <w:rPr>
          <w:sz w:val="20"/>
          <w:szCs w:val="20"/>
        </w:rPr>
        <w:t xml:space="preserve"> item 2(h) of </w:t>
      </w:r>
      <w:r>
        <w:rPr>
          <w:sz w:val="20"/>
          <w:szCs w:val="20"/>
        </w:rPr>
        <w:t>Law Enforcement Conduct Commission</w:t>
      </w:r>
      <w:r w:rsidRPr="00DC5208">
        <w:rPr>
          <w:sz w:val="20"/>
          <w:szCs w:val="20"/>
        </w:rPr>
        <w:t xml:space="preserve"> Notice 929 of 2018</w:t>
      </w:r>
      <w:r w:rsidRPr="00DC5208">
        <w:rPr>
          <w:rFonts w:cs="Arial"/>
          <w:sz w:val="20"/>
          <w:szCs w:val="20"/>
        </w:rPr>
        <w:t xml:space="preserve">; Mr YY, </w:t>
      </w:r>
      <w:r w:rsidRPr="00DC5208">
        <w:rPr>
          <w:sz w:val="20"/>
          <w:szCs w:val="20"/>
        </w:rPr>
        <w:t xml:space="preserve">Email from Child Protection Registry, </w:t>
      </w:r>
      <w:r>
        <w:rPr>
          <w:sz w:val="20"/>
          <w:szCs w:val="20"/>
        </w:rPr>
        <w:t>NSW Police Force</w:t>
      </w:r>
      <w:r w:rsidRPr="00DC5208">
        <w:rPr>
          <w:sz w:val="20"/>
          <w:szCs w:val="20"/>
        </w:rPr>
        <w:t xml:space="preserve"> to Office of </w:t>
      </w:r>
      <w:r>
        <w:rPr>
          <w:sz w:val="20"/>
          <w:szCs w:val="20"/>
        </w:rPr>
        <w:t xml:space="preserve">the </w:t>
      </w:r>
      <w:r w:rsidRPr="00DC5208">
        <w:rPr>
          <w:sz w:val="20"/>
          <w:szCs w:val="20"/>
        </w:rPr>
        <w:t xml:space="preserve">General Counsel, </w:t>
      </w:r>
      <w:r>
        <w:rPr>
          <w:sz w:val="20"/>
          <w:szCs w:val="20"/>
        </w:rPr>
        <w:t>NSW Police Force</w:t>
      </w:r>
      <w:r w:rsidRPr="00DC5208">
        <w:rPr>
          <w:sz w:val="20"/>
          <w:szCs w:val="20"/>
        </w:rPr>
        <w:t xml:space="preserve">, </w:t>
      </w:r>
      <w:r w:rsidRPr="00DC5208">
        <w:rPr>
          <w:i/>
          <w:sz w:val="20"/>
          <w:szCs w:val="20"/>
        </w:rPr>
        <w:t>Subject: List of ‘Possible’ litigators re CPR Review</w:t>
      </w:r>
      <w:r w:rsidRPr="00DC5208">
        <w:rPr>
          <w:sz w:val="20"/>
          <w:szCs w:val="20"/>
        </w:rPr>
        <w:t xml:space="preserve">, 16 August 2016 (12:19) </w:t>
      </w:r>
      <w:r>
        <w:rPr>
          <w:sz w:val="20"/>
          <w:szCs w:val="20"/>
        </w:rPr>
        <w:t>NSW Police Force</w:t>
      </w:r>
      <w:r w:rsidRPr="00DC5208">
        <w:rPr>
          <w:sz w:val="20"/>
          <w:szCs w:val="20"/>
        </w:rPr>
        <w:t xml:space="preserve"> response to </w:t>
      </w:r>
      <w:r>
        <w:rPr>
          <w:sz w:val="20"/>
          <w:szCs w:val="20"/>
        </w:rPr>
        <w:t>Law Enforcement Conduct Commission</w:t>
      </w:r>
      <w:r w:rsidRPr="00DC5208">
        <w:rPr>
          <w:sz w:val="20"/>
          <w:szCs w:val="20"/>
        </w:rPr>
        <w:t xml:space="preserve"> Notice 977 of 2018 [fifth case listed in email].</w:t>
      </w:r>
    </w:p>
  </w:footnote>
  <w:footnote w:id="166">
    <w:p w14:paraId="210000B3" w14:textId="08E3E433" w:rsidR="0042789D" w:rsidRDefault="0042789D" w:rsidP="004C1308">
      <w:pPr>
        <w:pStyle w:val="Footnote"/>
      </w:pPr>
      <w:r>
        <w:rPr>
          <w:rStyle w:val="FootnoteReference"/>
        </w:rPr>
        <w:footnoteRef/>
      </w:r>
      <w:r>
        <w:t xml:space="preserve"> Law Enforcement Conduct Commission r</w:t>
      </w:r>
      <w:r w:rsidRPr="00306E09">
        <w:t>eview of JusticeLink.</w:t>
      </w:r>
    </w:p>
  </w:footnote>
  <w:footnote w:id="167">
    <w:p w14:paraId="6B502F46" w14:textId="40BCE701" w:rsidR="0042789D" w:rsidRPr="0003360C" w:rsidRDefault="0042789D" w:rsidP="004C1308">
      <w:pPr>
        <w:pStyle w:val="Footnote"/>
        <w:rPr>
          <w:rFonts w:ascii="Gotham Book" w:hAnsi="Gotham Book"/>
          <w:szCs w:val="20"/>
        </w:rPr>
      </w:pPr>
      <w:r w:rsidRPr="0003360C">
        <w:rPr>
          <w:rStyle w:val="FootnoteReference"/>
          <w:rFonts w:ascii="Gotham Book" w:hAnsi="Gotham Book"/>
          <w:szCs w:val="20"/>
        </w:rPr>
        <w:footnoteRef/>
      </w:r>
      <w:r w:rsidRPr="0003360C">
        <w:rPr>
          <w:rFonts w:ascii="Gotham Book" w:hAnsi="Gotham Book"/>
          <w:szCs w:val="20"/>
        </w:rPr>
        <w:t xml:space="preserve"> Child Abuse and Sex Crimes Squad, </w:t>
      </w:r>
      <w:r>
        <w:rPr>
          <w:rFonts w:ascii="Gotham Book" w:hAnsi="Gotham Book"/>
          <w:szCs w:val="20"/>
        </w:rPr>
        <w:t>NSW Police Force</w:t>
      </w:r>
      <w:r w:rsidRPr="0003360C">
        <w:rPr>
          <w:rFonts w:ascii="Gotham Book" w:hAnsi="Gotham Book"/>
          <w:szCs w:val="20"/>
        </w:rPr>
        <w:t xml:space="preserve">, </w:t>
      </w:r>
      <w:r w:rsidRPr="0003360C">
        <w:rPr>
          <w:rFonts w:ascii="Gotham Book" w:hAnsi="Gotham Book"/>
          <w:i/>
          <w:szCs w:val="20"/>
        </w:rPr>
        <w:t>Request from Law Enforcement Conduct Commission (</w:t>
      </w:r>
      <w:r>
        <w:rPr>
          <w:rFonts w:ascii="Gotham Book" w:hAnsi="Gotham Book"/>
          <w:i/>
          <w:szCs w:val="20"/>
        </w:rPr>
        <w:t>Law Enforcement Conduct Commission</w:t>
      </w:r>
      <w:r w:rsidRPr="0003360C">
        <w:rPr>
          <w:rFonts w:ascii="Gotham Book" w:hAnsi="Gotham Book"/>
          <w:i/>
          <w:szCs w:val="20"/>
        </w:rPr>
        <w:t>) for further information regarding annulments of convictions of individual, “Mr YY” in case study in Operation Tusket</w:t>
      </w:r>
      <w:r w:rsidRPr="0003360C">
        <w:rPr>
          <w:rFonts w:ascii="Gotham Book" w:hAnsi="Gotham Book"/>
          <w:szCs w:val="20"/>
        </w:rPr>
        <w:t>, 6 August 2019, D/2019/700337</w:t>
      </w:r>
      <w:r>
        <w:rPr>
          <w:rFonts w:ascii="Gotham Book" w:hAnsi="Gotham Book"/>
          <w:szCs w:val="20"/>
        </w:rPr>
        <w:t xml:space="preserve"> (including attached </w:t>
      </w:r>
      <w:r w:rsidRPr="0003360C">
        <w:rPr>
          <w:rFonts w:ascii="Gotham Book" w:hAnsi="Gotham Book"/>
          <w:szCs w:val="20"/>
        </w:rPr>
        <w:t xml:space="preserve">Letter from Commander, Child Abuse and Sex Crimes Squad, </w:t>
      </w:r>
      <w:r>
        <w:rPr>
          <w:rFonts w:ascii="Gotham Book" w:hAnsi="Gotham Book"/>
          <w:szCs w:val="20"/>
        </w:rPr>
        <w:t>NSW Police Force</w:t>
      </w:r>
      <w:r w:rsidRPr="0003360C">
        <w:rPr>
          <w:rFonts w:ascii="Gotham Book" w:hAnsi="Gotham Book"/>
          <w:szCs w:val="20"/>
        </w:rPr>
        <w:t>, to Attorney-General’s Department, Department of Justice, 20 De</w:t>
      </w:r>
      <w:r>
        <w:rPr>
          <w:rFonts w:ascii="Gotham Book" w:hAnsi="Gotham Book"/>
          <w:szCs w:val="20"/>
        </w:rPr>
        <w:t>cember 2018) provided to the Law Enforcement Conduct Commission by the Professional Standards Command, NSW Police Force on 13 August 2019.</w:t>
      </w:r>
    </w:p>
  </w:footnote>
  <w:footnote w:id="168">
    <w:p w14:paraId="7A4A32E0" w14:textId="5E8559BE" w:rsidR="0042789D" w:rsidRPr="008E09D4" w:rsidRDefault="0042789D" w:rsidP="004C1308">
      <w:pPr>
        <w:pStyle w:val="FootnoteText"/>
        <w:spacing w:before="60" w:after="60"/>
      </w:pPr>
      <w:r w:rsidRPr="008E09D4">
        <w:rPr>
          <w:rStyle w:val="FootnoteReference"/>
        </w:rPr>
        <w:footnoteRef/>
      </w:r>
      <w:r w:rsidRPr="008E09D4">
        <w:t xml:space="preserve"> </w:t>
      </w:r>
      <w:r w:rsidRPr="008E09D4">
        <w:rPr>
          <w:rFonts w:ascii="Gotham Book" w:hAnsi="Gotham Book"/>
          <w:i/>
        </w:rPr>
        <w:t>Crimes (Appeal and Review) Act 2001</w:t>
      </w:r>
      <w:r w:rsidRPr="008E09D4">
        <w:rPr>
          <w:rFonts w:ascii="Gotham Book" w:hAnsi="Gotham Book"/>
        </w:rPr>
        <w:t xml:space="preserve"> (NSW) s 4(2) and s 5.</w:t>
      </w:r>
    </w:p>
  </w:footnote>
  <w:footnote w:id="169">
    <w:p w14:paraId="47C1A056" w14:textId="00006332" w:rsidR="0042789D" w:rsidRPr="004A4533" w:rsidRDefault="0042789D" w:rsidP="004C1308">
      <w:pPr>
        <w:pStyle w:val="FootnoteText"/>
        <w:spacing w:before="60" w:after="60"/>
      </w:pPr>
      <w:r w:rsidRPr="004A4533">
        <w:rPr>
          <w:rStyle w:val="FootnoteReference"/>
        </w:rPr>
        <w:footnoteRef/>
      </w:r>
      <w:r>
        <w:t xml:space="preserve"> </w:t>
      </w:r>
      <w:r w:rsidRPr="0003360C">
        <w:rPr>
          <w:rFonts w:ascii="Gotham Book" w:hAnsi="Gotham Book"/>
        </w:rPr>
        <w:t xml:space="preserve">Child Abuse and Sex Crimes Squad, </w:t>
      </w:r>
      <w:r>
        <w:rPr>
          <w:rFonts w:ascii="Gotham Book" w:hAnsi="Gotham Book"/>
        </w:rPr>
        <w:t>NSW Police Force</w:t>
      </w:r>
      <w:r w:rsidRPr="0003360C">
        <w:rPr>
          <w:rFonts w:ascii="Gotham Book" w:hAnsi="Gotham Book"/>
        </w:rPr>
        <w:t xml:space="preserve">, </w:t>
      </w:r>
      <w:r w:rsidRPr="0003360C">
        <w:rPr>
          <w:rFonts w:ascii="Gotham Book" w:hAnsi="Gotham Book"/>
          <w:i/>
        </w:rPr>
        <w:t>Request from Law Enforcement Conduct Commission (</w:t>
      </w:r>
      <w:r>
        <w:rPr>
          <w:rFonts w:ascii="Gotham Book" w:hAnsi="Gotham Book"/>
          <w:i/>
        </w:rPr>
        <w:t>Law Enforcement Conduct Commission</w:t>
      </w:r>
      <w:r w:rsidRPr="0003360C">
        <w:rPr>
          <w:rFonts w:ascii="Gotham Book" w:hAnsi="Gotham Book"/>
          <w:i/>
        </w:rPr>
        <w:t>) for further information regarding annulments of convictions of individual, “Mr YY” in case study in Operation Tusket</w:t>
      </w:r>
      <w:r w:rsidRPr="0003360C">
        <w:rPr>
          <w:rFonts w:ascii="Gotham Book" w:hAnsi="Gotham Book"/>
        </w:rPr>
        <w:t xml:space="preserve">, 6 </w:t>
      </w:r>
      <w:r w:rsidRPr="0017557B">
        <w:rPr>
          <w:rFonts w:ascii="Gotham Book" w:hAnsi="Gotham Book"/>
        </w:rPr>
        <w:t xml:space="preserve">August 2019, D/2019/700337, provided to </w:t>
      </w:r>
      <w:r>
        <w:rPr>
          <w:rFonts w:ascii="Gotham Book" w:hAnsi="Gotham Book"/>
        </w:rPr>
        <w:t>the Law Enforcement Conduct Commission</w:t>
      </w:r>
      <w:r w:rsidRPr="0017557B">
        <w:rPr>
          <w:rFonts w:ascii="Gotham Book" w:hAnsi="Gotham Book"/>
        </w:rPr>
        <w:t xml:space="preserve"> by the Professional Standards Command, </w:t>
      </w:r>
      <w:r>
        <w:rPr>
          <w:rFonts w:ascii="Gotham Book" w:hAnsi="Gotham Book"/>
        </w:rPr>
        <w:t>NSW Police Force,</w:t>
      </w:r>
      <w:r w:rsidRPr="0017557B">
        <w:rPr>
          <w:rFonts w:ascii="Gotham Book" w:hAnsi="Gotham Book"/>
        </w:rPr>
        <w:t xml:space="preserve"> on 13 August 2019.</w:t>
      </w:r>
    </w:p>
  </w:footnote>
  <w:footnote w:id="170">
    <w:p w14:paraId="63090DC1" w14:textId="1905F7A8" w:rsidR="0042789D" w:rsidRPr="008E09D4" w:rsidRDefault="0042789D" w:rsidP="004C1308">
      <w:pPr>
        <w:pStyle w:val="Footnote"/>
        <w:rPr>
          <w:rFonts w:ascii="Gotham Book" w:hAnsi="Gotham Book"/>
          <w:szCs w:val="20"/>
        </w:rPr>
      </w:pPr>
      <w:r w:rsidRPr="008E09D4">
        <w:rPr>
          <w:rStyle w:val="FootnoteReference"/>
          <w:szCs w:val="20"/>
        </w:rPr>
        <w:footnoteRef/>
      </w:r>
      <w:r w:rsidRPr="008E09D4">
        <w:rPr>
          <w:szCs w:val="20"/>
        </w:rPr>
        <w:t xml:space="preserve"> </w:t>
      </w:r>
      <w:r>
        <w:t xml:space="preserve">Email from Office of the General Counsel, Department of Justice to Child Protection Registry, NSW Police Force, 1 July 2019 (including </w:t>
      </w:r>
      <w:r>
        <w:rPr>
          <w:rFonts w:ascii="Gotham Book" w:hAnsi="Gotham Book"/>
          <w:szCs w:val="20"/>
        </w:rPr>
        <w:t xml:space="preserve">attached </w:t>
      </w:r>
      <w:r>
        <w:t>Letter from Office of the General Counsel, Department of Justice, to Child Abuse and Sex Crimes Squad, NSW Police Force, undated), attachment to</w:t>
      </w:r>
      <w:r>
        <w:rPr>
          <w:rFonts w:ascii="Gotham Book" w:hAnsi="Gotham Book"/>
          <w:szCs w:val="20"/>
        </w:rPr>
        <w:t xml:space="preserve"> </w:t>
      </w:r>
      <w:r w:rsidRPr="0003360C">
        <w:rPr>
          <w:rFonts w:ascii="Gotham Book" w:hAnsi="Gotham Book"/>
          <w:szCs w:val="20"/>
        </w:rPr>
        <w:t xml:space="preserve">Child Abuse and Sex Crimes Squad, </w:t>
      </w:r>
      <w:r>
        <w:rPr>
          <w:rFonts w:ascii="Gotham Book" w:hAnsi="Gotham Book"/>
          <w:szCs w:val="20"/>
        </w:rPr>
        <w:t>NSW Police Force</w:t>
      </w:r>
      <w:r w:rsidRPr="0003360C">
        <w:rPr>
          <w:rFonts w:ascii="Gotham Book" w:hAnsi="Gotham Book"/>
          <w:szCs w:val="20"/>
        </w:rPr>
        <w:t xml:space="preserve">, </w:t>
      </w:r>
      <w:r w:rsidRPr="0003360C">
        <w:rPr>
          <w:rFonts w:ascii="Gotham Book" w:hAnsi="Gotham Book"/>
          <w:i/>
          <w:szCs w:val="20"/>
        </w:rPr>
        <w:t>Request from Law Enforcement Conduct Commission (</w:t>
      </w:r>
      <w:r>
        <w:rPr>
          <w:rFonts w:ascii="Gotham Book" w:hAnsi="Gotham Book"/>
          <w:i/>
          <w:szCs w:val="20"/>
        </w:rPr>
        <w:t>Law Enforcement Conduct Commission</w:t>
      </w:r>
      <w:r w:rsidRPr="0003360C">
        <w:rPr>
          <w:rFonts w:ascii="Gotham Book" w:hAnsi="Gotham Book"/>
          <w:i/>
          <w:szCs w:val="20"/>
        </w:rPr>
        <w:t>) for further information regarding annulments of convictions of individual, “Mr YY” in case study in Operation Tusket</w:t>
      </w:r>
      <w:r w:rsidRPr="0003360C">
        <w:rPr>
          <w:rFonts w:ascii="Gotham Book" w:hAnsi="Gotham Book"/>
          <w:szCs w:val="20"/>
        </w:rPr>
        <w:t>, 6 August 2019, D/2019/700337</w:t>
      </w:r>
      <w:r>
        <w:rPr>
          <w:rFonts w:ascii="Gotham Book" w:hAnsi="Gotham Book"/>
          <w:szCs w:val="20"/>
        </w:rPr>
        <w:t>, provided to the Law Enforcement Conduct Commission by the Professional Standards Command, NSW Police Force on 13 August 2019.</w:t>
      </w:r>
    </w:p>
  </w:footnote>
  <w:footnote w:id="171">
    <w:p w14:paraId="6EE8652F" w14:textId="05C04496" w:rsidR="0042789D" w:rsidRPr="004D1916" w:rsidRDefault="0042789D" w:rsidP="004C1308">
      <w:pPr>
        <w:pStyle w:val="FootnoteText"/>
        <w:spacing w:before="60" w:after="60"/>
      </w:pPr>
      <w:r w:rsidRPr="008E09D4">
        <w:rPr>
          <w:rStyle w:val="FootnoteReference"/>
        </w:rPr>
        <w:footnoteRef/>
      </w:r>
      <w:r>
        <w:t xml:space="preserve"> Law Enforcement Conduct Commission review of JusticeL</w:t>
      </w:r>
      <w:r w:rsidRPr="008E09D4">
        <w:t>ink</w:t>
      </w:r>
      <w:r w:rsidRPr="008E09D4">
        <w:rPr>
          <w:rFonts w:ascii="Gotham Book" w:hAnsi="Gotham Book"/>
        </w:rPr>
        <w:t>.</w:t>
      </w:r>
    </w:p>
  </w:footnote>
  <w:footnote w:id="172">
    <w:p w14:paraId="2EDF5D98" w14:textId="5FC8702C" w:rsidR="0042789D" w:rsidRPr="00D97373" w:rsidRDefault="0042789D" w:rsidP="00DB5091">
      <w:pPr>
        <w:pStyle w:val="Footnote"/>
      </w:pPr>
      <w:r w:rsidRPr="00D97373">
        <w:rPr>
          <w:rStyle w:val="FootnoteReference"/>
          <w:rFonts w:ascii="Gotham Book" w:hAnsi="Gotham Book"/>
          <w:szCs w:val="20"/>
        </w:rPr>
        <w:footnoteRef/>
      </w:r>
      <w:r w:rsidRPr="00D97373">
        <w:t xml:space="preserve"> Child Protection Regis</w:t>
      </w:r>
      <w:r>
        <w:t>t</w:t>
      </w:r>
      <w:r w:rsidRPr="00D97373">
        <w:t>r</w:t>
      </w:r>
      <w:r>
        <w:t>y</w:t>
      </w:r>
      <w:r w:rsidRPr="00D97373">
        <w:t>,</w:t>
      </w:r>
      <w:r>
        <w:t xml:space="preserve"> NSW Police Force,</w:t>
      </w:r>
      <w:r w:rsidRPr="00D97373">
        <w:t xml:space="preserve"> </w:t>
      </w:r>
      <w:r w:rsidRPr="00B253D5">
        <w:rPr>
          <w:i/>
        </w:rPr>
        <w:t>Serious concerns raised regarding the Child Protection Register (CPR) reporting period timeframes and lack of review of matters prior to case finalisation</w:t>
      </w:r>
      <w:r w:rsidRPr="00D97373">
        <w:t xml:space="preserve">, 26 May 2016, D/2016/277899, </w:t>
      </w:r>
      <w:r>
        <w:t>NSW Police Force response</w:t>
      </w:r>
      <w:r w:rsidRPr="00D97373">
        <w:t xml:space="preserve"> to</w:t>
      </w:r>
      <w:r>
        <w:t xml:space="preserve"> item 7 of</w:t>
      </w:r>
      <w:r w:rsidRPr="00D97373">
        <w:t xml:space="preserve"> </w:t>
      </w:r>
      <w:r>
        <w:t>Law Enforcement Conduct Commission Notice</w:t>
      </w:r>
      <w:r w:rsidRPr="00D97373">
        <w:t xml:space="preserve"> 914 of 2017</w:t>
      </w:r>
      <w:r>
        <w:t>,</w:t>
      </w:r>
      <w:r w:rsidRPr="00D97373">
        <w:t xml:space="preserve"> p 7.</w:t>
      </w:r>
      <w:r>
        <w:t xml:space="preserve"> This report is discussed in </w:t>
      </w:r>
      <w:r w:rsidRPr="00ED7961">
        <w:t>Chapter 3.</w:t>
      </w:r>
    </w:p>
  </w:footnote>
  <w:footnote w:id="173">
    <w:p w14:paraId="3FD2482C" w14:textId="158DB0BF" w:rsidR="0042789D" w:rsidRPr="00DB5091" w:rsidRDefault="0042789D" w:rsidP="00DB5091">
      <w:pPr>
        <w:pStyle w:val="Footnote"/>
        <w:rPr>
          <w:rFonts w:ascii="Gotham Book" w:hAnsi="Gotham Book"/>
        </w:rPr>
      </w:pPr>
      <w:r>
        <w:rPr>
          <w:rStyle w:val="FootnoteReference"/>
        </w:rPr>
        <w:footnoteRef/>
      </w:r>
      <w:r>
        <w:t xml:space="preserve"> </w:t>
      </w:r>
      <w:r>
        <w:rPr>
          <w:rFonts w:ascii="Gotham Book" w:hAnsi="Gotham Book"/>
          <w:szCs w:val="20"/>
        </w:rPr>
        <w:t xml:space="preserve">Email </w:t>
      </w:r>
      <w:r>
        <w:rPr>
          <w:rFonts w:ascii="Gotham Book" w:hAnsi="Gotham Book"/>
        </w:rPr>
        <w:t>from Child Protection Registry, NSW Police Force, to Office of the Director of Public Prosecutions</w:t>
      </w:r>
      <w:r w:rsidRPr="00D8496F">
        <w:rPr>
          <w:rFonts w:ascii="Gotham Book" w:hAnsi="Gotham Book"/>
        </w:rPr>
        <w:t xml:space="preserve"> </w:t>
      </w:r>
      <w:r>
        <w:rPr>
          <w:rFonts w:ascii="Gotham Book" w:hAnsi="Gotham Book"/>
        </w:rPr>
        <w:t xml:space="preserve">(NSW), </w:t>
      </w:r>
      <w:r w:rsidRPr="00D8496F">
        <w:rPr>
          <w:rFonts w:ascii="Gotham Book" w:hAnsi="Gotham Book"/>
        </w:rPr>
        <w:t xml:space="preserve">25 May 2016, </w:t>
      </w:r>
      <w:r>
        <w:rPr>
          <w:rFonts w:ascii="Gotham Book" w:hAnsi="Gotham Book"/>
        </w:rPr>
        <w:t>NSW Police Force response</w:t>
      </w:r>
      <w:r w:rsidRPr="00D8496F">
        <w:rPr>
          <w:rFonts w:ascii="Gotham Book" w:hAnsi="Gotham Book"/>
        </w:rPr>
        <w:t xml:space="preserve"> to </w:t>
      </w:r>
      <w:r>
        <w:rPr>
          <w:rFonts w:ascii="Gotham Book" w:hAnsi="Gotham Book"/>
        </w:rPr>
        <w:t>Law Enforcement Conduct Commission Notice</w:t>
      </w:r>
      <w:r w:rsidRPr="00D8496F">
        <w:rPr>
          <w:rFonts w:ascii="Gotham Book" w:hAnsi="Gotham Book"/>
        </w:rPr>
        <w:t xml:space="preserve"> 977 of 2018</w:t>
      </w:r>
      <w:r>
        <w:rPr>
          <w:rFonts w:ascii="Gotham Book" w:hAnsi="Gotham Book"/>
        </w:rPr>
        <w:t>.</w:t>
      </w:r>
    </w:p>
  </w:footnote>
  <w:footnote w:id="174">
    <w:p w14:paraId="10FB8A35" w14:textId="73F8F988" w:rsidR="0042789D" w:rsidRPr="00175455" w:rsidRDefault="0042789D">
      <w:pPr>
        <w:pStyle w:val="FootnoteText"/>
      </w:pPr>
      <w:r w:rsidRPr="00175455">
        <w:rPr>
          <w:rStyle w:val="FootnoteReference"/>
        </w:rPr>
        <w:footnoteRef/>
      </w:r>
      <w:r w:rsidRPr="00175455">
        <w:t xml:space="preserve"> Email from Child Protection Registry, </w:t>
      </w:r>
      <w:r>
        <w:t xml:space="preserve">NSW Police Force, </w:t>
      </w:r>
      <w:r w:rsidRPr="00175455">
        <w:t xml:space="preserve">to Office of the General Counsel (OGC), </w:t>
      </w:r>
      <w:r>
        <w:t>NSW Police Force, NSW Police Force response</w:t>
      </w:r>
      <w:r w:rsidRPr="00175455">
        <w:t xml:space="preserve"> to </w:t>
      </w:r>
      <w:r>
        <w:t>Law Enforcement Conduct Commission Notice</w:t>
      </w:r>
      <w:r w:rsidRPr="00175455">
        <w:t xml:space="preserve"> 977 of 2018.</w:t>
      </w:r>
    </w:p>
  </w:footnote>
  <w:footnote w:id="175">
    <w:p w14:paraId="262EFFB9" w14:textId="0C3ADB9E" w:rsidR="0042789D" w:rsidRPr="00C71893" w:rsidRDefault="0042789D" w:rsidP="00343BD8">
      <w:pPr>
        <w:pStyle w:val="FootnoteText"/>
      </w:pPr>
      <w:r w:rsidRPr="00C71893">
        <w:rPr>
          <w:rStyle w:val="FootnoteReference"/>
        </w:rPr>
        <w:footnoteRef/>
      </w:r>
      <w:r>
        <w:t xml:space="preserve"> </w:t>
      </w:r>
      <w:r w:rsidRPr="00F10894">
        <w:t xml:space="preserve">Email </w:t>
      </w:r>
      <w:r>
        <w:t xml:space="preserve">from Manager, OGC, NSW Police Force, </w:t>
      </w:r>
      <w:r w:rsidRPr="00F10894">
        <w:t xml:space="preserve">to </w:t>
      </w:r>
      <w:r>
        <w:t xml:space="preserve">Manager, OGC, NSW Police Force, 1 July </w:t>
      </w:r>
      <w:r w:rsidRPr="00C00CD5">
        <w:t>2016 (15:13),</w:t>
      </w:r>
      <w:r w:rsidRPr="00C71893">
        <w:t xml:space="preserve"> </w:t>
      </w:r>
      <w:r>
        <w:t>NSW Police Force response</w:t>
      </w:r>
      <w:r w:rsidRPr="00C71893">
        <w:t xml:space="preserve"> to </w:t>
      </w:r>
      <w:r>
        <w:t>Law Enforcement Conduct Commission Notice</w:t>
      </w:r>
      <w:r w:rsidRPr="00C71893">
        <w:t xml:space="preserve"> 977 of 2018.</w:t>
      </w:r>
    </w:p>
  </w:footnote>
  <w:footnote w:id="176">
    <w:p w14:paraId="591570C3" w14:textId="50D212D0" w:rsidR="0042789D" w:rsidRPr="00F278A3" w:rsidRDefault="0042789D">
      <w:pPr>
        <w:pStyle w:val="FootnoteText"/>
      </w:pPr>
      <w:r w:rsidRPr="00F278A3">
        <w:rPr>
          <w:rStyle w:val="FootnoteReference"/>
        </w:rPr>
        <w:footnoteRef/>
      </w:r>
      <w:r w:rsidRPr="00F278A3">
        <w:t xml:space="preserve"> Email from</w:t>
      </w:r>
      <w:r w:rsidRPr="00F278A3">
        <w:rPr>
          <w:rFonts w:ascii="Gotham Book" w:hAnsi="Gotham Book" w:cs="Arial"/>
        </w:rPr>
        <w:t xml:space="preserve"> O</w:t>
      </w:r>
      <w:r>
        <w:rPr>
          <w:rFonts w:ascii="Gotham Book" w:hAnsi="Gotham Book" w:cs="Arial"/>
        </w:rPr>
        <w:t xml:space="preserve">ffice of the General Counsel, NSW Police Force, to </w:t>
      </w:r>
      <w:r w:rsidRPr="00F278A3">
        <w:t>Child Protection Registry,</w:t>
      </w:r>
      <w:r>
        <w:t xml:space="preserve"> NSW Police Force, 1 July 2016</w:t>
      </w:r>
      <w:r w:rsidRPr="00F278A3">
        <w:t xml:space="preserve">, </w:t>
      </w:r>
      <w:r>
        <w:t>NSW Police Force response</w:t>
      </w:r>
      <w:r w:rsidRPr="00F278A3">
        <w:t xml:space="preserve"> to </w:t>
      </w:r>
      <w:r>
        <w:t>Law Enforcement Conduct Commission Notice</w:t>
      </w:r>
      <w:r w:rsidRPr="00F278A3">
        <w:t xml:space="preserve"> 977 of 2018.</w:t>
      </w:r>
    </w:p>
  </w:footnote>
  <w:footnote w:id="177">
    <w:p w14:paraId="62042667" w14:textId="7ECFC00A" w:rsidR="0042789D" w:rsidRPr="00404A21" w:rsidRDefault="0042789D">
      <w:pPr>
        <w:pStyle w:val="FootnoteText"/>
      </w:pPr>
      <w:r w:rsidRPr="00404A21">
        <w:rPr>
          <w:rStyle w:val="FootnoteReference"/>
        </w:rPr>
        <w:footnoteRef/>
      </w:r>
      <w:r w:rsidRPr="00404A21">
        <w:t xml:space="preserve"> Email from Child Protection Registry, </w:t>
      </w:r>
      <w:r>
        <w:t>NSW Police Force</w:t>
      </w:r>
      <w:r w:rsidRPr="00404A21">
        <w:t xml:space="preserve">, to Office of the General Counsel, </w:t>
      </w:r>
      <w:r>
        <w:t>NSW Police Force</w:t>
      </w:r>
      <w:r w:rsidRPr="00404A21">
        <w:t xml:space="preserve">, 1 July 2016, (including attached draft template letter from Child Protection Registry dated 22 June 2016, and draft letter from Child Protection Registry to Mr TT dated 1 July 2016), </w:t>
      </w:r>
      <w:r>
        <w:t>NSW Police Force</w:t>
      </w:r>
      <w:r w:rsidRPr="00404A21">
        <w:t xml:space="preserve"> response to </w:t>
      </w:r>
      <w:r>
        <w:t>Law Enforcement Conduct Commission</w:t>
      </w:r>
      <w:r w:rsidRPr="00404A21">
        <w:t xml:space="preserve"> Notice 977 of 2018. </w:t>
      </w:r>
    </w:p>
  </w:footnote>
  <w:footnote w:id="178">
    <w:p w14:paraId="019BE09D" w14:textId="4A1A100A" w:rsidR="0042789D" w:rsidRPr="00404A21" w:rsidRDefault="0042789D" w:rsidP="00466004">
      <w:pPr>
        <w:pStyle w:val="FootnoteText"/>
      </w:pPr>
      <w:r w:rsidRPr="00404A21">
        <w:rPr>
          <w:rStyle w:val="FootnoteReference"/>
        </w:rPr>
        <w:footnoteRef/>
      </w:r>
      <w:r w:rsidRPr="00404A21">
        <w:t xml:space="preserve"> Email from Office of the General Counsel, </w:t>
      </w:r>
      <w:r>
        <w:t>NSW Police Force</w:t>
      </w:r>
      <w:r w:rsidRPr="00404A21">
        <w:t xml:space="preserve">, to Child Protection Registry, </w:t>
      </w:r>
      <w:r>
        <w:t>NSW Police Force</w:t>
      </w:r>
      <w:r w:rsidRPr="00404A21">
        <w:t xml:space="preserve">, 1 July 2016, </w:t>
      </w:r>
      <w:r>
        <w:t>NSW Police Force</w:t>
      </w:r>
      <w:r w:rsidRPr="00404A21">
        <w:t xml:space="preserve"> response to </w:t>
      </w:r>
      <w:r>
        <w:t>Law Enforcement Conduct Commission</w:t>
      </w:r>
      <w:r w:rsidRPr="00404A21">
        <w:t xml:space="preserve"> Notice 977 of 2018.</w:t>
      </w:r>
    </w:p>
  </w:footnote>
  <w:footnote w:id="179">
    <w:p w14:paraId="3C540410" w14:textId="62F36971" w:rsidR="0042789D" w:rsidRPr="00404A21" w:rsidRDefault="0042789D" w:rsidP="00032C04">
      <w:pPr>
        <w:pStyle w:val="Footnote"/>
        <w:rPr>
          <w:szCs w:val="20"/>
        </w:rPr>
      </w:pPr>
      <w:r w:rsidRPr="00404A21">
        <w:rPr>
          <w:rStyle w:val="FootnoteReference"/>
          <w:rFonts w:ascii="Gotham Book" w:hAnsi="Gotham Book"/>
          <w:szCs w:val="20"/>
        </w:rPr>
        <w:footnoteRef/>
      </w:r>
      <w:r w:rsidRPr="00404A21">
        <w:rPr>
          <w:szCs w:val="20"/>
        </w:rPr>
        <w:t xml:space="preserve"> Email from Manager, OGC, </w:t>
      </w:r>
      <w:r>
        <w:rPr>
          <w:szCs w:val="20"/>
        </w:rPr>
        <w:t>NSW Police Force</w:t>
      </w:r>
      <w:r w:rsidRPr="00404A21">
        <w:rPr>
          <w:szCs w:val="20"/>
        </w:rPr>
        <w:t xml:space="preserve">, to Manager, </w:t>
      </w:r>
      <w:r w:rsidRPr="00404A21">
        <w:rPr>
          <w:rFonts w:ascii="Gotham Book" w:hAnsi="Gotham Book" w:cs="Arial"/>
          <w:szCs w:val="20"/>
        </w:rPr>
        <w:t>OGC</w:t>
      </w:r>
      <w:r w:rsidRPr="00404A21">
        <w:rPr>
          <w:szCs w:val="20"/>
        </w:rPr>
        <w:t xml:space="preserve">, </w:t>
      </w:r>
      <w:r>
        <w:rPr>
          <w:szCs w:val="20"/>
        </w:rPr>
        <w:t>NSW Police Force</w:t>
      </w:r>
      <w:r w:rsidRPr="00404A21">
        <w:rPr>
          <w:szCs w:val="20"/>
        </w:rPr>
        <w:t xml:space="preserve">, 1 July 2016 (15:13), </w:t>
      </w:r>
      <w:r>
        <w:rPr>
          <w:szCs w:val="20"/>
        </w:rPr>
        <w:t>NSW Police Force</w:t>
      </w:r>
      <w:r w:rsidRPr="00404A21">
        <w:rPr>
          <w:szCs w:val="20"/>
        </w:rPr>
        <w:t xml:space="preserve"> response to </w:t>
      </w:r>
      <w:r>
        <w:rPr>
          <w:szCs w:val="20"/>
        </w:rPr>
        <w:t>Law Enforcement Conduct Commission</w:t>
      </w:r>
      <w:r w:rsidRPr="00404A21">
        <w:rPr>
          <w:szCs w:val="20"/>
        </w:rPr>
        <w:t xml:space="preserve"> Notice 977 of 2018; Email from Child Protection Registry, </w:t>
      </w:r>
      <w:r>
        <w:rPr>
          <w:szCs w:val="20"/>
        </w:rPr>
        <w:t>NSW Police Force</w:t>
      </w:r>
      <w:r w:rsidRPr="00404A21">
        <w:rPr>
          <w:szCs w:val="20"/>
        </w:rPr>
        <w:t xml:space="preserve">, to </w:t>
      </w:r>
      <w:r w:rsidRPr="00404A21">
        <w:rPr>
          <w:rFonts w:ascii="Gotham Book" w:hAnsi="Gotham Book" w:cs="Arial"/>
          <w:szCs w:val="20"/>
        </w:rPr>
        <w:t xml:space="preserve">Office of the General Counsel, </w:t>
      </w:r>
      <w:r>
        <w:rPr>
          <w:rFonts w:ascii="Gotham Book" w:hAnsi="Gotham Book" w:cs="Arial"/>
          <w:szCs w:val="20"/>
        </w:rPr>
        <w:t>NSW Police Force</w:t>
      </w:r>
      <w:r w:rsidRPr="00404A21">
        <w:rPr>
          <w:szCs w:val="20"/>
        </w:rPr>
        <w:t xml:space="preserve">, 14 July 2016 (forwarding email from Sex Crimes Squad, </w:t>
      </w:r>
      <w:r>
        <w:rPr>
          <w:szCs w:val="20"/>
        </w:rPr>
        <w:t>NSW Police Force</w:t>
      </w:r>
      <w:r w:rsidRPr="00404A21">
        <w:rPr>
          <w:szCs w:val="20"/>
        </w:rPr>
        <w:t xml:space="preserve">, </w:t>
      </w:r>
      <w:r w:rsidRPr="00404A21">
        <w:rPr>
          <w:i/>
          <w:szCs w:val="20"/>
        </w:rPr>
        <w:t>Subject: URGENT – CPR issues</w:t>
      </w:r>
      <w:r w:rsidRPr="00404A21">
        <w:rPr>
          <w:szCs w:val="20"/>
        </w:rPr>
        <w:t xml:space="preserve">, 14 July 2016), </w:t>
      </w:r>
      <w:r>
        <w:rPr>
          <w:szCs w:val="20"/>
        </w:rPr>
        <w:t>NSW Police Force</w:t>
      </w:r>
      <w:r w:rsidRPr="00404A21">
        <w:rPr>
          <w:szCs w:val="20"/>
        </w:rPr>
        <w:t xml:space="preserve"> response to </w:t>
      </w:r>
      <w:r>
        <w:rPr>
          <w:szCs w:val="20"/>
        </w:rPr>
        <w:t>Law Enforcement Conduct Commission</w:t>
      </w:r>
      <w:r w:rsidRPr="00404A21">
        <w:rPr>
          <w:szCs w:val="20"/>
        </w:rPr>
        <w:t xml:space="preserve"> Notice 977 of 2018.</w:t>
      </w:r>
    </w:p>
  </w:footnote>
  <w:footnote w:id="180">
    <w:p w14:paraId="07AEB4C3" w14:textId="073B7602" w:rsidR="0042789D" w:rsidRPr="00404A21" w:rsidRDefault="0042789D">
      <w:pPr>
        <w:pStyle w:val="FootnoteText"/>
      </w:pPr>
      <w:r w:rsidRPr="00404A21">
        <w:rPr>
          <w:rStyle w:val="FootnoteReference"/>
        </w:rPr>
        <w:footnoteRef/>
      </w:r>
      <w:r w:rsidRPr="00404A21">
        <w:t xml:space="preserve"> These persons are the subjects of </w:t>
      </w:r>
      <w:r>
        <w:t>Case S</w:t>
      </w:r>
      <w:r w:rsidRPr="00404A21">
        <w:t>tudies 4 and 7 in Chapter 3.</w:t>
      </w:r>
    </w:p>
  </w:footnote>
  <w:footnote w:id="181">
    <w:p w14:paraId="2EA79D87" w14:textId="21FEDFB4" w:rsidR="0042789D" w:rsidRPr="00905E8C" w:rsidRDefault="0042789D">
      <w:pPr>
        <w:pStyle w:val="FootnoteText"/>
      </w:pPr>
      <w:r w:rsidRPr="00404A21">
        <w:rPr>
          <w:rStyle w:val="FootnoteReference"/>
        </w:rPr>
        <w:footnoteRef/>
      </w:r>
      <w:r w:rsidRPr="00404A21">
        <w:t xml:space="preserve"> Email from Sex Crimes Squad, </w:t>
      </w:r>
      <w:r>
        <w:t>NSW Police Force</w:t>
      </w:r>
      <w:r w:rsidRPr="00404A21">
        <w:t xml:space="preserve">, </w:t>
      </w:r>
      <w:r w:rsidRPr="00404A21">
        <w:rPr>
          <w:i/>
        </w:rPr>
        <w:t>Subject: URGENT – CPR issues</w:t>
      </w:r>
      <w:r w:rsidRPr="00404A21">
        <w:t xml:space="preserve">, 14 July 2016, </w:t>
      </w:r>
      <w:r>
        <w:t>NSW Police Force</w:t>
      </w:r>
      <w:r w:rsidRPr="00404A21">
        <w:t xml:space="preserve"> response to </w:t>
      </w:r>
      <w:r>
        <w:t>Law Enforcement Conduct Commission</w:t>
      </w:r>
      <w:r w:rsidRPr="00404A21">
        <w:t xml:space="preserve"> Notice 977 of 2018.</w:t>
      </w:r>
    </w:p>
  </w:footnote>
  <w:footnote w:id="182">
    <w:p w14:paraId="6156F64E" w14:textId="1A9A5568" w:rsidR="0042789D" w:rsidRPr="00676BFB" w:rsidRDefault="0042789D" w:rsidP="00B21E14">
      <w:pPr>
        <w:pStyle w:val="Footnote"/>
      </w:pPr>
      <w:r w:rsidRPr="00676BFB">
        <w:rPr>
          <w:rStyle w:val="FootnoteReference"/>
          <w:rFonts w:ascii="Gotham Book" w:hAnsi="Gotham Book"/>
        </w:rPr>
        <w:footnoteRef/>
      </w:r>
      <w:r>
        <w:t xml:space="preserve"> Email from Child Protection Registry, NSW Police Force,</w:t>
      </w:r>
      <w:r w:rsidRPr="00676BFB">
        <w:t xml:space="preserve"> to </w:t>
      </w:r>
      <w:r>
        <w:rPr>
          <w:rFonts w:ascii="Gotham Book" w:hAnsi="Gotham Book" w:cs="Arial"/>
        </w:rPr>
        <w:t>Office of the General Counsel, NSW Police Force</w:t>
      </w:r>
      <w:r w:rsidRPr="00676BFB">
        <w:t>,</w:t>
      </w:r>
      <w:r>
        <w:t xml:space="preserve"> 14 July 2016</w:t>
      </w:r>
      <w:r w:rsidRPr="00676BFB">
        <w:t xml:space="preserve">, </w:t>
      </w:r>
      <w:r>
        <w:t>NSW Police Force response</w:t>
      </w:r>
      <w:r w:rsidRPr="00676BFB">
        <w:t xml:space="preserve"> to </w:t>
      </w:r>
      <w:r>
        <w:t>Law Enforcement Conduct Commission Notice</w:t>
      </w:r>
      <w:r w:rsidRPr="00676BFB">
        <w:t xml:space="preserve"> 977 of 2018.</w:t>
      </w:r>
    </w:p>
  </w:footnote>
  <w:footnote w:id="183">
    <w:p w14:paraId="58933DA1" w14:textId="68B05A29" w:rsidR="0042789D" w:rsidRPr="00866D48" w:rsidRDefault="0042789D">
      <w:pPr>
        <w:pStyle w:val="FootnoteText"/>
      </w:pPr>
      <w:r w:rsidRPr="00866D48">
        <w:rPr>
          <w:rStyle w:val="FootnoteReference"/>
        </w:rPr>
        <w:footnoteRef/>
      </w:r>
      <w:r w:rsidRPr="00866D48">
        <w:t xml:space="preserve"> </w:t>
      </w:r>
      <w:r>
        <w:t xml:space="preserve">Email from </w:t>
      </w:r>
      <w:r w:rsidRPr="00866D48">
        <w:t>Child Protection Registry</w:t>
      </w:r>
      <w:r>
        <w:t>, NSW Police Force, to Office of the General Counsel, NSW Police Force, 15 July 2016</w:t>
      </w:r>
      <w:r w:rsidRPr="00866D48">
        <w:t xml:space="preserve">, </w:t>
      </w:r>
      <w:r>
        <w:t>(attaching draft l</w:t>
      </w:r>
      <w:r w:rsidRPr="00866D48">
        <w:t xml:space="preserve">etter from </w:t>
      </w:r>
      <w:r>
        <w:t>Child Protection Registry</w:t>
      </w:r>
      <w:r w:rsidRPr="00866D48">
        <w:t xml:space="preserve"> to Mr ZZ, 11 July 2016</w:t>
      </w:r>
      <w:r>
        <w:t>) NSW Police Force response</w:t>
      </w:r>
      <w:r w:rsidRPr="00866D48">
        <w:t xml:space="preserve"> to </w:t>
      </w:r>
      <w:r>
        <w:t>Law Enforcement Conduct Commission Notice</w:t>
      </w:r>
      <w:r w:rsidRPr="00866D48">
        <w:t xml:space="preserve"> 977 of 2018.</w:t>
      </w:r>
    </w:p>
  </w:footnote>
  <w:footnote w:id="184">
    <w:p w14:paraId="6C6B0AE2" w14:textId="50860D1F" w:rsidR="0042789D" w:rsidRPr="001D05FC" w:rsidRDefault="0042789D" w:rsidP="001D05FC">
      <w:pPr>
        <w:pStyle w:val="FootnoteText"/>
      </w:pPr>
      <w:r w:rsidRPr="001D05FC">
        <w:rPr>
          <w:rStyle w:val="FootnoteReference"/>
        </w:rPr>
        <w:footnoteRef/>
      </w:r>
      <w:r>
        <w:t xml:space="preserve"> Email from Office of the General Counsel, NSW Police Force,</w:t>
      </w:r>
      <w:r w:rsidRPr="001D05FC">
        <w:t xml:space="preserve"> to </w:t>
      </w:r>
      <w:r>
        <w:t>Child Protection Registry, NSW Police Force, 15 July 2016</w:t>
      </w:r>
      <w:r w:rsidRPr="001D05FC">
        <w:t xml:space="preserve">, </w:t>
      </w:r>
      <w:r>
        <w:t>NSW Police Force response</w:t>
      </w:r>
      <w:r w:rsidRPr="001D05FC">
        <w:t xml:space="preserve"> to </w:t>
      </w:r>
      <w:r>
        <w:t>Law Enforcement Conduct Commission Notice</w:t>
      </w:r>
      <w:r w:rsidRPr="001D05FC">
        <w:t xml:space="preserve"> 977 of 2018. </w:t>
      </w:r>
    </w:p>
  </w:footnote>
  <w:footnote w:id="185">
    <w:p w14:paraId="7F16714C" w14:textId="6B6A22C6" w:rsidR="0042789D" w:rsidRPr="00B10A58" w:rsidRDefault="0042789D" w:rsidP="00B10A58">
      <w:pPr>
        <w:pStyle w:val="FootnoteText"/>
      </w:pPr>
      <w:r w:rsidRPr="00B10A58">
        <w:rPr>
          <w:rStyle w:val="FootnoteReference"/>
        </w:rPr>
        <w:footnoteRef/>
      </w:r>
      <w:r>
        <w:t xml:space="preserve"> </w:t>
      </w:r>
      <w:r w:rsidRPr="00194853">
        <w:t xml:space="preserve">Email from </w:t>
      </w:r>
      <w:r>
        <w:t>Police Prosecutions</w:t>
      </w:r>
      <w:r w:rsidRPr="0041509F">
        <w:t xml:space="preserve"> Command</w:t>
      </w:r>
      <w:r>
        <w:t>, NSW Police Force, to Office of the General Counsel, NSW Police Force, 20 July 2016</w:t>
      </w:r>
      <w:r w:rsidRPr="00B10A58">
        <w:t xml:space="preserve">, </w:t>
      </w:r>
      <w:r>
        <w:t>NSW Police Force response</w:t>
      </w:r>
      <w:r w:rsidRPr="00B10A58">
        <w:t xml:space="preserve"> to </w:t>
      </w:r>
      <w:r>
        <w:t>Law Enforcement Conduct Commission Notice</w:t>
      </w:r>
      <w:r w:rsidRPr="00B10A58">
        <w:t xml:space="preserve"> 977 of 2018. </w:t>
      </w:r>
    </w:p>
  </w:footnote>
  <w:footnote w:id="186">
    <w:p w14:paraId="5649FE1C" w14:textId="5A9B055C" w:rsidR="0042789D" w:rsidRDefault="0042789D">
      <w:pPr>
        <w:pStyle w:val="FootnoteText"/>
      </w:pPr>
      <w:r w:rsidRPr="00B10A58">
        <w:rPr>
          <w:rStyle w:val="FootnoteReference"/>
        </w:rPr>
        <w:footnoteRef/>
      </w:r>
      <w:r w:rsidRPr="00B10A58">
        <w:t xml:space="preserve"> </w:t>
      </w:r>
      <w:r>
        <w:t xml:space="preserve">Draft letter from Sex Crimes Squad, NSW Police Force, attached to email </w:t>
      </w:r>
      <w:r w:rsidRPr="00B37EA3">
        <w:t xml:space="preserve">from </w:t>
      </w:r>
      <w:r>
        <w:t>Police Prosecutions Command,</w:t>
      </w:r>
      <w:r w:rsidRPr="0041509F">
        <w:t xml:space="preserve"> </w:t>
      </w:r>
      <w:r>
        <w:t>NSW Police Force, to Office of the General Counsel, NSW Police Force, 20 July 2016</w:t>
      </w:r>
      <w:r w:rsidRPr="00B10A58">
        <w:t xml:space="preserve">, </w:t>
      </w:r>
      <w:r>
        <w:t>NSW Police Force response</w:t>
      </w:r>
      <w:r w:rsidRPr="00B10A58">
        <w:t xml:space="preserve"> to </w:t>
      </w:r>
      <w:r>
        <w:t>Law Enforcement Conduct Commission Notice</w:t>
      </w:r>
      <w:r w:rsidRPr="00B10A58">
        <w:t xml:space="preserve"> 977 of 2018.</w:t>
      </w:r>
      <w:r>
        <w:t xml:space="preserve"> </w:t>
      </w:r>
    </w:p>
  </w:footnote>
  <w:footnote w:id="187">
    <w:p w14:paraId="37254727" w14:textId="7E034FAA" w:rsidR="0042789D" w:rsidRPr="00676BFB" w:rsidRDefault="0042789D" w:rsidP="00032C04">
      <w:pPr>
        <w:pStyle w:val="Footnote"/>
      </w:pPr>
      <w:r w:rsidRPr="00676BFB">
        <w:rPr>
          <w:rStyle w:val="FootnoteReference"/>
          <w:rFonts w:ascii="Gotham Book" w:hAnsi="Gotham Book"/>
        </w:rPr>
        <w:footnoteRef/>
      </w:r>
      <w:r w:rsidRPr="00676BFB">
        <w:t xml:space="preserve"> </w:t>
      </w:r>
      <w:r>
        <w:t xml:space="preserve">Email from </w:t>
      </w:r>
      <w:r w:rsidRPr="00EB2BC8">
        <w:rPr>
          <w:rFonts w:ascii="Gotham Book" w:hAnsi="Gotham Book" w:cs="Arial"/>
        </w:rPr>
        <w:t>O</w:t>
      </w:r>
      <w:r>
        <w:rPr>
          <w:rFonts w:ascii="Gotham Book" w:hAnsi="Gotham Book" w:cs="Arial"/>
        </w:rPr>
        <w:t xml:space="preserve">ffice of the </w:t>
      </w:r>
      <w:r w:rsidRPr="00EB2BC8">
        <w:rPr>
          <w:rFonts w:ascii="Gotham Book" w:hAnsi="Gotham Book" w:cs="Arial"/>
        </w:rPr>
        <w:t>G</w:t>
      </w:r>
      <w:r>
        <w:rPr>
          <w:rFonts w:ascii="Gotham Book" w:hAnsi="Gotham Book" w:cs="Arial"/>
        </w:rPr>
        <w:t>eneral Counsel</w:t>
      </w:r>
      <w:r w:rsidRPr="00EB2BC8">
        <w:t>,</w:t>
      </w:r>
      <w:r>
        <w:t xml:space="preserve"> NSW Police Force, </w:t>
      </w:r>
      <w:r w:rsidRPr="00AC7446">
        <w:rPr>
          <w:i/>
        </w:rPr>
        <w:t xml:space="preserve">Subject: Forwarded meeting </w:t>
      </w:r>
      <w:r>
        <w:rPr>
          <w:i/>
        </w:rPr>
        <w:t>Law Enforcement Conduct Commission</w:t>
      </w:r>
      <w:r w:rsidRPr="00AC7446">
        <w:rPr>
          <w:i/>
        </w:rPr>
        <w:t xml:space="preserve"> Notice from [Manager, Child Protection Registry]: </w:t>
      </w:r>
      <w:r>
        <w:rPr>
          <w:i/>
        </w:rPr>
        <w:t>Invitation: CPR Issues,</w:t>
      </w:r>
      <w:r>
        <w:t xml:space="preserve"> 18 July 2016</w:t>
      </w:r>
      <w:r w:rsidRPr="00EB2BC8">
        <w:t xml:space="preserve">, </w:t>
      </w:r>
      <w:r>
        <w:t>NSW Police Force response</w:t>
      </w:r>
      <w:r w:rsidRPr="00EB2BC8">
        <w:t xml:space="preserve"> to </w:t>
      </w:r>
      <w:r>
        <w:t>Law Enforcement Conduct Commission Notice</w:t>
      </w:r>
      <w:r w:rsidRPr="00EB2BC8">
        <w:t xml:space="preserve"> 977 of 2018.</w:t>
      </w:r>
      <w:r w:rsidRPr="00676BFB">
        <w:t xml:space="preserve"> </w:t>
      </w:r>
    </w:p>
  </w:footnote>
  <w:footnote w:id="188">
    <w:p w14:paraId="3439BD86" w14:textId="046CED01" w:rsidR="0042789D" w:rsidRPr="00676BFB" w:rsidRDefault="0042789D" w:rsidP="0028372A">
      <w:pPr>
        <w:pStyle w:val="Footnote"/>
      </w:pPr>
      <w:r w:rsidRPr="00676BFB">
        <w:rPr>
          <w:rStyle w:val="FootnoteReference"/>
          <w:rFonts w:ascii="Gotham Book" w:hAnsi="Gotham Book"/>
        </w:rPr>
        <w:footnoteRef/>
      </w:r>
      <w:r w:rsidRPr="00676BFB">
        <w:t xml:space="preserve"> </w:t>
      </w:r>
      <w:r w:rsidRPr="00DF3709">
        <w:t>Email from O</w:t>
      </w:r>
      <w:r>
        <w:t xml:space="preserve">ffice of the </w:t>
      </w:r>
      <w:r w:rsidRPr="00DF3709">
        <w:t>G</w:t>
      </w:r>
      <w:r>
        <w:t>eneral Counsel, NSW Police Force, to</w:t>
      </w:r>
      <w:r w:rsidRPr="00DF3709">
        <w:t xml:space="preserve"> Child Protection Registry</w:t>
      </w:r>
      <w:r>
        <w:t xml:space="preserve"> </w:t>
      </w:r>
      <w:r w:rsidRPr="00BD4EE5">
        <w:rPr>
          <w:i/>
        </w:rPr>
        <w:t>et al</w:t>
      </w:r>
      <w:r w:rsidRPr="00DF3709">
        <w:t>,</w:t>
      </w:r>
      <w:r>
        <w:t xml:space="preserve"> NSW Police Force,</w:t>
      </w:r>
      <w:r w:rsidRPr="00DF3709">
        <w:t xml:space="preserve"> </w:t>
      </w:r>
      <w:r>
        <w:t>20 July 2016</w:t>
      </w:r>
      <w:r w:rsidRPr="00DF3709">
        <w:t xml:space="preserve">, </w:t>
      </w:r>
      <w:r>
        <w:t>NSW Police Force response</w:t>
      </w:r>
      <w:r w:rsidRPr="00DF3709">
        <w:t xml:space="preserve"> to </w:t>
      </w:r>
      <w:r>
        <w:t>Law Enforcement Conduct Commission Notice</w:t>
      </w:r>
      <w:r w:rsidRPr="00DF3709">
        <w:t xml:space="preserve"> 977 of 2018</w:t>
      </w:r>
      <w:r w:rsidRPr="00676BFB">
        <w:t>.</w:t>
      </w:r>
    </w:p>
  </w:footnote>
  <w:footnote w:id="189">
    <w:p w14:paraId="536ABCB1" w14:textId="0F1CAD50" w:rsidR="0042789D" w:rsidRPr="00676BFB" w:rsidRDefault="0042789D" w:rsidP="00032C04">
      <w:pPr>
        <w:pStyle w:val="Footnote"/>
      </w:pPr>
      <w:r w:rsidRPr="00676BFB">
        <w:rPr>
          <w:rStyle w:val="FootnoteReference"/>
          <w:rFonts w:ascii="Gotham Book" w:hAnsi="Gotham Book"/>
        </w:rPr>
        <w:footnoteRef/>
      </w:r>
      <w:r w:rsidRPr="00676BFB">
        <w:t xml:space="preserve"> </w:t>
      </w:r>
      <w:r w:rsidRPr="00DF3709">
        <w:t>Email from O</w:t>
      </w:r>
      <w:r>
        <w:t xml:space="preserve">ffice of the </w:t>
      </w:r>
      <w:r w:rsidRPr="00DF3709">
        <w:t>G</w:t>
      </w:r>
      <w:r>
        <w:t>eneral Counsel, NSW Police Force, to</w:t>
      </w:r>
      <w:r w:rsidRPr="00DF3709">
        <w:t xml:space="preserve"> Child Protection Registry</w:t>
      </w:r>
      <w:r>
        <w:t xml:space="preserve"> </w:t>
      </w:r>
      <w:r w:rsidRPr="00BD4EE5">
        <w:rPr>
          <w:i/>
        </w:rPr>
        <w:t>et al</w:t>
      </w:r>
      <w:r w:rsidRPr="00DF3709">
        <w:t>,</w:t>
      </w:r>
      <w:r>
        <w:t xml:space="preserve"> NSW Police Force,</w:t>
      </w:r>
      <w:r w:rsidRPr="00DF3709">
        <w:t xml:space="preserve"> </w:t>
      </w:r>
      <w:r>
        <w:t>20 July 2016</w:t>
      </w:r>
      <w:r w:rsidRPr="00DF3709">
        <w:t xml:space="preserve">, </w:t>
      </w:r>
      <w:r>
        <w:t>NSW Police Force response</w:t>
      </w:r>
      <w:r w:rsidRPr="00DF3709">
        <w:t xml:space="preserve"> to </w:t>
      </w:r>
      <w:r>
        <w:t>Law Enforcement Conduct Commission Notice</w:t>
      </w:r>
      <w:r w:rsidRPr="00DF3709">
        <w:t xml:space="preserve"> 977 of 2018</w:t>
      </w:r>
      <w:r>
        <w:t>.</w:t>
      </w:r>
    </w:p>
  </w:footnote>
  <w:footnote w:id="190">
    <w:p w14:paraId="138B0AA8" w14:textId="3D029BF0" w:rsidR="0042789D" w:rsidRPr="00441599" w:rsidRDefault="0042789D">
      <w:pPr>
        <w:pStyle w:val="FootnoteText"/>
      </w:pPr>
      <w:r w:rsidRPr="00C60F21">
        <w:rPr>
          <w:rStyle w:val="FootnoteReference"/>
        </w:rPr>
        <w:footnoteRef/>
      </w:r>
      <w:r w:rsidRPr="00C60F21">
        <w:t xml:space="preserve"> </w:t>
      </w:r>
      <w:r w:rsidRPr="005323BD">
        <w:t>Email</w:t>
      </w:r>
      <w:r>
        <w:t>s</w:t>
      </w:r>
      <w:r w:rsidRPr="005323BD">
        <w:t xml:space="preserve"> from </w:t>
      </w:r>
      <w:r>
        <w:t xml:space="preserve">Police Prosecutions </w:t>
      </w:r>
      <w:r w:rsidRPr="0041509F">
        <w:t>Command</w:t>
      </w:r>
      <w:r w:rsidRPr="00441599">
        <w:t xml:space="preserve">, </w:t>
      </w:r>
      <w:r>
        <w:t xml:space="preserve">NSW Police Force, </w:t>
      </w:r>
      <w:r w:rsidRPr="00441599">
        <w:t>to O</w:t>
      </w:r>
      <w:r>
        <w:t xml:space="preserve">ffice of the </w:t>
      </w:r>
      <w:r w:rsidRPr="00441599">
        <w:t>G</w:t>
      </w:r>
      <w:r>
        <w:t>eneral Counsel, NSW Police Force, 26 July 2016</w:t>
      </w:r>
      <w:r w:rsidRPr="00441599">
        <w:t xml:space="preserve">, </w:t>
      </w:r>
      <w:r>
        <w:t>NSW Police Force response</w:t>
      </w:r>
      <w:r w:rsidRPr="00441599">
        <w:t xml:space="preserve"> to </w:t>
      </w:r>
      <w:r>
        <w:t>Law Enforcement Conduct Commission Notice</w:t>
      </w:r>
      <w:r w:rsidRPr="00441599">
        <w:t xml:space="preserve"> 977 of 2018.</w:t>
      </w:r>
    </w:p>
  </w:footnote>
  <w:footnote w:id="191">
    <w:p w14:paraId="684AA7CC" w14:textId="3389BB5F" w:rsidR="0042789D" w:rsidRPr="00472675" w:rsidRDefault="0042789D">
      <w:pPr>
        <w:pStyle w:val="FootnoteText"/>
      </w:pPr>
      <w:r w:rsidRPr="00441599">
        <w:rPr>
          <w:rStyle w:val="FootnoteReference"/>
        </w:rPr>
        <w:footnoteRef/>
      </w:r>
      <w:r>
        <w:t xml:space="preserve"> Email from </w:t>
      </w:r>
      <w:r w:rsidRPr="00441599">
        <w:t>O</w:t>
      </w:r>
      <w:r>
        <w:t xml:space="preserve">ffice of the General Counsel, NSW Police Force, to Police Prosecutions </w:t>
      </w:r>
      <w:r w:rsidRPr="00441599">
        <w:t xml:space="preserve">Command, </w:t>
      </w:r>
      <w:r w:rsidRPr="00472675">
        <w:t xml:space="preserve">26 July 2016, </w:t>
      </w:r>
      <w:r>
        <w:t>NSW Police Force response</w:t>
      </w:r>
      <w:r w:rsidRPr="00472675">
        <w:t xml:space="preserve"> to </w:t>
      </w:r>
      <w:r>
        <w:t>Law Enforcement Conduct Commission Notice</w:t>
      </w:r>
      <w:r w:rsidRPr="00472675">
        <w:t xml:space="preserve"> 977 of 2018.</w:t>
      </w:r>
    </w:p>
  </w:footnote>
  <w:footnote w:id="192">
    <w:p w14:paraId="7E82C880" w14:textId="22403833" w:rsidR="0042789D" w:rsidRDefault="0042789D">
      <w:pPr>
        <w:pStyle w:val="FootnoteText"/>
      </w:pPr>
      <w:r w:rsidRPr="00472675">
        <w:rPr>
          <w:rStyle w:val="FootnoteReference"/>
        </w:rPr>
        <w:footnoteRef/>
      </w:r>
      <w:r w:rsidRPr="00472675">
        <w:t xml:space="preserve"> Draft letter from </w:t>
      </w:r>
      <w:r>
        <w:t>Sex Crimes Squad</w:t>
      </w:r>
      <w:r w:rsidRPr="00472675">
        <w:t xml:space="preserve">, </w:t>
      </w:r>
      <w:r>
        <w:t xml:space="preserve">2016, </w:t>
      </w:r>
      <w:r w:rsidRPr="00472675">
        <w:t xml:space="preserve">attached to </w:t>
      </w:r>
      <w:r w:rsidRPr="00877B85">
        <w:t xml:space="preserve">email from </w:t>
      </w:r>
      <w:r>
        <w:t>Police Prosecutions</w:t>
      </w:r>
      <w:r w:rsidRPr="0041509F">
        <w:t xml:space="preserve"> Command</w:t>
      </w:r>
      <w:r w:rsidRPr="00472675">
        <w:t>,</w:t>
      </w:r>
      <w:r>
        <w:t xml:space="preserve"> NSW Police Force,</w:t>
      </w:r>
      <w:r w:rsidRPr="00472675">
        <w:t xml:space="preserve"> to</w:t>
      </w:r>
      <w:r>
        <w:t xml:space="preserve"> </w:t>
      </w:r>
      <w:r w:rsidRPr="00472675">
        <w:t>O</w:t>
      </w:r>
      <w:r>
        <w:t xml:space="preserve">ffice of the </w:t>
      </w:r>
      <w:r w:rsidRPr="00472675">
        <w:t>G</w:t>
      </w:r>
      <w:r>
        <w:t xml:space="preserve">eneral </w:t>
      </w:r>
      <w:r w:rsidRPr="00472675">
        <w:t>C</w:t>
      </w:r>
      <w:r>
        <w:t>ounsel, NSW Police Force, 26 July 2016</w:t>
      </w:r>
      <w:r w:rsidRPr="00472675">
        <w:t xml:space="preserve">, </w:t>
      </w:r>
      <w:r>
        <w:t>NSW Police Force response</w:t>
      </w:r>
      <w:r w:rsidRPr="00472675">
        <w:t xml:space="preserve"> to </w:t>
      </w:r>
      <w:r>
        <w:t>Law Enforcement Conduct Commission Notice</w:t>
      </w:r>
      <w:r w:rsidRPr="00472675">
        <w:t xml:space="preserve"> 977 of 2018.</w:t>
      </w:r>
    </w:p>
  </w:footnote>
  <w:footnote w:id="193">
    <w:p w14:paraId="2E7E1035" w14:textId="0FCB7F6E" w:rsidR="0042789D" w:rsidRPr="007E14B2" w:rsidRDefault="0042789D" w:rsidP="009F5918">
      <w:pPr>
        <w:pStyle w:val="Footnote"/>
      </w:pPr>
      <w:r w:rsidRPr="00676BFB">
        <w:rPr>
          <w:rStyle w:val="FootnoteReference"/>
          <w:rFonts w:ascii="Gotham Book" w:hAnsi="Gotham Book"/>
        </w:rPr>
        <w:footnoteRef/>
      </w:r>
      <w:r w:rsidRPr="00676BFB">
        <w:t xml:space="preserve"> </w:t>
      </w:r>
      <w:r w:rsidRPr="001C13A7">
        <w:t>O</w:t>
      </w:r>
      <w:r>
        <w:t xml:space="preserve">ffice of the </w:t>
      </w:r>
      <w:r w:rsidRPr="001C13A7">
        <w:t>G</w:t>
      </w:r>
      <w:r>
        <w:t xml:space="preserve">eneral </w:t>
      </w:r>
      <w:r w:rsidRPr="001C13A7">
        <w:t>C</w:t>
      </w:r>
      <w:r>
        <w:t>ounsel</w:t>
      </w:r>
      <w:r w:rsidRPr="001C13A7">
        <w:t>,</w:t>
      </w:r>
      <w:r>
        <w:t xml:space="preserve"> NSW Police Force,</w:t>
      </w:r>
      <w:r w:rsidRPr="001C13A7">
        <w:t xml:space="preserve"> </w:t>
      </w:r>
      <w:r>
        <w:t>[</w:t>
      </w:r>
      <w:r w:rsidRPr="001C13A7">
        <w:t xml:space="preserve">Advice in response to request </w:t>
      </w:r>
      <w:r>
        <w:t>D/2016/438915]</w:t>
      </w:r>
      <w:r w:rsidRPr="001C13A7">
        <w:t xml:space="preserve">, 26 August 2016, </w:t>
      </w:r>
      <w:r>
        <w:t>NSW Police Force response</w:t>
      </w:r>
      <w:r w:rsidRPr="001C13A7">
        <w:t xml:space="preserve"> to </w:t>
      </w:r>
      <w:r>
        <w:t>Law Enforcement Conduct Commission Notice</w:t>
      </w:r>
      <w:r w:rsidRPr="001C13A7">
        <w:t xml:space="preserve"> 977 of 2018. </w:t>
      </w:r>
    </w:p>
  </w:footnote>
  <w:footnote w:id="194">
    <w:p w14:paraId="13408967" w14:textId="2FB6D34A" w:rsidR="0042789D" w:rsidRPr="00655ABB" w:rsidRDefault="0042789D" w:rsidP="009F5918">
      <w:pPr>
        <w:pStyle w:val="FootnoteText"/>
        <w:spacing w:before="60" w:after="60"/>
      </w:pPr>
      <w:r w:rsidRPr="00655ABB">
        <w:rPr>
          <w:rStyle w:val="FootnoteReference"/>
        </w:rPr>
        <w:footnoteRef/>
      </w:r>
      <w:r>
        <w:t xml:space="preserve"> Email from </w:t>
      </w:r>
      <w:r w:rsidRPr="00655ABB">
        <w:t>Child Protection Registry</w:t>
      </w:r>
      <w:r>
        <w:t>, NSW Police Force, to Sex Crimes Squad and Office of the General Counsel, NSW Police Force, 27 October 2016</w:t>
      </w:r>
      <w:r w:rsidRPr="00655ABB">
        <w:t xml:space="preserve">, </w:t>
      </w:r>
      <w:r>
        <w:t>NSW Police Force response</w:t>
      </w:r>
      <w:r w:rsidRPr="00655ABB">
        <w:t xml:space="preserve"> to </w:t>
      </w:r>
      <w:r>
        <w:t>Law Enforcement Conduct Commission Notice</w:t>
      </w:r>
      <w:r w:rsidRPr="00655ABB">
        <w:t xml:space="preserve"> 977 of 2018.</w:t>
      </w:r>
    </w:p>
  </w:footnote>
  <w:footnote w:id="195">
    <w:p w14:paraId="28F57EA2" w14:textId="5CB3B28D" w:rsidR="0042789D" w:rsidRPr="00F47784" w:rsidRDefault="0042789D" w:rsidP="00392431">
      <w:pPr>
        <w:pStyle w:val="FootnoteText"/>
      </w:pPr>
      <w:r w:rsidRPr="00F47784">
        <w:rPr>
          <w:rStyle w:val="FootnoteReference"/>
        </w:rPr>
        <w:footnoteRef/>
      </w:r>
      <w:r w:rsidRPr="00F47784">
        <w:t xml:space="preserve"> Letter from </w:t>
      </w:r>
      <w:r>
        <w:t>General Counsel, NSW Police Force, to Law Enforcement Conduct Commission, 19 August 2019.</w:t>
      </w:r>
    </w:p>
  </w:footnote>
  <w:footnote w:id="196">
    <w:p w14:paraId="7433CE71" w14:textId="2193E956" w:rsidR="0042789D" w:rsidRPr="00E731EB" w:rsidRDefault="0042789D" w:rsidP="009F5918">
      <w:pPr>
        <w:spacing w:before="60" w:after="60"/>
        <w:rPr>
          <w:sz w:val="20"/>
          <w:szCs w:val="20"/>
        </w:rPr>
      </w:pPr>
      <w:r w:rsidRPr="00E731EB">
        <w:rPr>
          <w:rStyle w:val="FootnoteReference"/>
          <w:sz w:val="20"/>
          <w:szCs w:val="20"/>
        </w:rPr>
        <w:footnoteRef/>
      </w:r>
      <w:r w:rsidRPr="00E731EB">
        <w:rPr>
          <w:sz w:val="20"/>
          <w:szCs w:val="20"/>
        </w:rPr>
        <w:t xml:space="preserve"> </w:t>
      </w:r>
      <w:r w:rsidRPr="00E731EB">
        <w:rPr>
          <w:rFonts w:ascii="Gotham Book" w:hAnsi="Gotham Book"/>
          <w:sz w:val="20"/>
          <w:szCs w:val="20"/>
        </w:rPr>
        <w:t xml:space="preserve">Letter from </w:t>
      </w:r>
      <w:r>
        <w:rPr>
          <w:rFonts w:ascii="Gotham Book" w:hAnsi="Gotham Book"/>
          <w:sz w:val="20"/>
          <w:szCs w:val="20"/>
        </w:rPr>
        <w:t>NSW Police Force</w:t>
      </w:r>
      <w:r w:rsidRPr="00E731EB">
        <w:rPr>
          <w:rFonts w:ascii="Gotham Book" w:hAnsi="Gotham Book"/>
          <w:sz w:val="20"/>
          <w:szCs w:val="20"/>
        </w:rPr>
        <w:t xml:space="preserve"> to Mr DD, 27 July 2016, </w:t>
      </w:r>
      <w:r>
        <w:rPr>
          <w:rFonts w:ascii="Gotham Book" w:hAnsi="Gotham Book"/>
          <w:sz w:val="20"/>
          <w:szCs w:val="20"/>
        </w:rPr>
        <w:t>NSW Police Force response</w:t>
      </w:r>
      <w:r w:rsidRPr="00E731EB">
        <w:rPr>
          <w:rFonts w:ascii="Gotham Book" w:hAnsi="Gotham Book"/>
          <w:sz w:val="20"/>
          <w:szCs w:val="20"/>
        </w:rPr>
        <w:t xml:space="preserve"> to item 2(e) of </w:t>
      </w:r>
      <w:r>
        <w:rPr>
          <w:rFonts w:ascii="Gotham Book" w:hAnsi="Gotham Book"/>
          <w:sz w:val="20"/>
          <w:szCs w:val="20"/>
        </w:rPr>
        <w:t>Law Enforcement Conduct Commission Notice</w:t>
      </w:r>
      <w:r w:rsidRPr="00E731EB">
        <w:rPr>
          <w:rFonts w:ascii="Gotham Book" w:hAnsi="Gotham Book"/>
          <w:sz w:val="20"/>
          <w:szCs w:val="20"/>
        </w:rPr>
        <w:t xml:space="preserve"> 929 of 2018</w:t>
      </w:r>
      <w:r w:rsidRPr="00E731EB">
        <w:rPr>
          <w:sz w:val="20"/>
          <w:szCs w:val="20"/>
        </w:rPr>
        <w:t xml:space="preserve">; Letter from </w:t>
      </w:r>
      <w:r>
        <w:rPr>
          <w:rFonts w:ascii="Gotham Book" w:hAnsi="Gotham Book"/>
          <w:sz w:val="20"/>
          <w:szCs w:val="20"/>
        </w:rPr>
        <w:t>NSW Police Force</w:t>
      </w:r>
      <w:r w:rsidRPr="00E731EB">
        <w:rPr>
          <w:rFonts w:ascii="Gotham Book" w:hAnsi="Gotham Book"/>
          <w:sz w:val="20"/>
          <w:szCs w:val="20"/>
        </w:rPr>
        <w:t xml:space="preserve"> </w:t>
      </w:r>
      <w:r w:rsidRPr="00E731EB">
        <w:rPr>
          <w:sz w:val="20"/>
          <w:szCs w:val="20"/>
        </w:rPr>
        <w:t xml:space="preserve">to Mr EE, 16 February 2017, </w:t>
      </w:r>
      <w:r>
        <w:rPr>
          <w:sz w:val="20"/>
          <w:szCs w:val="20"/>
        </w:rPr>
        <w:t>NSW Police Force response</w:t>
      </w:r>
      <w:r w:rsidRPr="00E731EB">
        <w:rPr>
          <w:sz w:val="20"/>
          <w:szCs w:val="20"/>
        </w:rPr>
        <w:t xml:space="preserve"> to item 2(f) of </w:t>
      </w:r>
      <w:r>
        <w:rPr>
          <w:sz w:val="20"/>
          <w:szCs w:val="20"/>
        </w:rPr>
        <w:t>Law Enforcement Conduct Commission Notice</w:t>
      </w:r>
      <w:r w:rsidRPr="00E731EB">
        <w:rPr>
          <w:sz w:val="20"/>
          <w:szCs w:val="20"/>
        </w:rPr>
        <w:t xml:space="preserve"> 929 of 2018; Letter from </w:t>
      </w:r>
      <w:r>
        <w:rPr>
          <w:rFonts w:ascii="Gotham Book" w:hAnsi="Gotham Book"/>
          <w:sz w:val="20"/>
          <w:szCs w:val="20"/>
        </w:rPr>
        <w:t>NSW Police Force</w:t>
      </w:r>
      <w:r>
        <w:rPr>
          <w:sz w:val="20"/>
          <w:szCs w:val="20"/>
        </w:rPr>
        <w:t xml:space="preserve"> to Mr GG</w:t>
      </w:r>
      <w:r w:rsidRPr="00E731EB">
        <w:rPr>
          <w:sz w:val="20"/>
          <w:szCs w:val="20"/>
        </w:rPr>
        <w:t xml:space="preserve">, 6 February 2017, </w:t>
      </w:r>
      <w:r>
        <w:rPr>
          <w:sz w:val="20"/>
          <w:szCs w:val="20"/>
        </w:rPr>
        <w:t>NSW Police Force response</w:t>
      </w:r>
      <w:r w:rsidRPr="00E731EB">
        <w:rPr>
          <w:sz w:val="20"/>
          <w:szCs w:val="20"/>
        </w:rPr>
        <w:t xml:space="preserve"> to item 2(g) of </w:t>
      </w:r>
      <w:r>
        <w:rPr>
          <w:sz w:val="20"/>
          <w:szCs w:val="20"/>
        </w:rPr>
        <w:t>Law Enforcement Conduct Commission Notice</w:t>
      </w:r>
      <w:r w:rsidRPr="00E731EB">
        <w:rPr>
          <w:sz w:val="20"/>
          <w:szCs w:val="20"/>
        </w:rPr>
        <w:t xml:space="preserve"> 929 of 2018; </w:t>
      </w:r>
      <w:r w:rsidRPr="00E731EB">
        <w:rPr>
          <w:rFonts w:ascii="Gotham Book" w:hAnsi="Gotham Book"/>
          <w:sz w:val="20"/>
          <w:szCs w:val="20"/>
        </w:rPr>
        <w:t xml:space="preserve">Letter from </w:t>
      </w:r>
      <w:r>
        <w:rPr>
          <w:rFonts w:ascii="Gotham Book" w:hAnsi="Gotham Book"/>
          <w:sz w:val="20"/>
          <w:szCs w:val="20"/>
        </w:rPr>
        <w:t>NSW Police Force to Mr NN</w:t>
      </w:r>
      <w:r w:rsidRPr="00E731EB">
        <w:rPr>
          <w:rFonts w:ascii="Gotham Book" w:hAnsi="Gotham Book"/>
          <w:sz w:val="20"/>
          <w:szCs w:val="20"/>
        </w:rPr>
        <w:t xml:space="preserve">, 23 May 2017, </w:t>
      </w:r>
      <w:r>
        <w:rPr>
          <w:rFonts w:ascii="Gotham Book" w:hAnsi="Gotham Book"/>
          <w:sz w:val="20"/>
          <w:szCs w:val="20"/>
        </w:rPr>
        <w:t>NSW Police Force response</w:t>
      </w:r>
      <w:r w:rsidRPr="00E731EB">
        <w:rPr>
          <w:rFonts w:ascii="Gotham Book" w:hAnsi="Gotham Book"/>
          <w:sz w:val="20"/>
          <w:szCs w:val="20"/>
        </w:rPr>
        <w:t xml:space="preserve"> to item 2(h) of </w:t>
      </w:r>
      <w:r>
        <w:rPr>
          <w:rFonts w:ascii="Gotham Book" w:hAnsi="Gotham Book"/>
          <w:sz w:val="20"/>
          <w:szCs w:val="20"/>
        </w:rPr>
        <w:t>Law Enforcement Conduct Commission Notice</w:t>
      </w:r>
      <w:r w:rsidRPr="00E731EB">
        <w:rPr>
          <w:rFonts w:ascii="Gotham Book" w:hAnsi="Gotham Book"/>
          <w:sz w:val="20"/>
          <w:szCs w:val="20"/>
        </w:rPr>
        <w:t xml:space="preserve"> 929 of 2018</w:t>
      </w:r>
      <w:r w:rsidRPr="00E731EB">
        <w:rPr>
          <w:sz w:val="20"/>
          <w:szCs w:val="20"/>
        </w:rPr>
        <w:t xml:space="preserve">; </w:t>
      </w:r>
      <w:r w:rsidRPr="00E731EB">
        <w:rPr>
          <w:rFonts w:ascii="Gotham Book" w:hAnsi="Gotham Book"/>
          <w:sz w:val="20"/>
          <w:szCs w:val="20"/>
        </w:rPr>
        <w:t xml:space="preserve">Letter from </w:t>
      </w:r>
      <w:r>
        <w:rPr>
          <w:rFonts w:ascii="Gotham Book" w:hAnsi="Gotham Book"/>
          <w:sz w:val="20"/>
          <w:szCs w:val="20"/>
        </w:rPr>
        <w:t>NSW Police Force</w:t>
      </w:r>
      <w:r w:rsidRPr="00E731EB">
        <w:rPr>
          <w:rFonts w:ascii="Gotham Book" w:hAnsi="Gotham Book"/>
          <w:sz w:val="20"/>
          <w:szCs w:val="20"/>
        </w:rPr>
        <w:t xml:space="preserve"> to Mr KK, 16 March 2017, </w:t>
      </w:r>
      <w:r>
        <w:rPr>
          <w:rFonts w:ascii="Gotham Book" w:hAnsi="Gotham Book"/>
          <w:sz w:val="20"/>
          <w:szCs w:val="20"/>
        </w:rPr>
        <w:t>NSW Police Force response</w:t>
      </w:r>
      <w:r w:rsidRPr="00E731EB">
        <w:rPr>
          <w:rFonts w:ascii="Gotham Book" w:hAnsi="Gotham Book"/>
          <w:sz w:val="20"/>
          <w:szCs w:val="20"/>
        </w:rPr>
        <w:t xml:space="preserve"> to item 2(i) of </w:t>
      </w:r>
      <w:r>
        <w:rPr>
          <w:rFonts w:ascii="Gotham Book" w:hAnsi="Gotham Book"/>
          <w:sz w:val="20"/>
          <w:szCs w:val="20"/>
        </w:rPr>
        <w:t>Law Enforcement Conduct Commission Notice</w:t>
      </w:r>
      <w:r w:rsidRPr="00E731EB">
        <w:rPr>
          <w:rFonts w:ascii="Gotham Book" w:hAnsi="Gotham Book"/>
          <w:sz w:val="20"/>
          <w:szCs w:val="20"/>
        </w:rPr>
        <w:t xml:space="preserve"> 929 of 2018</w:t>
      </w:r>
      <w:r w:rsidRPr="00E731EB">
        <w:rPr>
          <w:sz w:val="20"/>
          <w:szCs w:val="20"/>
        </w:rPr>
        <w:t>.</w:t>
      </w:r>
      <w:r>
        <w:rPr>
          <w:sz w:val="20"/>
          <w:szCs w:val="20"/>
        </w:rPr>
        <w:t xml:space="preserve"> </w:t>
      </w:r>
      <w:r w:rsidRPr="00E731EB">
        <w:rPr>
          <w:sz w:val="20"/>
          <w:szCs w:val="20"/>
        </w:rPr>
        <w:t>T</w:t>
      </w:r>
      <w:r>
        <w:rPr>
          <w:sz w:val="20"/>
          <w:szCs w:val="20"/>
        </w:rPr>
        <w:t>he Commission reviewed a</w:t>
      </w:r>
      <w:r w:rsidRPr="00E731EB">
        <w:rPr>
          <w:sz w:val="20"/>
          <w:szCs w:val="20"/>
        </w:rPr>
        <w:t xml:space="preserve"> sixth letter sent by the NSW Police Force to a person who was wrongly convicted for an offence under the CPOR Act, but the Commission accepts that this letter was in fact drafted by</w:t>
      </w:r>
      <w:r>
        <w:rPr>
          <w:sz w:val="20"/>
          <w:szCs w:val="20"/>
        </w:rPr>
        <w:t xml:space="preserve"> the Queensland Police Service:</w:t>
      </w:r>
      <w:r w:rsidRPr="00E731EB">
        <w:rPr>
          <w:sz w:val="20"/>
          <w:szCs w:val="20"/>
        </w:rPr>
        <w:t xml:space="preserve"> see </w:t>
      </w:r>
      <w:r w:rsidRPr="007F7DDB">
        <w:rPr>
          <w:sz w:val="20"/>
          <w:szCs w:val="20"/>
        </w:rPr>
        <w:t>section 4.10 below.</w:t>
      </w:r>
    </w:p>
  </w:footnote>
  <w:footnote w:id="197">
    <w:p w14:paraId="4222BC96" w14:textId="6930A9A7" w:rsidR="0042789D" w:rsidRPr="007A0CCB" w:rsidRDefault="0042789D" w:rsidP="009F5918">
      <w:pPr>
        <w:pStyle w:val="FootnoteText"/>
        <w:spacing w:before="60" w:after="60"/>
      </w:pPr>
      <w:r w:rsidRPr="007A0CCB">
        <w:rPr>
          <w:rStyle w:val="FootnoteReference"/>
        </w:rPr>
        <w:footnoteRef/>
      </w:r>
      <w:r w:rsidRPr="007A0CCB">
        <w:t xml:space="preserve"> </w:t>
      </w:r>
      <w:r w:rsidRPr="00E731EB">
        <w:t xml:space="preserve">Letter from </w:t>
      </w:r>
      <w:r>
        <w:t>NSW Police Force</w:t>
      </w:r>
      <w:r w:rsidRPr="00E731EB">
        <w:t xml:space="preserve"> to Mr EE, 16 February 2017, </w:t>
      </w:r>
      <w:r>
        <w:t>NSW Police Force response</w:t>
      </w:r>
      <w:r w:rsidRPr="00E731EB">
        <w:t xml:space="preserve"> to item 2(f) of </w:t>
      </w:r>
      <w:r>
        <w:t>Law Enforcement Conduct Commission Notice</w:t>
      </w:r>
      <w:r w:rsidRPr="00E731EB">
        <w:t xml:space="preserve"> 929 of 2018</w:t>
      </w:r>
      <w:r>
        <w:t>.</w:t>
      </w:r>
    </w:p>
  </w:footnote>
  <w:footnote w:id="198">
    <w:p w14:paraId="455C2AD1" w14:textId="2DCF5F0C" w:rsidR="0042789D" w:rsidRPr="00676BFB" w:rsidRDefault="0042789D" w:rsidP="00A97CE1">
      <w:pPr>
        <w:pStyle w:val="Footnote"/>
        <w:rPr>
          <w:rFonts w:ascii="Gotham Book" w:hAnsi="Gotham Book"/>
        </w:rPr>
      </w:pPr>
      <w:r w:rsidRPr="00676BFB">
        <w:rPr>
          <w:rStyle w:val="FootnoteReference"/>
          <w:rFonts w:ascii="Gotham Book" w:hAnsi="Gotham Book"/>
        </w:rPr>
        <w:footnoteRef/>
      </w:r>
      <w:r w:rsidRPr="00676BFB">
        <w:rPr>
          <w:rFonts w:ascii="Gotham Book" w:hAnsi="Gotham Book"/>
        </w:rPr>
        <w:t xml:space="preserve"> Letter from </w:t>
      </w:r>
      <w:r>
        <w:rPr>
          <w:rFonts w:ascii="Gotham Book" w:hAnsi="Gotham Book"/>
        </w:rPr>
        <w:t>NSW Police Force</w:t>
      </w:r>
      <w:r w:rsidRPr="00676BFB">
        <w:rPr>
          <w:rFonts w:ascii="Gotham Book" w:hAnsi="Gotham Book"/>
        </w:rPr>
        <w:t xml:space="preserve"> to </w:t>
      </w:r>
      <w:r>
        <w:rPr>
          <w:rFonts w:ascii="Gotham Book" w:hAnsi="Gotham Book"/>
        </w:rPr>
        <w:t>Mr DD</w:t>
      </w:r>
      <w:r w:rsidRPr="00676BFB">
        <w:rPr>
          <w:rFonts w:ascii="Gotham Book" w:hAnsi="Gotham Book"/>
        </w:rPr>
        <w:t xml:space="preserve">, 27 July 2016, </w:t>
      </w:r>
      <w:r>
        <w:rPr>
          <w:rFonts w:ascii="Gotham Book" w:hAnsi="Gotham Book"/>
        </w:rPr>
        <w:t>NSW Police Force response</w:t>
      </w:r>
      <w:r w:rsidRPr="00676BFB">
        <w:rPr>
          <w:rFonts w:ascii="Gotham Book" w:hAnsi="Gotham Book"/>
        </w:rPr>
        <w:t xml:space="preserve"> to item 2(e) of </w:t>
      </w:r>
      <w:r>
        <w:rPr>
          <w:rFonts w:ascii="Gotham Book" w:hAnsi="Gotham Book"/>
        </w:rPr>
        <w:t>Law Enforcement Conduct Commission Notice</w:t>
      </w:r>
      <w:r w:rsidRPr="00676BFB">
        <w:rPr>
          <w:rFonts w:ascii="Gotham Book" w:hAnsi="Gotham Book"/>
        </w:rPr>
        <w:t xml:space="preserve"> 929 of 2018; </w:t>
      </w:r>
      <w:r w:rsidRPr="00626BF7">
        <w:rPr>
          <w:rFonts w:ascii="Gotham Book" w:hAnsi="Gotham Book"/>
        </w:rPr>
        <w:t>Letter from</w:t>
      </w:r>
      <w:r>
        <w:rPr>
          <w:rFonts w:ascii="Gotham Book" w:hAnsi="Gotham Book"/>
        </w:rPr>
        <w:t xml:space="preserve"> NSW Police Force </w:t>
      </w:r>
      <w:r w:rsidRPr="00626BF7">
        <w:rPr>
          <w:rFonts w:ascii="Gotham Book" w:hAnsi="Gotham Book"/>
        </w:rPr>
        <w:t>to Mr NN</w:t>
      </w:r>
      <w:r>
        <w:rPr>
          <w:rFonts w:ascii="Gotham Book" w:hAnsi="Gotham Book"/>
        </w:rPr>
        <w:t xml:space="preserve"> (signed by Mr NN)</w:t>
      </w:r>
      <w:r w:rsidRPr="00626BF7">
        <w:rPr>
          <w:rFonts w:ascii="Gotham Book" w:hAnsi="Gotham Book"/>
        </w:rPr>
        <w:t xml:space="preserve">, 23 May 2017, </w:t>
      </w:r>
      <w:r>
        <w:rPr>
          <w:rFonts w:ascii="Gotham Book" w:hAnsi="Gotham Book"/>
        </w:rPr>
        <w:t>NSW Police Force response</w:t>
      </w:r>
      <w:r w:rsidRPr="00626BF7">
        <w:rPr>
          <w:rFonts w:ascii="Gotham Book" w:hAnsi="Gotham Book"/>
        </w:rPr>
        <w:t xml:space="preserve"> to item 2(h) of </w:t>
      </w:r>
      <w:r>
        <w:rPr>
          <w:rFonts w:ascii="Gotham Book" w:hAnsi="Gotham Book"/>
        </w:rPr>
        <w:t>Law Enforcement Conduct Commission Notice 929 of 2018</w:t>
      </w:r>
      <w:r w:rsidRPr="00A0303F">
        <w:rPr>
          <w:rFonts w:ascii="Gotham Book" w:hAnsi="Gotham Book"/>
        </w:rPr>
        <w:t>.</w:t>
      </w:r>
    </w:p>
  </w:footnote>
  <w:footnote w:id="199">
    <w:p w14:paraId="7BE37BC6" w14:textId="0E4CF7B6" w:rsidR="0042789D" w:rsidRPr="00676BFB" w:rsidRDefault="0042789D" w:rsidP="00A97CE1">
      <w:pPr>
        <w:pStyle w:val="Footnote"/>
        <w:rPr>
          <w:rFonts w:ascii="Gotham Book" w:hAnsi="Gotham Book"/>
        </w:rPr>
      </w:pPr>
      <w:r w:rsidRPr="00676BFB">
        <w:rPr>
          <w:rStyle w:val="FootnoteReference"/>
          <w:rFonts w:ascii="Gotham Book" w:hAnsi="Gotham Book"/>
        </w:rPr>
        <w:footnoteRef/>
      </w:r>
      <w:r>
        <w:rPr>
          <w:rFonts w:ascii="Gotham Book" w:hAnsi="Gotham Book"/>
        </w:rPr>
        <w:t xml:space="preserve"> </w:t>
      </w:r>
      <w:r w:rsidRPr="000711B1">
        <w:rPr>
          <w:rFonts w:cs="Arial"/>
        </w:rPr>
        <w:t xml:space="preserve">Email from </w:t>
      </w:r>
      <w:r>
        <w:rPr>
          <w:rFonts w:cs="Arial"/>
        </w:rPr>
        <w:t>Police Prosecutions Command, NSW Police Force,</w:t>
      </w:r>
      <w:r w:rsidRPr="000711B1">
        <w:rPr>
          <w:rFonts w:cs="Arial"/>
        </w:rPr>
        <w:t xml:space="preserve"> to </w:t>
      </w:r>
      <w:r>
        <w:rPr>
          <w:rFonts w:cs="Arial"/>
        </w:rPr>
        <w:t>Child Protection Registry</w:t>
      </w:r>
      <w:r w:rsidRPr="000711B1">
        <w:rPr>
          <w:rFonts w:cs="Arial"/>
        </w:rPr>
        <w:t xml:space="preserve">, </w:t>
      </w:r>
      <w:r>
        <w:rPr>
          <w:rFonts w:cs="Arial"/>
        </w:rPr>
        <w:t xml:space="preserve">NSW Police Force, </w:t>
      </w:r>
      <w:r w:rsidRPr="000711B1">
        <w:rPr>
          <w:rFonts w:cs="Arial"/>
        </w:rPr>
        <w:t>13 July 2016</w:t>
      </w:r>
      <w:r>
        <w:rPr>
          <w:rFonts w:cs="Arial"/>
        </w:rPr>
        <w:t xml:space="preserve">, </w:t>
      </w:r>
      <w:r>
        <w:rPr>
          <w:rFonts w:ascii="Gotham Book" w:hAnsi="Gotham Book"/>
        </w:rPr>
        <w:t>Email from Officer, Child Protection Registry, NSW Police Force, to Manager, Child Protection Registry, 13 July 2016</w:t>
      </w:r>
      <w:r w:rsidRPr="00676BFB">
        <w:rPr>
          <w:rFonts w:ascii="Gotham Book" w:hAnsi="Gotham Book"/>
        </w:rPr>
        <w:t>,</w:t>
      </w:r>
      <w:r>
        <w:rPr>
          <w:rFonts w:ascii="Gotham Book" w:hAnsi="Gotham Book"/>
        </w:rPr>
        <w:t xml:space="preserve"> and</w:t>
      </w:r>
      <w:r w:rsidRPr="00676BFB">
        <w:rPr>
          <w:rFonts w:ascii="Gotham Book" w:hAnsi="Gotham Book"/>
        </w:rPr>
        <w:t xml:space="preserve"> </w:t>
      </w:r>
      <w:r w:rsidRPr="009D5068">
        <w:rPr>
          <w:rFonts w:ascii="Gotham Book" w:hAnsi="Gotham Book"/>
        </w:rPr>
        <w:t xml:space="preserve">Child Protection Registry, </w:t>
      </w:r>
      <w:r w:rsidRPr="009D5068">
        <w:rPr>
          <w:rFonts w:ascii="Gotham Book" w:hAnsi="Gotham Book"/>
          <w:i/>
        </w:rPr>
        <w:t>NSW Police Force s 194 Intelligence Report for Parole Hearing of [Mr DD]</w:t>
      </w:r>
      <w:r w:rsidRPr="009D5068">
        <w:rPr>
          <w:rFonts w:ascii="Gotham Book" w:hAnsi="Gotham Book"/>
        </w:rPr>
        <w:t>, 2 August 2016,</w:t>
      </w:r>
      <w:r>
        <w:rPr>
          <w:rFonts w:ascii="Gotham Book" w:hAnsi="Gotham Book"/>
        </w:rPr>
        <w:t xml:space="preserve"> all in</w:t>
      </w:r>
      <w:r w:rsidRPr="009D5068">
        <w:rPr>
          <w:rFonts w:ascii="Gotham Book" w:hAnsi="Gotham Book"/>
        </w:rPr>
        <w:t xml:space="preserve"> </w:t>
      </w:r>
      <w:r>
        <w:rPr>
          <w:rFonts w:ascii="Gotham Book" w:hAnsi="Gotham Book"/>
        </w:rPr>
        <w:t>NSW Police Force response</w:t>
      </w:r>
      <w:r w:rsidRPr="009D5068">
        <w:rPr>
          <w:rFonts w:ascii="Gotham Book" w:hAnsi="Gotham Book"/>
        </w:rPr>
        <w:t xml:space="preserve"> to item 2(e) of </w:t>
      </w:r>
      <w:r>
        <w:rPr>
          <w:rFonts w:ascii="Gotham Book" w:hAnsi="Gotham Book"/>
        </w:rPr>
        <w:t>Law Enforcement Conduct Commission Notice</w:t>
      </w:r>
      <w:r w:rsidRPr="009D5068">
        <w:rPr>
          <w:rFonts w:ascii="Gotham Book" w:hAnsi="Gotham Book"/>
        </w:rPr>
        <w:t xml:space="preserve"> 929 of 2018.</w:t>
      </w:r>
    </w:p>
  </w:footnote>
  <w:footnote w:id="200">
    <w:p w14:paraId="611051B0" w14:textId="3DE95712" w:rsidR="0042789D" w:rsidRPr="00676BFB" w:rsidRDefault="0042789D" w:rsidP="00A97CE1">
      <w:pPr>
        <w:pStyle w:val="Footnote"/>
        <w:rPr>
          <w:rFonts w:ascii="Gotham Book" w:hAnsi="Gotham Book"/>
        </w:rPr>
      </w:pPr>
      <w:r w:rsidRPr="00676BFB">
        <w:rPr>
          <w:rStyle w:val="FootnoteReference"/>
          <w:rFonts w:ascii="Gotham Book" w:hAnsi="Gotham Book"/>
        </w:rPr>
        <w:footnoteRef/>
      </w:r>
      <w:r w:rsidRPr="00676BFB">
        <w:rPr>
          <w:rFonts w:ascii="Gotham Book" w:hAnsi="Gotham Book"/>
        </w:rPr>
        <w:t xml:space="preserve"> </w:t>
      </w:r>
      <w:r w:rsidRPr="000711B1">
        <w:t xml:space="preserve">Email from </w:t>
      </w:r>
      <w:r>
        <w:t xml:space="preserve">Senior Constable, State Crime Command </w:t>
      </w:r>
      <w:r w:rsidRPr="000711B1">
        <w:t xml:space="preserve">to </w:t>
      </w:r>
      <w:r>
        <w:t>Detective Senior Sergeant</w:t>
      </w:r>
      <w:r w:rsidRPr="000711B1">
        <w:t xml:space="preserve">, </w:t>
      </w:r>
      <w:r>
        <w:t xml:space="preserve">NSW Police Force, </w:t>
      </w:r>
      <w:r w:rsidRPr="000711B1">
        <w:t>19 May 2017</w:t>
      </w:r>
      <w:r>
        <w:t xml:space="preserve"> (13:33) and</w:t>
      </w:r>
      <w:r w:rsidRPr="00CD6959">
        <w:rPr>
          <w:rFonts w:ascii="Gotham Book" w:hAnsi="Gotham Book"/>
        </w:rPr>
        <w:t xml:space="preserve"> </w:t>
      </w:r>
      <w:r w:rsidRPr="00CD6959">
        <w:rPr>
          <w:rFonts w:ascii="Gotham Book" w:hAnsi="Gotham Book"/>
          <w:i/>
        </w:rPr>
        <w:t>Details of Initial Case Creation</w:t>
      </w:r>
      <w:r>
        <w:rPr>
          <w:rFonts w:ascii="Gotham Book" w:hAnsi="Gotham Book"/>
          <w:i/>
        </w:rPr>
        <w:t>,</w:t>
      </w:r>
      <w:r w:rsidRPr="00CD6959">
        <w:rPr>
          <w:rFonts w:ascii="Gotham Book" w:hAnsi="Gotham Book"/>
        </w:rPr>
        <w:t xml:space="preserve"> 19 May 2017, </w:t>
      </w:r>
      <w:r>
        <w:rPr>
          <w:rFonts w:ascii="Gotham Book" w:hAnsi="Gotham Book"/>
        </w:rPr>
        <w:t>NSW Police Force response</w:t>
      </w:r>
      <w:r w:rsidRPr="00CD6959">
        <w:rPr>
          <w:rFonts w:ascii="Gotham Book" w:hAnsi="Gotham Book"/>
        </w:rPr>
        <w:t xml:space="preserve"> to item 2(h) of </w:t>
      </w:r>
      <w:r>
        <w:rPr>
          <w:rFonts w:ascii="Gotham Book" w:hAnsi="Gotham Book"/>
        </w:rPr>
        <w:t>Law Enforcement Conduct Commission Notice</w:t>
      </w:r>
      <w:r w:rsidRPr="00CD6959">
        <w:rPr>
          <w:rFonts w:ascii="Gotham Book" w:hAnsi="Gotham Book"/>
        </w:rPr>
        <w:t xml:space="preserve"> 929 of 2018.</w:t>
      </w:r>
    </w:p>
  </w:footnote>
  <w:footnote w:id="201">
    <w:p w14:paraId="4A1AC965" w14:textId="09DC9BB2" w:rsidR="0042789D" w:rsidRPr="00676BFB" w:rsidRDefault="0042789D" w:rsidP="00A97CE1">
      <w:pPr>
        <w:pStyle w:val="Footnote"/>
        <w:rPr>
          <w:rFonts w:ascii="Gotham Book" w:hAnsi="Gotham Book"/>
        </w:rPr>
      </w:pPr>
      <w:r w:rsidRPr="00676BFB">
        <w:rPr>
          <w:rStyle w:val="FootnoteReference"/>
          <w:rFonts w:ascii="Gotham Book" w:hAnsi="Gotham Book"/>
        </w:rPr>
        <w:footnoteRef/>
      </w:r>
      <w:r w:rsidRPr="00676BFB">
        <w:rPr>
          <w:rFonts w:ascii="Gotham Book" w:hAnsi="Gotham Book"/>
        </w:rPr>
        <w:t xml:space="preserve"> </w:t>
      </w:r>
      <w:r w:rsidRPr="000711B1">
        <w:rPr>
          <w:rFonts w:cs="Arial"/>
        </w:rPr>
        <w:t xml:space="preserve">Email from </w:t>
      </w:r>
      <w:r>
        <w:rPr>
          <w:rFonts w:cs="Arial"/>
        </w:rPr>
        <w:t>Police Prosecutions Command, NSW Police Force,</w:t>
      </w:r>
      <w:r w:rsidRPr="000711B1">
        <w:rPr>
          <w:rFonts w:cs="Arial"/>
        </w:rPr>
        <w:t xml:space="preserve"> to </w:t>
      </w:r>
      <w:r>
        <w:rPr>
          <w:rFonts w:cs="Arial"/>
        </w:rPr>
        <w:t>Child Protection Registry</w:t>
      </w:r>
      <w:r w:rsidRPr="000711B1">
        <w:rPr>
          <w:rFonts w:cs="Arial"/>
        </w:rPr>
        <w:t xml:space="preserve">, </w:t>
      </w:r>
      <w:r>
        <w:rPr>
          <w:rFonts w:cs="Arial"/>
        </w:rPr>
        <w:t xml:space="preserve">NSW Police Force, </w:t>
      </w:r>
      <w:r w:rsidRPr="000711B1">
        <w:rPr>
          <w:rFonts w:cs="Arial"/>
        </w:rPr>
        <w:t>13 July 2016</w:t>
      </w:r>
      <w:r>
        <w:rPr>
          <w:rFonts w:cs="Arial"/>
        </w:rPr>
        <w:t xml:space="preserve">, </w:t>
      </w:r>
      <w:r>
        <w:rPr>
          <w:rFonts w:ascii="Gotham Book" w:hAnsi="Gotham Book"/>
        </w:rPr>
        <w:t>Email from Officer, Child Protection Registry, NSW Police Force, to Manager, Child Protection Registry, 13 July 2016</w:t>
      </w:r>
      <w:r w:rsidRPr="00676BFB">
        <w:rPr>
          <w:rFonts w:ascii="Gotham Book" w:hAnsi="Gotham Book"/>
        </w:rPr>
        <w:t>,</w:t>
      </w:r>
      <w:r>
        <w:rPr>
          <w:rFonts w:ascii="Gotham Book" w:hAnsi="Gotham Book"/>
        </w:rPr>
        <w:t xml:space="preserve"> and</w:t>
      </w:r>
      <w:r w:rsidRPr="00676BFB">
        <w:rPr>
          <w:rFonts w:ascii="Gotham Book" w:hAnsi="Gotham Book"/>
        </w:rPr>
        <w:t xml:space="preserve"> </w:t>
      </w:r>
      <w:r w:rsidRPr="009D5068">
        <w:rPr>
          <w:rFonts w:ascii="Gotham Book" w:hAnsi="Gotham Book"/>
        </w:rPr>
        <w:t xml:space="preserve">Child Protection Registry, </w:t>
      </w:r>
      <w:r w:rsidRPr="009D5068">
        <w:rPr>
          <w:rFonts w:ascii="Gotham Book" w:hAnsi="Gotham Book"/>
          <w:i/>
        </w:rPr>
        <w:t>NSW Police Force s 194 Intelligence Report for Parole Hearing of [Mr DD]</w:t>
      </w:r>
      <w:r w:rsidRPr="009D5068">
        <w:rPr>
          <w:rFonts w:ascii="Gotham Book" w:hAnsi="Gotham Book"/>
        </w:rPr>
        <w:t>, 2 August 2016,</w:t>
      </w:r>
      <w:r>
        <w:rPr>
          <w:rFonts w:ascii="Gotham Book" w:hAnsi="Gotham Book"/>
        </w:rPr>
        <w:t xml:space="preserve"> all in</w:t>
      </w:r>
      <w:r w:rsidRPr="009D5068">
        <w:rPr>
          <w:rFonts w:ascii="Gotham Book" w:hAnsi="Gotham Book"/>
        </w:rPr>
        <w:t xml:space="preserve"> </w:t>
      </w:r>
      <w:r>
        <w:rPr>
          <w:rFonts w:ascii="Gotham Book" w:hAnsi="Gotham Book"/>
        </w:rPr>
        <w:t>NSW Police Force response</w:t>
      </w:r>
      <w:r w:rsidRPr="009D5068">
        <w:rPr>
          <w:rFonts w:ascii="Gotham Book" w:hAnsi="Gotham Book"/>
        </w:rPr>
        <w:t xml:space="preserve"> to item 2(e) of </w:t>
      </w:r>
      <w:r>
        <w:rPr>
          <w:rFonts w:ascii="Gotham Book" w:hAnsi="Gotham Book"/>
        </w:rPr>
        <w:t>Law Enforcement Conduct Commission Notice</w:t>
      </w:r>
      <w:r w:rsidRPr="009D5068">
        <w:rPr>
          <w:rFonts w:ascii="Gotham Book" w:hAnsi="Gotham Book"/>
        </w:rPr>
        <w:t xml:space="preserve"> 929 of 2018.</w:t>
      </w:r>
    </w:p>
  </w:footnote>
  <w:footnote w:id="202">
    <w:p w14:paraId="00ACF638" w14:textId="15278884" w:rsidR="0042789D" w:rsidRPr="006B4335" w:rsidRDefault="0042789D" w:rsidP="00A97CE1">
      <w:pPr>
        <w:pStyle w:val="Footnote"/>
        <w:rPr>
          <w:rFonts w:ascii="Gotham Book" w:hAnsi="Gotham Book"/>
          <w:vertAlign w:val="superscript"/>
        </w:rPr>
      </w:pPr>
      <w:r w:rsidRPr="00676BFB">
        <w:rPr>
          <w:rStyle w:val="FootnoteReference"/>
          <w:rFonts w:ascii="Gotham Book" w:hAnsi="Gotham Book"/>
        </w:rPr>
        <w:footnoteRef/>
      </w:r>
      <w:r w:rsidRPr="00676BFB">
        <w:rPr>
          <w:rFonts w:ascii="Gotham Book" w:hAnsi="Gotham Book"/>
        </w:rPr>
        <w:t xml:space="preserve"> </w:t>
      </w:r>
      <w:r w:rsidRPr="000711B1">
        <w:t xml:space="preserve">Email from </w:t>
      </w:r>
      <w:r>
        <w:t xml:space="preserve">Senior Constable, State Crime Command </w:t>
      </w:r>
      <w:r w:rsidRPr="000711B1">
        <w:t xml:space="preserve">to </w:t>
      </w:r>
      <w:r>
        <w:t>Detective Senior Sergeant</w:t>
      </w:r>
      <w:r w:rsidRPr="000711B1">
        <w:t xml:space="preserve">, </w:t>
      </w:r>
      <w:r>
        <w:t xml:space="preserve">NSW Police Force, </w:t>
      </w:r>
      <w:r w:rsidRPr="000711B1">
        <w:t>19 May 2017</w:t>
      </w:r>
      <w:r>
        <w:t xml:space="preserve"> (13:33) and</w:t>
      </w:r>
      <w:r w:rsidRPr="00CD6959">
        <w:rPr>
          <w:rFonts w:ascii="Gotham Book" w:hAnsi="Gotham Book"/>
        </w:rPr>
        <w:t xml:space="preserve"> </w:t>
      </w:r>
      <w:r w:rsidRPr="00CD6959">
        <w:rPr>
          <w:rFonts w:ascii="Gotham Book" w:hAnsi="Gotham Book"/>
          <w:i/>
        </w:rPr>
        <w:t>Details of Initial Case Creation</w:t>
      </w:r>
      <w:r>
        <w:rPr>
          <w:rFonts w:ascii="Gotham Book" w:hAnsi="Gotham Book"/>
          <w:i/>
        </w:rPr>
        <w:t>,</w:t>
      </w:r>
      <w:r w:rsidRPr="00CD6959">
        <w:rPr>
          <w:rFonts w:ascii="Gotham Book" w:hAnsi="Gotham Book"/>
        </w:rPr>
        <w:t xml:space="preserve"> 19 May 2017, </w:t>
      </w:r>
      <w:r>
        <w:rPr>
          <w:rFonts w:ascii="Gotham Book" w:hAnsi="Gotham Book"/>
        </w:rPr>
        <w:t>NSW Police Force response</w:t>
      </w:r>
      <w:r w:rsidRPr="00CD6959">
        <w:rPr>
          <w:rFonts w:ascii="Gotham Book" w:hAnsi="Gotham Book"/>
        </w:rPr>
        <w:t xml:space="preserve"> to item 2(h</w:t>
      </w:r>
      <w:r w:rsidRPr="006B4335">
        <w:rPr>
          <w:rFonts w:ascii="Gotham Book" w:hAnsi="Gotham Book"/>
        </w:rPr>
        <w:t xml:space="preserve">) of </w:t>
      </w:r>
      <w:r>
        <w:rPr>
          <w:rFonts w:ascii="Gotham Book" w:hAnsi="Gotham Book"/>
        </w:rPr>
        <w:t>Law Enforcement Conduct Commission</w:t>
      </w:r>
      <w:r w:rsidRPr="006B4335">
        <w:rPr>
          <w:rFonts w:ascii="Gotham Book" w:hAnsi="Gotham Book"/>
        </w:rPr>
        <w:t xml:space="preserve"> Notice 929 of 2018.</w:t>
      </w:r>
    </w:p>
  </w:footnote>
  <w:footnote w:id="203">
    <w:p w14:paraId="705565FE" w14:textId="0DD12B4A" w:rsidR="0042789D" w:rsidRPr="006B4335" w:rsidRDefault="0042789D" w:rsidP="009971D8">
      <w:pPr>
        <w:pStyle w:val="FootnoteText"/>
      </w:pPr>
      <w:r w:rsidRPr="006B4335">
        <w:rPr>
          <w:rStyle w:val="FootnoteReference"/>
        </w:rPr>
        <w:footnoteRef/>
      </w:r>
      <w:r w:rsidRPr="006B4335">
        <w:t xml:space="preserve"> Response provided to the </w:t>
      </w:r>
      <w:r>
        <w:t>Law Enforcement Conduct Commission</w:t>
      </w:r>
      <w:r w:rsidRPr="006B4335">
        <w:t>, 8 July 2019.</w:t>
      </w:r>
    </w:p>
  </w:footnote>
  <w:footnote w:id="204">
    <w:p w14:paraId="1736A47B" w14:textId="5553047D" w:rsidR="0042789D" w:rsidRPr="006B4335" w:rsidRDefault="0042789D" w:rsidP="009971D8">
      <w:pPr>
        <w:pStyle w:val="FootnoteText"/>
      </w:pPr>
      <w:r w:rsidRPr="006B4335">
        <w:rPr>
          <w:rStyle w:val="FootnoteReference"/>
        </w:rPr>
        <w:footnoteRef/>
      </w:r>
      <w:r w:rsidRPr="006B4335">
        <w:t xml:space="preserve"> Response provided to the </w:t>
      </w:r>
      <w:r>
        <w:t>Law Enforcement Conduct Commission</w:t>
      </w:r>
      <w:r w:rsidRPr="006B4335">
        <w:t>, 9 July 2019.</w:t>
      </w:r>
    </w:p>
  </w:footnote>
  <w:footnote w:id="205">
    <w:p w14:paraId="1449E8B2" w14:textId="6B380401" w:rsidR="0042789D" w:rsidRPr="00AC3A2A" w:rsidRDefault="0042789D">
      <w:pPr>
        <w:pStyle w:val="FootnoteText"/>
      </w:pPr>
      <w:r w:rsidRPr="006B4335">
        <w:rPr>
          <w:rStyle w:val="FootnoteReference"/>
        </w:rPr>
        <w:footnoteRef/>
      </w:r>
      <w:r w:rsidRPr="006B4335">
        <w:t xml:space="preserve"> See section 4.3.1 above.</w:t>
      </w:r>
    </w:p>
  </w:footnote>
  <w:footnote w:id="206">
    <w:p w14:paraId="50360E7B" w14:textId="5753EC2C" w:rsidR="0042789D" w:rsidRPr="00FF7EBB" w:rsidRDefault="0042789D">
      <w:pPr>
        <w:pStyle w:val="FootnoteText"/>
      </w:pPr>
      <w:r w:rsidRPr="00FF7EBB">
        <w:rPr>
          <w:rStyle w:val="FootnoteReference"/>
        </w:rPr>
        <w:footnoteRef/>
      </w:r>
      <w:r w:rsidRPr="00FF7EBB">
        <w:t xml:space="preserve"> </w:t>
      </w:r>
      <w:r w:rsidRPr="008A1FCA">
        <w:t xml:space="preserve">Email from Child Protection Registry, </w:t>
      </w:r>
      <w:r>
        <w:t>NSW Police Force</w:t>
      </w:r>
      <w:r w:rsidRPr="008A1FCA">
        <w:t xml:space="preserve">, to Office of the General Counsel, </w:t>
      </w:r>
      <w:r>
        <w:t>NSW Police Force</w:t>
      </w:r>
      <w:r w:rsidRPr="008A1FCA">
        <w:t xml:space="preserve">, 14 July 2016 (forwarding email from Sex Crimes Squad, </w:t>
      </w:r>
      <w:r>
        <w:t>NSW Police Force</w:t>
      </w:r>
      <w:r w:rsidRPr="008A1FCA">
        <w:t xml:space="preserve">, </w:t>
      </w:r>
      <w:r w:rsidRPr="008A1FCA">
        <w:rPr>
          <w:i/>
        </w:rPr>
        <w:t>Subject: URGENT – CPR issues</w:t>
      </w:r>
      <w:r w:rsidRPr="008A1FCA">
        <w:t xml:space="preserve">, 14 July 2016), </w:t>
      </w:r>
      <w:r>
        <w:t>NSW Police Force</w:t>
      </w:r>
      <w:r w:rsidRPr="008A1FCA">
        <w:t xml:space="preserve"> resp</w:t>
      </w:r>
      <w:r>
        <w:t>onse to Law Enforcement Conduct Commission Notice 977 of 2018</w:t>
      </w:r>
      <w:r w:rsidRPr="00135848">
        <w:t xml:space="preserve">; </w:t>
      </w:r>
      <w:r w:rsidRPr="00D0362F">
        <w:t xml:space="preserve">Email from Office of the General Counsel, </w:t>
      </w:r>
      <w:r>
        <w:t>NSW Police Force</w:t>
      </w:r>
      <w:r w:rsidRPr="00D0362F">
        <w:t xml:space="preserve">, to Child Protection Registry </w:t>
      </w:r>
      <w:r w:rsidRPr="00D0362F">
        <w:rPr>
          <w:i/>
        </w:rPr>
        <w:t>et al</w:t>
      </w:r>
      <w:r w:rsidRPr="00D0362F">
        <w:t xml:space="preserve">, </w:t>
      </w:r>
      <w:r>
        <w:t>NSW Police Force</w:t>
      </w:r>
      <w:r w:rsidRPr="00D0362F">
        <w:t xml:space="preserve">, 20 July 2016, </w:t>
      </w:r>
      <w:r>
        <w:t>NSW Police Force</w:t>
      </w:r>
      <w:r w:rsidRPr="00D0362F">
        <w:t xml:space="preserve"> response to </w:t>
      </w:r>
      <w:r>
        <w:t>Law Enforcement Conduct Commission</w:t>
      </w:r>
      <w:r w:rsidRPr="00D0362F">
        <w:t xml:space="preserve"> Notice 977 of 2018</w:t>
      </w:r>
      <w:r w:rsidRPr="00135848">
        <w:t>.</w:t>
      </w:r>
    </w:p>
  </w:footnote>
  <w:footnote w:id="207">
    <w:p w14:paraId="0B586B2D" w14:textId="70F448DC" w:rsidR="0042789D" w:rsidRPr="005675CE" w:rsidRDefault="0042789D">
      <w:pPr>
        <w:pStyle w:val="FootnoteText"/>
      </w:pPr>
      <w:r w:rsidRPr="005675CE">
        <w:rPr>
          <w:rStyle w:val="FootnoteReference"/>
        </w:rPr>
        <w:footnoteRef/>
      </w:r>
      <w:r w:rsidRPr="005675CE">
        <w:t xml:space="preserve"> </w:t>
      </w:r>
      <w:r>
        <w:t xml:space="preserve">The CPR case file of Mr KK was produced by the NSW Police Force in response to item </w:t>
      </w:r>
      <w:r w:rsidRPr="006C33C0">
        <w:t xml:space="preserve">2(i) of </w:t>
      </w:r>
      <w:r>
        <w:t>Law Enforcement Conduct Commission Notice</w:t>
      </w:r>
      <w:r w:rsidRPr="006C33C0">
        <w:t xml:space="preserve"> 929 of 2018</w:t>
      </w:r>
      <w:r>
        <w:t>.</w:t>
      </w:r>
    </w:p>
  </w:footnote>
  <w:footnote w:id="208">
    <w:p w14:paraId="5DAC72E0" w14:textId="5CE89972" w:rsidR="0042789D" w:rsidRPr="00A04EAF" w:rsidRDefault="0042789D" w:rsidP="00A04EAF">
      <w:pPr>
        <w:pStyle w:val="FootnoteText"/>
        <w:spacing w:before="60" w:after="60"/>
      </w:pPr>
      <w:r w:rsidRPr="007F4C3C">
        <w:rPr>
          <w:rStyle w:val="FootnoteReference"/>
        </w:rPr>
        <w:footnoteRef/>
      </w:r>
      <w:r w:rsidRPr="007F4C3C">
        <w:t xml:space="preserve"> </w:t>
      </w:r>
      <w:r w:rsidRPr="007F4C3C">
        <w:rPr>
          <w:rFonts w:ascii="Gotham Book" w:hAnsi="Gotham Book" w:cs="Arial"/>
        </w:rPr>
        <w:t xml:space="preserve">Under the CPOR Act in force as at 26 October 2001, Mr KK’s two ‘Class 2’ offences gave him a reporting period of 12 years: </w:t>
      </w:r>
      <w:r w:rsidRPr="007F4C3C">
        <w:rPr>
          <w:i/>
        </w:rPr>
        <w:t>Child Protection (Offenders Registration) Act 2000</w:t>
      </w:r>
      <w:r w:rsidRPr="007F4C3C">
        <w:t xml:space="preserve"> (NSW) (version in force as </w:t>
      </w:r>
      <w:r>
        <w:t>at 26 October 2001) s 14(2)(b).</w:t>
      </w:r>
    </w:p>
  </w:footnote>
  <w:footnote w:id="209">
    <w:p w14:paraId="7C7CF834" w14:textId="0EAE9B9E" w:rsidR="0042789D" w:rsidRPr="003D1AA5" w:rsidRDefault="0042789D" w:rsidP="00A04EAF">
      <w:pPr>
        <w:pStyle w:val="Footnote"/>
        <w:rPr>
          <w:rFonts w:ascii="Gotham Book" w:hAnsi="Gotham Book"/>
        </w:rPr>
      </w:pPr>
      <w:r w:rsidRPr="00676BFB">
        <w:rPr>
          <w:rStyle w:val="FootnoteReference"/>
          <w:rFonts w:ascii="Gotham Book" w:hAnsi="Gotham Book"/>
        </w:rPr>
        <w:footnoteRef/>
      </w:r>
      <w:r>
        <w:rPr>
          <w:rFonts w:ascii="Gotham Book" w:hAnsi="Gotham Book"/>
        </w:rPr>
        <w:t xml:space="preserve"> Letter from NSW Police Force</w:t>
      </w:r>
      <w:r w:rsidRPr="00676BFB">
        <w:rPr>
          <w:rFonts w:ascii="Gotham Book" w:hAnsi="Gotham Book"/>
        </w:rPr>
        <w:t xml:space="preserve"> to Mr </w:t>
      </w:r>
      <w:r>
        <w:rPr>
          <w:rFonts w:ascii="Gotham Book" w:hAnsi="Gotham Book"/>
        </w:rPr>
        <w:t>KK</w:t>
      </w:r>
      <w:r w:rsidRPr="00676BFB">
        <w:rPr>
          <w:rFonts w:ascii="Gotham Book" w:hAnsi="Gotham Book"/>
        </w:rPr>
        <w:t xml:space="preserve">, 16 March 2017, </w:t>
      </w:r>
      <w:r>
        <w:rPr>
          <w:rFonts w:ascii="Gotham Book" w:hAnsi="Gotham Book"/>
        </w:rPr>
        <w:t>NSW Police Force response</w:t>
      </w:r>
      <w:r w:rsidRPr="00676BFB">
        <w:rPr>
          <w:rFonts w:ascii="Gotham Book" w:hAnsi="Gotham Book"/>
        </w:rPr>
        <w:t xml:space="preserve"> to </w:t>
      </w:r>
      <w:r w:rsidRPr="003D1AA5">
        <w:rPr>
          <w:rFonts w:ascii="Gotham Book" w:hAnsi="Gotham Book"/>
        </w:rPr>
        <w:t xml:space="preserve">item 2(i) of Law Enforcement Conduct Commission Notice 929 of 2018. </w:t>
      </w:r>
    </w:p>
  </w:footnote>
  <w:footnote w:id="210">
    <w:p w14:paraId="1F6C6A6D" w14:textId="294B031B" w:rsidR="0042789D" w:rsidRPr="003D1AA5" w:rsidRDefault="0042789D" w:rsidP="00554D5C">
      <w:pPr>
        <w:pStyle w:val="FootnoteText"/>
        <w:spacing w:after="0"/>
      </w:pPr>
      <w:r w:rsidRPr="003D1AA5">
        <w:rPr>
          <w:rStyle w:val="FootnoteReference"/>
        </w:rPr>
        <w:footnoteRef/>
      </w:r>
      <w:r w:rsidRPr="003D1AA5">
        <w:t xml:space="preserve"> See section 4.3.1 above.</w:t>
      </w:r>
    </w:p>
  </w:footnote>
  <w:footnote w:id="211">
    <w:p w14:paraId="50631616" w14:textId="7A39D9AB" w:rsidR="0042789D" w:rsidRDefault="0042789D" w:rsidP="00D636A4">
      <w:pPr>
        <w:pStyle w:val="FootnoteText"/>
      </w:pPr>
      <w:r w:rsidRPr="003D1AA5">
        <w:rPr>
          <w:rStyle w:val="FootnoteReference"/>
        </w:rPr>
        <w:footnoteRef/>
      </w:r>
      <w:r w:rsidRPr="003D1AA5">
        <w:t xml:space="preserve"> Letter from the NSW Police Force to Mr LL, 8 November 2016, NSW Police Force Response to item 2(m) of Notice 929 of 2018; Letter from NSW Police Force to Mr PP, 4 December</w:t>
      </w:r>
      <w:r w:rsidRPr="00D636A4">
        <w:t xml:space="preserve"> 2017, </w:t>
      </w:r>
      <w:r>
        <w:t>NSW Police Force</w:t>
      </w:r>
      <w:r w:rsidRPr="00D636A4">
        <w:t xml:space="preserve"> Response to item 2(n) of Notice 929 of </w:t>
      </w:r>
      <w:r w:rsidRPr="000D1852">
        <w:t>2018; Letter from NSW</w:t>
      </w:r>
      <w:r>
        <w:t xml:space="preserve"> </w:t>
      </w:r>
      <w:r w:rsidRPr="000D1852">
        <w:t>P</w:t>
      </w:r>
      <w:r>
        <w:t xml:space="preserve">olice </w:t>
      </w:r>
      <w:r w:rsidRPr="000D1852">
        <w:t>F</w:t>
      </w:r>
      <w:r>
        <w:t>orce</w:t>
      </w:r>
      <w:r w:rsidRPr="000D1852">
        <w:t xml:space="preserve"> to Mr MM, 9 July 2016, </w:t>
      </w:r>
      <w:r>
        <w:t>NSW Police Force</w:t>
      </w:r>
      <w:r w:rsidRPr="000D1852">
        <w:t xml:space="preserve"> Response to item 2(o) of Notice 929 </w:t>
      </w:r>
      <w:r w:rsidRPr="00113D38">
        <w:t xml:space="preserve">of 2018; </w:t>
      </w:r>
      <w:r>
        <w:t>Draft l</w:t>
      </w:r>
      <w:r w:rsidRPr="00113D38">
        <w:t>etter from NSW</w:t>
      </w:r>
      <w:r>
        <w:t xml:space="preserve"> </w:t>
      </w:r>
      <w:r w:rsidRPr="00113D38">
        <w:t>P</w:t>
      </w:r>
      <w:r>
        <w:t xml:space="preserve">olice </w:t>
      </w:r>
      <w:r w:rsidRPr="00113D38">
        <w:t>F</w:t>
      </w:r>
      <w:r>
        <w:t>orce</w:t>
      </w:r>
      <w:r w:rsidRPr="00113D38">
        <w:t xml:space="preserve"> to Mr TT, 1 July 2016, </w:t>
      </w:r>
      <w:r>
        <w:t>NSW Police Force</w:t>
      </w:r>
      <w:r w:rsidRPr="00113D38">
        <w:t xml:space="preserve"> Response to Notice 977 of 2018.</w:t>
      </w:r>
    </w:p>
    <w:p w14:paraId="16301E81" w14:textId="1B42F321" w:rsidR="0042789D" w:rsidRDefault="0042789D">
      <w:pPr>
        <w:pStyle w:val="FootnoteText"/>
      </w:pPr>
    </w:p>
  </w:footnote>
  <w:footnote w:id="212">
    <w:p w14:paraId="0F4CD5BE" w14:textId="7592EEDC" w:rsidR="0042789D" w:rsidRPr="006F04F3" w:rsidRDefault="0042789D" w:rsidP="00554D5C">
      <w:pPr>
        <w:pStyle w:val="FootnoteText"/>
        <w:spacing w:after="0"/>
      </w:pPr>
      <w:r w:rsidRPr="00C43A54">
        <w:rPr>
          <w:rStyle w:val="FootnoteReference"/>
        </w:rPr>
        <w:footnoteRef/>
      </w:r>
      <w:r w:rsidRPr="00C43A54">
        <w:t xml:space="preserve"> Letter from </w:t>
      </w:r>
      <w:r>
        <w:t>NSW Police Force</w:t>
      </w:r>
      <w:r w:rsidRPr="00C43A54">
        <w:t xml:space="preserve"> to Mr MM,</w:t>
      </w:r>
      <w:r>
        <w:t xml:space="preserve"> 9 July 2016, NSW Police Force response </w:t>
      </w:r>
      <w:r w:rsidRPr="00C43A54">
        <w:t xml:space="preserve">to item 2(o) of </w:t>
      </w:r>
      <w:r>
        <w:t>Law Enforcement Conduct Commission Notice</w:t>
      </w:r>
      <w:r w:rsidRPr="00C43A54">
        <w:t xml:space="preserve"> 929 of </w:t>
      </w:r>
      <w:r w:rsidRPr="006F04F3">
        <w:t>2018.</w:t>
      </w:r>
    </w:p>
  </w:footnote>
  <w:footnote w:id="213">
    <w:p w14:paraId="1F9D6226" w14:textId="266E986A" w:rsidR="0042789D" w:rsidRPr="00CE14C2" w:rsidRDefault="0042789D" w:rsidP="00554D5C">
      <w:pPr>
        <w:pStyle w:val="FootnoteText"/>
        <w:spacing w:after="0"/>
      </w:pPr>
      <w:r w:rsidRPr="00CE14C2">
        <w:rPr>
          <w:rStyle w:val="FootnoteReference"/>
        </w:rPr>
        <w:footnoteRef/>
      </w:r>
      <w:r w:rsidRPr="00CE14C2">
        <w:t xml:space="preserve"> </w:t>
      </w:r>
      <w:r>
        <w:t>Email from Office of the General Counsel, NSW Police Force, to Child Protection Registry, NSW Police Force, 1 July 2016</w:t>
      </w:r>
      <w:r w:rsidRPr="00466004">
        <w:t xml:space="preserve">, </w:t>
      </w:r>
      <w:r>
        <w:t>NSW Police Force response</w:t>
      </w:r>
      <w:r w:rsidRPr="00466004">
        <w:t xml:space="preserve"> to </w:t>
      </w:r>
      <w:r>
        <w:t>Law Enforcement Conduct Commission Notice</w:t>
      </w:r>
      <w:r w:rsidRPr="00466004">
        <w:t xml:space="preserve"> 977 of 2018.</w:t>
      </w:r>
    </w:p>
  </w:footnote>
  <w:footnote w:id="214">
    <w:p w14:paraId="2A2E7C59" w14:textId="72747807" w:rsidR="0042789D" w:rsidRDefault="0042789D" w:rsidP="00554D5C">
      <w:pPr>
        <w:pStyle w:val="Footnote"/>
        <w:spacing w:before="0" w:after="0"/>
      </w:pPr>
      <w:r w:rsidRPr="00CE14C2">
        <w:rPr>
          <w:rStyle w:val="FootnoteReference"/>
          <w:szCs w:val="20"/>
        </w:rPr>
        <w:footnoteRef/>
      </w:r>
      <w:r>
        <w:t xml:space="preserve"> </w:t>
      </w:r>
      <w:r w:rsidRPr="00DF3709">
        <w:t>Email from O</w:t>
      </w:r>
      <w:r>
        <w:t xml:space="preserve">ffice of the </w:t>
      </w:r>
      <w:r w:rsidRPr="00DF3709">
        <w:t>G</w:t>
      </w:r>
      <w:r>
        <w:t xml:space="preserve">eneral </w:t>
      </w:r>
      <w:r w:rsidRPr="00DF3709">
        <w:t>C</w:t>
      </w:r>
      <w:r>
        <w:t>ounsel</w:t>
      </w:r>
      <w:r w:rsidRPr="00DF3709">
        <w:t xml:space="preserve">, </w:t>
      </w:r>
      <w:r>
        <w:t xml:space="preserve">NSW Police Force, to </w:t>
      </w:r>
      <w:r w:rsidRPr="00DF3709">
        <w:t xml:space="preserve">Child Protection Registry, </w:t>
      </w:r>
      <w:r w:rsidRPr="00DF3709">
        <w:rPr>
          <w:i/>
        </w:rPr>
        <w:t>et al</w:t>
      </w:r>
      <w:r w:rsidRPr="00DF3709">
        <w:t xml:space="preserve">, </w:t>
      </w:r>
      <w:r>
        <w:t>NSW Police Force, 20 July 2016</w:t>
      </w:r>
      <w:r w:rsidRPr="00DF3709">
        <w:t xml:space="preserve">, </w:t>
      </w:r>
      <w:r>
        <w:t>NSW Police Force response</w:t>
      </w:r>
      <w:r w:rsidRPr="00DF3709">
        <w:t xml:space="preserve"> to </w:t>
      </w:r>
      <w:r>
        <w:t>Law Enforcement Conduct Commission Notice</w:t>
      </w:r>
      <w:r w:rsidRPr="00DF3709">
        <w:t xml:space="preserve"> 977 of 2018</w:t>
      </w:r>
      <w:r>
        <w:t>.</w:t>
      </w:r>
    </w:p>
  </w:footnote>
  <w:footnote w:id="215">
    <w:p w14:paraId="10C5AD61" w14:textId="66F9466D" w:rsidR="0042789D" w:rsidRPr="00676BFB" w:rsidRDefault="0042789D" w:rsidP="007E7825">
      <w:pPr>
        <w:pStyle w:val="Footnote"/>
      </w:pPr>
      <w:r w:rsidRPr="00676BFB">
        <w:rPr>
          <w:rStyle w:val="FootnoteReference"/>
          <w:rFonts w:ascii="Gotham Book" w:hAnsi="Gotham Book"/>
        </w:rPr>
        <w:footnoteRef/>
      </w:r>
      <w:r w:rsidRPr="00676BFB">
        <w:t xml:space="preserve"> </w:t>
      </w:r>
      <w:r w:rsidRPr="00DF3709">
        <w:t>Email from O</w:t>
      </w:r>
      <w:r>
        <w:t xml:space="preserve">ffice of the </w:t>
      </w:r>
      <w:r w:rsidRPr="00DF3709">
        <w:t>G</w:t>
      </w:r>
      <w:r>
        <w:t xml:space="preserve">eneral </w:t>
      </w:r>
      <w:r w:rsidRPr="00DF3709">
        <w:t>C</w:t>
      </w:r>
      <w:r>
        <w:t xml:space="preserve">ounsel, NSW Police Force, to </w:t>
      </w:r>
      <w:r w:rsidRPr="00DF3709">
        <w:t xml:space="preserve">Child Protection Registry, </w:t>
      </w:r>
      <w:r w:rsidRPr="00DF3709">
        <w:rPr>
          <w:i/>
        </w:rPr>
        <w:t>et al</w:t>
      </w:r>
      <w:r w:rsidRPr="00DF3709">
        <w:t xml:space="preserve">, </w:t>
      </w:r>
      <w:r>
        <w:t>NSW Police Force, 20 July 2016</w:t>
      </w:r>
      <w:r w:rsidRPr="00DF3709">
        <w:t xml:space="preserve">, </w:t>
      </w:r>
      <w:r>
        <w:t>NSW Police Force response</w:t>
      </w:r>
      <w:r w:rsidRPr="00DF3709">
        <w:t xml:space="preserve"> to </w:t>
      </w:r>
      <w:r>
        <w:t>Law Enforcement Conduct Commission Notice</w:t>
      </w:r>
      <w:r w:rsidRPr="00DF3709">
        <w:t xml:space="preserve"> 977 of 2018</w:t>
      </w:r>
      <w:r>
        <w:t>.</w:t>
      </w:r>
    </w:p>
  </w:footnote>
  <w:footnote w:id="216">
    <w:p w14:paraId="0A992F31" w14:textId="6781D310" w:rsidR="0042789D" w:rsidRPr="00C477F5" w:rsidRDefault="0042789D" w:rsidP="007E7825">
      <w:pPr>
        <w:pStyle w:val="FootnoteText"/>
      </w:pPr>
      <w:r w:rsidRPr="00C477F5">
        <w:rPr>
          <w:rStyle w:val="FootnoteReference"/>
        </w:rPr>
        <w:footnoteRef/>
      </w:r>
      <w:r w:rsidRPr="00C477F5">
        <w:t xml:space="preserve"> Email from Child Protection Registry, </w:t>
      </w:r>
      <w:r>
        <w:t xml:space="preserve">NSW Police Force, </w:t>
      </w:r>
      <w:r w:rsidRPr="00C477F5">
        <w:t xml:space="preserve">to Commander, Sex Crimes Squad, </w:t>
      </w:r>
      <w:r>
        <w:t>and</w:t>
      </w:r>
      <w:r w:rsidRPr="00C477F5">
        <w:t xml:space="preserve"> O</w:t>
      </w:r>
      <w:r>
        <w:t xml:space="preserve">ffice of the </w:t>
      </w:r>
      <w:r w:rsidRPr="00C477F5">
        <w:t>G</w:t>
      </w:r>
      <w:r>
        <w:t xml:space="preserve">eneral </w:t>
      </w:r>
      <w:r w:rsidRPr="00C477F5">
        <w:t>C</w:t>
      </w:r>
      <w:r>
        <w:t>ounsel</w:t>
      </w:r>
      <w:r w:rsidRPr="00C477F5">
        <w:t>,</w:t>
      </w:r>
      <w:r>
        <w:t xml:space="preserve"> NSW Police Force, 27 October 2016</w:t>
      </w:r>
      <w:r w:rsidRPr="00C477F5">
        <w:t xml:space="preserve">, (forwarding email from </w:t>
      </w:r>
      <w:r>
        <w:t xml:space="preserve">Inspector, NSW Police Force to </w:t>
      </w:r>
      <w:r w:rsidRPr="00C477F5">
        <w:t xml:space="preserve">Child Protection Registry, </w:t>
      </w:r>
      <w:r>
        <w:t>NSW Police Force, 25 October 2016) NSW Police Force response</w:t>
      </w:r>
      <w:r w:rsidRPr="00C477F5">
        <w:t xml:space="preserve"> to </w:t>
      </w:r>
      <w:r>
        <w:t>Law Enforcement Conduct Commission Notice</w:t>
      </w:r>
      <w:r w:rsidRPr="00C477F5">
        <w:t xml:space="preserve"> 977 of 2018</w:t>
      </w:r>
      <w:r>
        <w:t>.</w:t>
      </w:r>
    </w:p>
  </w:footnote>
  <w:footnote w:id="217">
    <w:p w14:paraId="31B4332F" w14:textId="405A4856" w:rsidR="0042789D" w:rsidRPr="00C477F5" w:rsidRDefault="0042789D" w:rsidP="007E7825">
      <w:pPr>
        <w:pStyle w:val="FootnoteText"/>
      </w:pPr>
      <w:r w:rsidRPr="00C477F5">
        <w:rPr>
          <w:rStyle w:val="FootnoteReference"/>
        </w:rPr>
        <w:footnoteRef/>
      </w:r>
      <w:r>
        <w:t xml:space="preserve"> </w:t>
      </w:r>
      <w:r w:rsidRPr="00C477F5">
        <w:t xml:space="preserve">Email from Child Protection Registry, </w:t>
      </w:r>
      <w:r>
        <w:t xml:space="preserve">NSW Police Force, </w:t>
      </w:r>
      <w:r w:rsidRPr="00C477F5">
        <w:t xml:space="preserve">to Commander, Sex Crimes Squad, </w:t>
      </w:r>
      <w:r>
        <w:t>and</w:t>
      </w:r>
      <w:r w:rsidRPr="00C477F5">
        <w:t xml:space="preserve"> O</w:t>
      </w:r>
      <w:r>
        <w:t xml:space="preserve">ffice of the </w:t>
      </w:r>
      <w:r w:rsidRPr="00C477F5">
        <w:t>G</w:t>
      </w:r>
      <w:r>
        <w:t xml:space="preserve">eneral </w:t>
      </w:r>
      <w:r w:rsidRPr="00C477F5">
        <w:t>C</w:t>
      </w:r>
      <w:r>
        <w:t>ounsel</w:t>
      </w:r>
      <w:r w:rsidRPr="00C477F5">
        <w:t>,</w:t>
      </w:r>
      <w:r>
        <w:t xml:space="preserve"> NSW Police Force, 27 October 2016</w:t>
      </w:r>
      <w:r w:rsidRPr="00C477F5">
        <w:t xml:space="preserve">, </w:t>
      </w:r>
      <w:r>
        <w:t>NSW Police Force response</w:t>
      </w:r>
      <w:r w:rsidRPr="00C477F5">
        <w:t xml:space="preserve"> to </w:t>
      </w:r>
      <w:r>
        <w:t>Law Enforcement Conduct Commission Notice</w:t>
      </w:r>
      <w:r w:rsidRPr="00C477F5">
        <w:t xml:space="preserve"> 977 of 2018</w:t>
      </w:r>
      <w:r>
        <w:t>.</w:t>
      </w:r>
    </w:p>
  </w:footnote>
  <w:footnote w:id="218">
    <w:p w14:paraId="691C5761" w14:textId="2BE9A3A6" w:rsidR="0042789D" w:rsidRPr="00E57F07" w:rsidRDefault="0042789D" w:rsidP="007E7825">
      <w:pPr>
        <w:pStyle w:val="FootnoteText"/>
      </w:pPr>
      <w:r w:rsidRPr="00E57F07">
        <w:rPr>
          <w:rStyle w:val="FootnoteReference"/>
        </w:rPr>
        <w:footnoteRef/>
      </w:r>
      <w:r w:rsidRPr="00E57F07">
        <w:t xml:space="preserve"> Email from Child Protection Registry, </w:t>
      </w:r>
      <w:r>
        <w:t>NSW Police Force</w:t>
      </w:r>
      <w:r w:rsidRPr="00E57F07">
        <w:t xml:space="preserve">, to Commander, Sex Crimes Squad, and Office of the General Counsel, </w:t>
      </w:r>
      <w:r>
        <w:t>NSW Police Force</w:t>
      </w:r>
      <w:r w:rsidRPr="00E57F07">
        <w:t xml:space="preserve">, 27 October 2016, </w:t>
      </w:r>
      <w:r>
        <w:t>NSW Police Force</w:t>
      </w:r>
      <w:r w:rsidRPr="00E57F07">
        <w:t xml:space="preserve"> response to </w:t>
      </w:r>
      <w:r>
        <w:t>Law Enforcement Conduct Commission</w:t>
      </w:r>
      <w:r w:rsidRPr="00E57F07">
        <w:t xml:space="preserve"> Notice 977 of 2018.</w:t>
      </w:r>
    </w:p>
  </w:footnote>
  <w:footnote w:id="219">
    <w:p w14:paraId="0C45472B" w14:textId="211D6450" w:rsidR="0042789D" w:rsidRPr="00D17CCC" w:rsidRDefault="0042789D">
      <w:pPr>
        <w:pStyle w:val="FootnoteText"/>
      </w:pPr>
      <w:r w:rsidRPr="00E57F07">
        <w:rPr>
          <w:rStyle w:val="FootnoteReference"/>
        </w:rPr>
        <w:footnoteRef/>
      </w:r>
      <w:r w:rsidRPr="00E57F07">
        <w:t xml:space="preserve"> </w:t>
      </w:r>
      <w:r w:rsidRPr="00D17CCC">
        <w:t xml:space="preserve">Response provided to the </w:t>
      </w:r>
      <w:r>
        <w:t>Law Enforcement Conduct Commission</w:t>
      </w:r>
      <w:r w:rsidRPr="00D17CCC">
        <w:t>, 8 July 2019, p 5.</w:t>
      </w:r>
    </w:p>
  </w:footnote>
  <w:footnote w:id="220">
    <w:p w14:paraId="32470ED7" w14:textId="311FC98F" w:rsidR="0042789D" w:rsidRPr="00D17CCC" w:rsidRDefault="0042789D">
      <w:pPr>
        <w:pStyle w:val="FootnoteText"/>
      </w:pPr>
      <w:r w:rsidRPr="00D17CCC">
        <w:rPr>
          <w:rStyle w:val="FootnoteReference"/>
        </w:rPr>
        <w:footnoteRef/>
      </w:r>
      <w:r w:rsidRPr="00D17CCC">
        <w:t xml:space="preserve"> </w:t>
      </w:r>
      <w:r w:rsidRPr="00D17CCC">
        <w:rPr>
          <w:rFonts w:ascii="Gotham Book" w:hAnsi="Gotham Book" w:cs="ArialMT"/>
          <w:i/>
        </w:rPr>
        <w:t>Melbourne Steamship Co Ltd v Moorehead</w:t>
      </w:r>
      <w:r w:rsidRPr="00D17CCC">
        <w:rPr>
          <w:rFonts w:ascii="Gotham Book" w:hAnsi="Gotham Book" w:cs="ArialMT"/>
        </w:rPr>
        <w:t xml:space="preserve"> (1912) 15 CLR 333, 342.</w:t>
      </w:r>
    </w:p>
  </w:footnote>
  <w:footnote w:id="221">
    <w:p w14:paraId="35E59EBC" w14:textId="4D1BED73" w:rsidR="0042789D" w:rsidRPr="00D17CCC" w:rsidRDefault="0042789D" w:rsidP="000E5701">
      <w:pPr>
        <w:pStyle w:val="FootnoteText"/>
        <w:spacing w:before="60" w:after="60"/>
      </w:pPr>
      <w:r w:rsidRPr="00D17CCC">
        <w:rPr>
          <w:rStyle w:val="FootnoteReference"/>
        </w:rPr>
        <w:footnoteRef/>
      </w:r>
      <w:r w:rsidRPr="00D17CCC">
        <w:t xml:space="preserve"> </w:t>
      </w:r>
      <w:r w:rsidRPr="00D17CCC">
        <w:rPr>
          <w:i/>
        </w:rPr>
        <w:t>Hughes Aircraft Systems International v Airservices Australia (No 3)</w:t>
      </w:r>
      <w:r w:rsidRPr="00D17CCC">
        <w:t xml:space="preserve"> (1997) 76 FCR 151, 196.</w:t>
      </w:r>
    </w:p>
  </w:footnote>
  <w:footnote w:id="222">
    <w:p w14:paraId="062AB44C" w14:textId="2B18CB16" w:rsidR="0042789D" w:rsidRPr="00D17CCC" w:rsidRDefault="0042789D">
      <w:pPr>
        <w:pStyle w:val="FootnoteText"/>
      </w:pPr>
      <w:r w:rsidRPr="00D17CCC">
        <w:rPr>
          <w:rStyle w:val="FootnoteReference"/>
        </w:rPr>
        <w:footnoteRef/>
      </w:r>
      <w:r w:rsidRPr="00D17CCC">
        <w:t xml:space="preserve"> [1979] 1 NSWLR 537.</w:t>
      </w:r>
    </w:p>
  </w:footnote>
  <w:footnote w:id="223">
    <w:p w14:paraId="3FF694DA" w14:textId="70352263" w:rsidR="0042789D" w:rsidRPr="00D17CCC" w:rsidRDefault="0042789D">
      <w:pPr>
        <w:pStyle w:val="FootnoteText"/>
      </w:pPr>
      <w:r w:rsidRPr="00D17CCC">
        <w:rPr>
          <w:rStyle w:val="FootnoteReference"/>
        </w:rPr>
        <w:footnoteRef/>
      </w:r>
      <w:r w:rsidRPr="00D17CCC">
        <w:t xml:space="preserve"> </w:t>
      </w:r>
      <w:r w:rsidRPr="00D17CCC">
        <w:rPr>
          <w:rFonts w:ascii="Gotham Book" w:hAnsi="Gotham Book"/>
          <w:i/>
          <w:iCs/>
          <w:color w:val="000000"/>
        </w:rPr>
        <w:t>Logue v Shoalhaven Shire Council</w:t>
      </w:r>
      <w:r w:rsidRPr="00D17CCC">
        <w:t xml:space="preserve"> [1979] 1 NSWLR 537, 558.</w:t>
      </w:r>
    </w:p>
  </w:footnote>
  <w:footnote w:id="224">
    <w:p w14:paraId="3BBA621D" w14:textId="26C5591F" w:rsidR="0042789D" w:rsidRPr="00D17CCC" w:rsidRDefault="0042789D" w:rsidP="000E5701">
      <w:pPr>
        <w:pStyle w:val="FootnoteText"/>
        <w:spacing w:before="60" w:after="60"/>
      </w:pPr>
      <w:r w:rsidRPr="00D17CCC">
        <w:rPr>
          <w:rStyle w:val="FootnoteReference"/>
        </w:rPr>
        <w:footnoteRef/>
      </w:r>
      <w:r w:rsidRPr="00D17CCC">
        <w:t xml:space="preserve"> (2008) 72 NSWLR 273, 279.</w:t>
      </w:r>
    </w:p>
  </w:footnote>
  <w:footnote w:id="225">
    <w:p w14:paraId="25EFF825" w14:textId="542ADA2F" w:rsidR="0042789D" w:rsidRPr="00E57F07" w:rsidRDefault="0042789D" w:rsidP="000E5701">
      <w:pPr>
        <w:spacing w:before="60" w:after="60"/>
        <w:rPr>
          <w:b/>
          <w:bCs/>
          <w:sz w:val="20"/>
          <w:szCs w:val="20"/>
          <w:lang w:val="en"/>
        </w:rPr>
      </w:pPr>
      <w:r w:rsidRPr="00D17CCC">
        <w:rPr>
          <w:rStyle w:val="FootnoteReference"/>
          <w:sz w:val="20"/>
          <w:szCs w:val="20"/>
        </w:rPr>
        <w:footnoteRef/>
      </w:r>
      <w:r w:rsidRPr="00D17CCC">
        <w:rPr>
          <w:sz w:val="20"/>
          <w:szCs w:val="20"/>
        </w:rPr>
        <w:t xml:space="preserve"> </w:t>
      </w:r>
      <w:r w:rsidRPr="00D17CCC">
        <w:rPr>
          <w:bCs/>
          <w:i/>
          <w:sz w:val="20"/>
          <w:szCs w:val="20"/>
          <w:lang w:val="en"/>
        </w:rPr>
        <w:t>Australian Securities and Investments Commission v Hellicar</w:t>
      </w:r>
      <w:r w:rsidRPr="00D17CCC">
        <w:rPr>
          <w:b/>
          <w:bCs/>
          <w:sz w:val="20"/>
          <w:szCs w:val="20"/>
          <w:lang w:val="en"/>
        </w:rPr>
        <w:t xml:space="preserve"> </w:t>
      </w:r>
      <w:r w:rsidRPr="00D17CCC">
        <w:rPr>
          <w:sz w:val="20"/>
          <w:szCs w:val="20"/>
        </w:rPr>
        <w:t>(2012) 247 CLR 345, 434-35.</w:t>
      </w:r>
    </w:p>
  </w:footnote>
  <w:footnote w:id="226">
    <w:p w14:paraId="6FAF0099" w14:textId="3FE65B72" w:rsidR="0042789D" w:rsidRPr="00720408" w:rsidRDefault="0042789D" w:rsidP="00670E64">
      <w:pPr>
        <w:pStyle w:val="FootnoteText"/>
        <w:spacing w:before="60" w:after="60"/>
      </w:pPr>
      <w:r w:rsidRPr="00E57F07">
        <w:rPr>
          <w:rStyle w:val="FootnoteReference"/>
        </w:rPr>
        <w:footnoteRef/>
      </w:r>
      <w:r w:rsidRPr="00E57F07">
        <w:t xml:space="preserve"> Office of the General Counsel, NSW Police Force, </w:t>
      </w:r>
      <w:r w:rsidRPr="00E57F07">
        <w:rPr>
          <w:i/>
        </w:rPr>
        <w:t>Charter of Independence and Ethical Responsibilities</w:t>
      </w:r>
      <w:r w:rsidRPr="00E57F07">
        <w:t>.</w:t>
      </w:r>
      <w:r w:rsidRPr="00720408">
        <w:t xml:space="preserve"> </w:t>
      </w:r>
    </w:p>
  </w:footnote>
  <w:footnote w:id="227">
    <w:p w14:paraId="33A868B9" w14:textId="7CDB498F" w:rsidR="0042789D" w:rsidRPr="00F960B6" w:rsidRDefault="0042789D" w:rsidP="00670E64">
      <w:pPr>
        <w:pStyle w:val="FootnoteText"/>
        <w:spacing w:before="60" w:after="60"/>
      </w:pPr>
      <w:r w:rsidRPr="00720408">
        <w:rPr>
          <w:rStyle w:val="FootnoteReference"/>
        </w:rPr>
        <w:footnoteRef/>
      </w:r>
      <w:r>
        <w:t xml:space="preserve"> </w:t>
      </w:r>
      <w:r w:rsidRPr="00720408">
        <w:t>Department of Justice</w:t>
      </w:r>
      <w:r>
        <w:t xml:space="preserve"> (NSW)</w:t>
      </w:r>
      <w:r w:rsidRPr="00720408">
        <w:t xml:space="preserve">, </w:t>
      </w:r>
      <w:r w:rsidRPr="00720408">
        <w:rPr>
          <w:i/>
        </w:rPr>
        <w:t>Model Litigant Policy for Civil Litigation</w:t>
      </w:r>
      <w:r>
        <w:t xml:space="preserve">, </w:t>
      </w:r>
      <w:r w:rsidRPr="00720408">
        <w:t>3</w:t>
      </w:r>
      <w:r>
        <w:t>.1</w:t>
      </w:r>
      <w:r w:rsidRPr="00720408">
        <w:t xml:space="preserve">, at </w:t>
      </w:r>
      <w:r w:rsidRPr="00F960B6">
        <w:t>&lt;</w:t>
      </w:r>
      <w:hyperlink r:id="rId5" w:history="1">
        <w:r w:rsidRPr="00F960B6">
          <w:rPr>
            <w:rStyle w:val="Hyperlink"/>
            <w:color w:val="auto"/>
            <w:u w:val="none"/>
          </w:rPr>
          <w:t>https://www.justice.nsw.gov.au/legal-services-coordination/Pages/info-for-govt-agencies/model-litigant-policy.aspx</w:t>
        </w:r>
      </w:hyperlink>
      <w:r w:rsidRPr="00F960B6">
        <w:rPr>
          <w:rStyle w:val="Hyperlink"/>
          <w:color w:val="auto"/>
          <w:u w:val="none"/>
        </w:rPr>
        <w:t>&gt;.</w:t>
      </w:r>
      <w:r w:rsidRPr="00F960B6">
        <w:t xml:space="preserve"> </w:t>
      </w:r>
    </w:p>
  </w:footnote>
  <w:footnote w:id="228">
    <w:p w14:paraId="1E853BBE" w14:textId="71AA6E39" w:rsidR="0042789D" w:rsidRDefault="0042789D" w:rsidP="00670E64">
      <w:pPr>
        <w:pStyle w:val="FootnoteText"/>
        <w:spacing w:before="60" w:after="60"/>
      </w:pPr>
      <w:r w:rsidRPr="00F960B6">
        <w:rPr>
          <w:rStyle w:val="FootnoteReference"/>
        </w:rPr>
        <w:footnoteRef/>
      </w:r>
      <w:r w:rsidRPr="00F960B6">
        <w:t xml:space="preserve"> Department of Justice (NSW), </w:t>
      </w:r>
      <w:r w:rsidRPr="00F960B6">
        <w:rPr>
          <w:i/>
        </w:rPr>
        <w:t>Model Litigant Policy for Civil Litigation</w:t>
      </w:r>
      <w:r w:rsidRPr="00F960B6">
        <w:t>, 3.2(k), at &lt;</w:t>
      </w:r>
      <w:hyperlink r:id="rId6" w:history="1">
        <w:r w:rsidRPr="00F960B6">
          <w:rPr>
            <w:rStyle w:val="Hyperlink"/>
            <w:color w:val="auto"/>
            <w:u w:val="none"/>
          </w:rPr>
          <w:t>https://www.justice.nsw.gov.au/legal-services-coordination/Pages/info-for-govt-agencies/model-litigant-policy.aspx</w:t>
        </w:r>
      </w:hyperlink>
      <w:r w:rsidRPr="00F960B6">
        <w:rPr>
          <w:rStyle w:val="Hyperlink"/>
          <w:color w:val="auto"/>
          <w:u w:val="none"/>
        </w:rPr>
        <w:t>&gt;.</w:t>
      </w:r>
    </w:p>
  </w:footnote>
  <w:footnote w:id="229">
    <w:p w14:paraId="60253380" w14:textId="5E71AF14" w:rsidR="0042789D" w:rsidRPr="00174FF4" w:rsidRDefault="0042789D" w:rsidP="00670E64">
      <w:pPr>
        <w:spacing w:before="60" w:after="60" w:line="240" w:lineRule="auto"/>
        <w:rPr>
          <w:bCs/>
          <w:color w:val="373A3C"/>
          <w:sz w:val="20"/>
          <w:szCs w:val="20"/>
          <w:lang w:val="en"/>
        </w:rPr>
      </w:pPr>
      <w:r w:rsidRPr="00E36861">
        <w:rPr>
          <w:rStyle w:val="FootnoteReference"/>
          <w:sz w:val="20"/>
          <w:szCs w:val="20"/>
        </w:rPr>
        <w:footnoteRef/>
      </w:r>
      <w:r>
        <w:rPr>
          <w:sz w:val="20"/>
          <w:szCs w:val="20"/>
        </w:rPr>
        <w:t xml:space="preserve"> See for example comments in</w:t>
      </w:r>
      <w:r w:rsidRPr="00E36861">
        <w:rPr>
          <w:sz w:val="20"/>
          <w:szCs w:val="20"/>
        </w:rPr>
        <w:t xml:space="preserve"> </w:t>
      </w:r>
      <w:r w:rsidRPr="00E36861">
        <w:rPr>
          <w:bCs/>
          <w:i/>
          <w:sz w:val="20"/>
          <w:szCs w:val="20"/>
          <w:lang w:val="en"/>
        </w:rPr>
        <w:t>B &amp; L Linings Pty Ltd v Chief Commissioner of State Revenue (No 5)</w:t>
      </w:r>
      <w:r w:rsidRPr="00E36861">
        <w:rPr>
          <w:bCs/>
          <w:sz w:val="20"/>
          <w:szCs w:val="20"/>
          <w:lang w:val="en"/>
        </w:rPr>
        <w:t xml:space="preserve"> [2010] NSWADTAP 21, [114]; </w:t>
      </w:r>
      <w:r w:rsidRPr="00E36861">
        <w:rPr>
          <w:i/>
          <w:sz w:val="20"/>
          <w:szCs w:val="20"/>
        </w:rPr>
        <w:t>Department of Attorney General and Justice (NSW) v Schoeman</w:t>
      </w:r>
      <w:r w:rsidRPr="00E36861">
        <w:rPr>
          <w:sz w:val="20"/>
          <w:szCs w:val="20"/>
        </w:rPr>
        <w:t xml:space="preserve"> [2012] NSWADTAP 31, [57]-[59] and [84]. </w:t>
      </w:r>
    </w:p>
  </w:footnote>
  <w:footnote w:id="230">
    <w:p w14:paraId="2EEA2D9D" w14:textId="12F39E2B" w:rsidR="0042789D" w:rsidRDefault="0042789D" w:rsidP="00670E64">
      <w:pPr>
        <w:pStyle w:val="FootnoteText"/>
        <w:spacing w:before="60" w:after="60"/>
      </w:pPr>
      <w:r w:rsidRPr="00F83DC1">
        <w:rPr>
          <w:rStyle w:val="FootnoteReference"/>
        </w:rPr>
        <w:footnoteRef/>
      </w:r>
      <w:r w:rsidRPr="00F83DC1">
        <w:t xml:space="preserve"> </w:t>
      </w:r>
      <w:r w:rsidRPr="00F83DC1">
        <w:rPr>
          <w:i/>
        </w:rPr>
        <w:t>Hughes Aircraft Systems International v Airservices Australia (No 3)</w:t>
      </w:r>
      <w:r w:rsidRPr="00F83DC1">
        <w:t xml:space="preserve"> (1997) 76 FCR 151, 197.</w:t>
      </w:r>
    </w:p>
  </w:footnote>
  <w:footnote w:id="231">
    <w:p w14:paraId="0A333E78" w14:textId="6E03DE13" w:rsidR="0042789D" w:rsidRPr="00E26562" w:rsidRDefault="0042789D">
      <w:pPr>
        <w:pStyle w:val="FootnoteText"/>
      </w:pPr>
      <w:r w:rsidRPr="001113CC">
        <w:rPr>
          <w:rStyle w:val="FootnoteReference"/>
        </w:rPr>
        <w:footnoteRef/>
      </w:r>
      <w:r w:rsidRPr="001113CC">
        <w:t xml:space="preserve"> </w:t>
      </w:r>
      <w:r w:rsidRPr="00E26562">
        <w:t xml:space="preserve">Letter from Commissioner of Police, </w:t>
      </w:r>
      <w:r>
        <w:t>NSW Police Force</w:t>
      </w:r>
      <w:r w:rsidRPr="00E26562">
        <w:t>, to Chief Commis</w:t>
      </w:r>
      <w:r>
        <w:t>sioner, Law Enforcement Conduct Commission, 30 September 2019</w:t>
      </w:r>
      <w:r w:rsidRPr="00E26562">
        <w:t xml:space="preserve"> </w:t>
      </w:r>
      <w:r>
        <w:t>(</w:t>
      </w:r>
      <w:r w:rsidRPr="00E26562">
        <w:t>Annexure C – Requests for Corrections to the Final Draft Report</w:t>
      </w:r>
      <w:r>
        <w:t>)</w:t>
      </w:r>
      <w:r w:rsidRPr="00E26562">
        <w:t>.</w:t>
      </w:r>
    </w:p>
  </w:footnote>
  <w:footnote w:id="232">
    <w:p w14:paraId="59A15251" w14:textId="27A7842E" w:rsidR="0042789D" w:rsidRPr="00E26562" w:rsidRDefault="0042789D">
      <w:pPr>
        <w:pStyle w:val="FootnoteText"/>
      </w:pPr>
      <w:r w:rsidRPr="00E26562">
        <w:rPr>
          <w:rStyle w:val="FootnoteReference"/>
        </w:rPr>
        <w:footnoteRef/>
      </w:r>
      <w:r w:rsidRPr="00E26562">
        <w:t xml:space="preserve"> Response provided to the </w:t>
      </w:r>
      <w:r>
        <w:t>Law Enforcement Conduct Commission</w:t>
      </w:r>
      <w:r w:rsidRPr="00E26562">
        <w:t>, 8 July 2019, p 3.</w:t>
      </w:r>
    </w:p>
  </w:footnote>
  <w:footnote w:id="233">
    <w:p w14:paraId="304F54AF" w14:textId="25C27358" w:rsidR="0042789D" w:rsidRPr="00E26562" w:rsidRDefault="0042789D">
      <w:pPr>
        <w:pStyle w:val="FootnoteText"/>
      </w:pPr>
      <w:r w:rsidRPr="00E26562">
        <w:rPr>
          <w:rStyle w:val="FootnoteReference"/>
        </w:rPr>
        <w:footnoteRef/>
      </w:r>
      <w:r w:rsidRPr="00E26562">
        <w:t xml:space="preserve"> Response provided to the </w:t>
      </w:r>
      <w:r>
        <w:t>Law Enforcement Conduct Commission</w:t>
      </w:r>
      <w:r w:rsidRPr="00E26562">
        <w:t>, 8 July 2019, p 5.</w:t>
      </w:r>
    </w:p>
  </w:footnote>
  <w:footnote w:id="234">
    <w:p w14:paraId="480AB09E" w14:textId="4E03FAFD" w:rsidR="0042789D" w:rsidRPr="00E26562" w:rsidRDefault="0042789D" w:rsidP="00552BC6">
      <w:pPr>
        <w:pStyle w:val="FootnoteText"/>
      </w:pPr>
      <w:r w:rsidRPr="00E26562">
        <w:rPr>
          <w:rStyle w:val="FootnoteReference"/>
        </w:rPr>
        <w:footnoteRef/>
      </w:r>
      <w:r w:rsidRPr="00E26562">
        <w:t xml:space="preserve"> Response provided to the </w:t>
      </w:r>
      <w:r>
        <w:t>Law Enforcement Conduct Commission</w:t>
      </w:r>
      <w:r w:rsidRPr="00E26562">
        <w:t>, 8 July 2019, p 5.</w:t>
      </w:r>
    </w:p>
  </w:footnote>
  <w:footnote w:id="235">
    <w:p w14:paraId="377D11CB" w14:textId="3DD8C5EE" w:rsidR="0042789D" w:rsidRPr="00E26562" w:rsidRDefault="0042789D">
      <w:pPr>
        <w:pStyle w:val="FootnoteText"/>
      </w:pPr>
      <w:r w:rsidRPr="00E26562">
        <w:rPr>
          <w:rStyle w:val="FootnoteReference"/>
        </w:rPr>
        <w:footnoteRef/>
      </w:r>
      <w:r w:rsidRPr="00E26562">
        <w:t xml:space="preserve"> Letter from Commissioner of Police, </w:t>
      </w:r>
      <w:r>
        <w:t>NSW Police Force</w:t>
      </w:r>
      <w:r w:rsidRPr="00E26562">
        <w:t xml:space="preserve">, to Chief Commissioner, </w:t>
      </w:r>
      <w:r>
        <w:t>Law Enforcement Conduct Commission</w:t>
      </w:r>
      <w:r w:rsidRPr="00E26562">
        <w:t>, 30 September 2019, p 3.</w:t>
      </w:r>
    </w:p>
  </w:footnote>
  <w:footnote w:id="236">
    <w:p w14:paraId="13547ECD" w14:textId="40CEF559" w:rsidR="0042789D" w:rsidRPr="00E26562" w:rsidRDefault="0042789D">
      <w:pPr>
        <w:pStyle w:val="FootnoteText"/>
      </w:pPr>
      <w:r w:rsidRPr="00E26562">
        <w:rPr>
          <w:rStyle w:val="FootnoteReference"/>
        </w:rPr>
        <w:footnoteRef/>
      </w:r>
      <w:r w:rsidRPr="00E26562">
        <w:t xml:space="preserve"> Letter from Commissioner of Police, </w:t>
      </w:r>
      <w:r>
        <w:t>NSW Police Force</w:t>
      </w:r>
      <w:r w:rsidRPr="00E26562">
        <w:t>, to Chief Commis</w:t>
      </w:r>
      <w:r>
        <w:t>sioner, Law Enforcement Conduct Commission, 30 September 2019</w:t>
      </w:r>
      <w:r w:rsidRPr="00E26562">
        <w:t xml:space="preserve"> </w:t>
      </w:r>
      <w:r>
        <w:t>(</w:t>
      </w:r>
      <w:r w:rsidRPr="00E26562">
        <w:t>Annexure C – Requests for Corrections to the Final Draft Report</w:t>
      </w:r>
      <w:r>
        <w:t>)</w:t>
      </w:r>
      <w:r w:rsidRPr="00E26562">
        <w:t>.</w:t>
      </w:r>
    </w:p>
  </w:footnote>
  <w:footnote w:id="237">
    <w:p w14:paraId="547933A1" w14:textId="1C16C9BE" w:rsidR="0042789D" w:rsidRPr="00E26562" w:rsidRDefault="0042789D">
      <w:pPr>
        <w:pStyle w:val="FootnoteText"/>
      </w:pPr>
      <w:r w:rsidRPr="00E26562">
        <w:rPr>
          <w:rStyle w:val="FootnoteReference"/>
        </w:rPr>
        <w:footnoteRef/>
      </w:r>
      <w:r w:rsidRPr="00E26562">
        <w:t xml:space="preserve"> The NSW Police Force referenced the comments of Craig J in </w:t>
      </w:r>
      <w:r w:rsidRPr="00E26562">
        <w:rPr>
          <w:i/>
        </w:rPr>
        <w:t>Site Plus Pty Ltd v Wollongong City Council</w:t>
      </w:r>
      <w:r w:rsidRPr="00E26562">
        <w:t xml:space="preserve"> [2014] NSWLEC 125 in support of this proposition.</w:t>
      </w:r>
    </w:p>
  </w:footnote>
  <w:footnote w:id="238">
    <w:p w14:paraId="3F5A3560" w14:textId="4C3EF760" w:rsidR="0042789D" w:rsidRDefault="0042789D" w:rsidP="00312C5C">
      <w:pPr>
        <w:pStyle w:val="FootnoteText"/>
      </w:pPr>
      <w:r w:rsidRPr="00E26562">
        <w:rPr>
          <w:rStyle w:val="FootnoteReference"/>
        </w:rPr>
        <w:footnoteRef/>
      </w:r>
      <w:r w:rsidRPr="00E26562">
        <w:t xml:space="preserve"> Letter from Commissioner of Police, </w:t>
      </w:r>
      <w:r>
        <w:t>NSW Police Force</w:t>
      </w:r>
      <w:r w:rsidRPr="00E26562">
        <w:t>, to Chief Commis</w:t>
      </w:r>
      <w:r>
        <w:t>sioner, Law Enforcement Conduct Commission, 30 September 2019</w:t>
      </w:r>
      <w:r w:rsidRPr="00E26562">
        <w:t xml:space="preserve"> </w:t>
      </w:r>
      <w:r>
        <w:t>(</w:t>
      </w:r>
      <w:r w:rsidRPr="00E26562">
        <w:t>Annexure C – Requests for Corrections to the Final Draft Report</w:t>
      </w:r>
      <w:r>
        <w:t>)</w:t>
      </w:r>
      <w:r w:rsidRPr="00E26562">
        <w:t>.</w:t>
      </w:r>
    </w:p>
  </w:footnote>
  <w:footnote w:id="239">
    <w:p w14:paraId="122F76F9" w14:textId="22B44E29" w:rsidR="0042789D" w:rsidRDefault="0042789D">
      <w:pPr>
        <w:pStyle w:val="FootnoteText"/>
      </w:pPr>
      <w:r w:rsidRPr="006932EA">
        <w:rPr>
          <w:rStyle w:val="FootnoteReference"/>
        </w:rPr>
        <w:footnoteRef/>
      </w:r>
      <w:r w:rsidRPr="006932EA">
        <w:t xml:space="preserve"> </w:t>
      </w:r>
      <w:r w:rsidRPr="003E6EC9">
        <w:t xml:space="preserve">Letter from Commissioner of Police, </w:t>
      </w:r>
      <w:r>
        <w:t>NSW Police Force</w:t>
      </w:r>
      <w:r w:rsidRPr="003E6EC9">
        <w:t>, to Chief Commis</w:t>
      </w:r>
      <w:r>
        <w:t>sioner, Law Enforcement Conduct Commission, 30 September 2019 (Annexure C – Requests for Corrections to the Final Draft Report).</w:t>
      </w:r>
    </w:p>
  </w:footnote>
  <w:footnote w:id="240">
    <w:p w14:paraId="08122D01" w14:textId="5118AB69" w:rsidR="0042789D" w:rsidRPr="00F47784" w:rsidRDefault="0042789D" w:rsidP="00AA34B7">
      <w:pPr>
        <w:pStyle w:val="FootnoteText"/>
      </w:pPr>
      <w:r w:rsidRPr="00F47784">
        <w:rPr>
          <w:rStyle w:val="FootnoteReference"/>
        </w:rPr>
        <w:footnoteRef/>
      </w:r>
      <w:r w:rsidRPr="00F47784">
        <w:t xml:space="preserve"> Letter from </w:t>
      </w:r>
      <w:r>
        <w:t>General Counsel, NSW Police Force, to Law Enforcement Conduct Commission, 19 August 2019.</w:t>
      </w:r>
    </w:p>
  </w:footnote>
  <w:footnote w:id="241">
    <w:p w14:paraId="60D9FB1E" w14:textId="2958C458" w:rsidR="0042789D" w:rsidRPr="00BC0BCD" w:rsidRDefault="0042789D">
      <w:pPr>
        <w:pStyle w:val="FootnoteText"/>
      </w:pPr>
      <w:r w:rsidRPr="00BC0BCD">
        <w:rPr>
          <w:rStyle w:val="FootnoteReference"/>
        </w:rPr>
        <w:footnoteRef/>
      </w:r>
      <w:r w:rsidRPr="00BC0BCD">
        <w:t xml:space="preserve"> Letter from the Sex Crimes Squad</w:t>
      </w:r>
      <w:r>
        <w:t>, NSW Police Force,</w:t>
      </w:r>
      <w:r w:rsidRPr="00BC0BCD">
        <w:t xml:space="preserve"> to </w:t>
      </w:r>
      <w:r>
        <w:t>Department of Justice and Attorney General</w:t>
      </w:r>
      <w:r w:rsidRPr="00BC0BCD">
        <w:t xml:space="preserve">, 16 June 2017, </w:t>
      </w:r>
      <w:r>
        <w:t>NSW Police Force response</w:t>
      </w:r>
      <w:r w:rsidRPr="00BC0BCD">
        <w:t xml:space="preserve"> to item 2(e) of </w:t>
      </w:r>
      <w:r>
        <w:t>Law Enforcement Conduct Commission Notice</w:t>
      </w:r>
      <w:r w:rsidRPr="00BC0BCD">
        <w:t xml:space="preserve"> 929 of 2018.</w:t>
      </w:r>
    </w:p>
  </w:footnote>
  <w:footnote w:id="242">
    <w:p w14:paraId="533F2319" w14:textId="5F49F91C" w:rsidR="0042789D" w:rsidRPr="00C6400E" w:rsidRDefault="0042789D">
      <w:pPr>
        <w:pStyle w:val="FootnoteText"/>
      </w:pPr>
      <w:r w:rsidRPr="00C6400E">
        <w:rPr>
          <w:rStyle w:val="FootnoteReference"/>
        </w:rPr>
        <w:footnoteRef/>
      </w:r>
      <w:r w:rsidRPr="00C6400E">
        <w:t xml:space="preserve"> Cf. </w:t>
      </w:r>
      <w:r w:rsidRPr="00C6400E">
        <w:rPr>
          <w:rFonts w:ascii="Gotham Book" w:hAnsi="Gotham Book"/>
          <w:i/>
        </w:rPr>
        <w:t>Law Enforcement Conduct Commission Act 2016</w:t>
      </w:r>
      <w:r w:rsidRPr="00C6400E">
        <w:rPr>
          <w:rFonts w:ascii="Gotham Book" w:hAnsi="Gotham Book"/>
        </w:rPr>
        <w:t xml:space="preserve"> (NSW) s 11(1)(b)(i).</w:t>
      </w:r>
    </w:p>
  </w:footnote>
  <w:footnote w:id="243">
    <w:p w14:paraId="4BC27265" w14:textId="723683CB" w:rsidR="0042789D" w:rsidRPr="00B6716B" w:rsidRDefault="0042789D" w:rsidP="00B6716B">
      <w:pPr>
        <w:spacing w:before="60" w:after="60" w:line="240" w:lineRule="auto"/>
        <w:rPr>
          <w:sz w:val="20"/>
          <w:szCs w:val="20"/>
        </w:rPr>
      </w:pPr>
      <w:r w:rsidRPr="00B6716B">
        <w:rPr>
          <w:rStyle w:val="FootnoteReference"/>
          <w:rFonts w:ascii="Gotham Book" w:hAnsi="Gotham Book"/>
          <w:sz w:val="20"/>
          <w:szCs w:val="20"/>
        </w:rPr>
        <w:footnoteRef/>
      </w:r>
      <w:r w:rsidRPr="00B6716B">
        <w:rPr>
          <w:rFonts w:ascii="Gotham Book" w:hAnsi="Gotham Book"/>
          <w:sz w:val="20"/>
          <w:szCs w:val="20"/>
        </w:rPr>
        <w:t xml:space="preserve"> </w:t>
      </w:r>
      <w:r>
        <w:rPr>
          <w:i/>
          <w:sz w:val="20"/>
          <w:szCs w:val="20"/>
        </w:rPr>
        <w:t>NSW Police Force r</w:t>
      </w:r>
      <w:r w:rsidRPr="00B6716B">
        <w:rPr>
          <w:i/>
          <w:sz w:val="20"/>
          <w:szCs w:val="20"/>
        </w:rPr>
        <w:t xml:space="preserve">esponse to the interim report of Operation Tusket, </w:t>
      </w:r>
      <w:r w:rsidRPr="00B6716B">
        <w:rPr>
          <w:sz w:val="20"/>
          <w:szCs w:val="20"/>
        </w:rPr>
        <w:t>23 October 2018,</w:t>
      </w:r>
      <w:r w:rsidRPr="00B6716B">
        <w:rPr>
          <w:i/>
          <w:sz w:val="20"/>
          <w:szCs w:val="20"/>
        </w:rPr>
        <w:t xml:space="preserve"> </w:t>
      </w:r>
      <w:r w:rsidRPr="00B6716B">
        <w:rPr>
          <w:sz w:val="20"/>
          <w:szCs w:val="20"/>
        </w:rPr>
        <w:t>F/2018/94374; D/2018/851613, p</w:t>
      </w:r>
      <w:r w:rsidRPr="00B6716B">
        <w:rPr>
          <w:rFonts w:ascii="Gotham Book" w:hAnsi="Gotham Book"/>
          <w:sz w:val="20"/>
          <w:szCs w:val="20"/>
        </w:rPr>
        <w:t xml:space="preserve"> 5.</w:t>
      </w:r>
    </w:p>
  </w:footnote>
  <w:footnote w:id="244">
    <w:p w14:paraId="7DAB597D" w14:textId="07EAB316" w:rsidR="0042789D" w:rsidRPr="00E47FD5" w:rsidRDefault="0042789D" w:rsidP="00B6716B">
      <w:pPr>
        <w:pStyle w:val="FootnoteText"/>
        <w:spacing w:before="60" w:after="60"/>
        <w:rPr>
          <w:rFonts w:ascii="Gotham Book" w:hAnsi="Gotham Book"/>
        </w:rPr>
      </w:pPr>
      <w:r w:rsidRPr="00B6716B">
        <w:rPr>
          <w:rStyle w:val="FootnoteReference"/>
          <w:rFonts w:ascii="Gotham Book" w:hAnsi="Gotham Book"/>
        </w:rPr>
        <w:footnoteRef/>
      </w:r>
      <w:r w:rsidRPr="00B6716B">
        <w:rPr>
          <w:rFonts w:ascii="Gotham Book" w:hAnsi="Gotham Book"/>
        </w:rPr>
        <w:t xml:space="preserve"> </w:t>
      </w:r>
      <w:r w:rsidRPr="003E3CF8">
        <w:rPr>
          <w:rFonts w:ascii="Gotham Book" w:hAnsi="Gotham Book"/>
        </w:rPr>
        <w:t xml:space="preserve">Comments dated 18 October 2016 on Office of the General Counsel, </w:t>
      </w:r>
      <w:r>
        <w:rPr>
          <w:rFonts w:ascii="Gotham Book" w:hAnsi="Gotham Book"/>
        </w:rPr>
        <w:t>NSW Police Force</w:t>
      </w:r>
      <w:r w:rsidRPr="003E3CF8">
        <w:rPr>
          <w:rFonts w:ascii="Gotham Book" w:hAnsi="Gotham Book"/>
        </w:rPr>
        <w:t xml:space="preserve">, [Advice in </w:t>
      </w:r>
      <w:r w:rsidRPr="00E47FD5">
        <w:rPr>
          <w:rFonts w:ascii="Gotham Book" w:hAnsi="Gotham Book"/>
        </w:rPr>
        <w:t xml:space="preserve">response to request D/2016/438915], 26 August 2016, </w:t>
      </w:r>
      <w:r>
        <w:rPr>
          <w:rFonts w:ascii="Gotham Book" w:hAnsi="Gotham Book"/>
        </w:rPr>
        <w:t>NSW Police Force</w:t>
      </w:r>
      <w:r w:rsidRPr="00E47FD5">
        <w:rPr>
          <w:rFonts w:ascii="Gotham Book" w:hAnsi="Gotham Book"/>
        </w:rPr>
        <w:t xml:space="preserve"> response to </w:t>
      </w:r>
      <w:r>
        <w:rPr>
          <w:rFonts w:ascii="Gotham Book" w:hAnsi="Gotham Book"/>
        </w:rPr>
        <w:t>Law Enforcement Conduct Commission</w:t>
      </w:r>
      <w:r w:rsidRPr="00E47FD5">
        <w:rPr>
          <w:rFonts w:ascii="Gotham Book" w:hAnsi="Gotham Book"/>
        </w:rPr>
        <w:t xml:space="preserve"> Notice 977 of 2018.</w:t>
      </w:r>
    </w:p>
  </w:footnote>
  <w:footnote w:id="245">
    <w:p w14:paraId="69542624" w14:textId="5D3E1859" w:rsidR="0042789D" w:rsidRDefault="0042789D">
      <w:pPr>
        <w:pStyle w:val="FootnoteText"/>
      </w:pPr>
      <w:r w:rsidRPr="00E47FD5">
        <w:rPr>
          <w:rStyle w:val="FootnoteReference"/>
        </w:rPr>
        <w:footnoteRef/>
      </w:r>
      <w:r w:rsidRPr="00E47FD5">
        <w:t xml:space="preserve"> </w:t>
      </w:r>
      <w:r w:rsidRPr="00E47FD5">
        <w:rPr>
          <w:rFonts w:ascii="Gotham Book" w:hAnsi="Gotham Book" w:cs="Arial"/>
        </w:rPr>
        <w:t xml:space="preserve">The CPR case file of Mr CC was produced by the NSW Police Force in response </w:t>
      </w:r>
      <w:r w:rsidRPr="00E47FD5">
        <w:rPr>
          <w:rFonts w:ascii="Gotham Book" w:hAnsi="Gotham Book"/>
        </w:rPr>
        <w:t xml:space="preserve">to item 2(p) of </w:t>
      </w:r>
      <w:r>
        <w:rPr>
          <w:rFonts w:ascii="Gotham Book" w:hAnsi="Gotham Book"/>
        </w:rPr>
        <w:t>Law Enforcement Conduct Commission</w:t>
      </w:r>
      <w:r w:rsidRPr="00E47FD5">
        <w:rPr>
          <w:rFonts w:ascii="Gotham Book" w:hAnsi="Gotham Book"/>
        </w:rPr>
        <w:t xml:space="preserve"> Notice 929 of 2018</w:t>
      </w:r>
      <w:r w:rsidRPr="00E47FD5">
        <w:rPr>
          <w:rFonts w:ascii="Gotham Book" w:hAnsi="Gotham Book" w:cs="Arial"/>
        </w:rPr>
        <w:t>.</w:t>
      </w:r>
    </w:p>
  </w:footnote>
  <w:footnote w:id="246">
    <w:p w14:paraId="4A6AF980" w14:textId="4C18B2B1" w:rsidR="0042789D" w:rsidRPr="00676BFB" w:rsidRDefault="0042789D" w:rsidP="00C960F0">
      <w:pPr>
        <w:pStyle w:val="Footnote"/>
      </w:pPr>
      <w:r w:rsidRPr="00676BFB">
        <w:rPr>
          <w:rStyle w:val="FootnoteReference"/>
          <w:rFonts w:ascii="Gotham Book" w:hAnsi="Gotham Book"/>
        </w:rPr>
        <w:footnoteRef/>
      </w:r>
      <w:r w:rsidRPr="00676BFB">
        <w:t xml:space="preserve"> </w:t>
      </w:r>
      <w:r>
        <w:t xml:space="preserve">See for example </w:t>
      </w:r>
      <w:r>
        <w:rPr>
          <w:rFonts w:ascii="Gotham Book" w:hAnsi="Gotham Book"/>
        </w:rPr>
        <w:t>e</w:t>
      </w:r>
      <w:r w:rsidRPr="00D8496F">
        <w:rPr>
          <w:rFonts w:ascii="Gotham Book" w:hAnsi="Gotham Book"/>
        </w:rPr>
        <w:t xml:space="preserve">mail from </w:t>
      </w:r>
      <w:r>
        <w:rPr>
          <w:rFonts w:ascii="Gotham Book" w:hAnsi="Gotham Book"/>
        </w:rPr>
        <w:t>Child Protection Registry, NSW Police Force, to Office of the Director of Public Prosecutions</w:t>
      </w:r>
      <w:r w:rsidRPr="00D8496F">
        <w:rPr>
          <w:rFonts w:ascii="Gotham Book" w:hAnsi="Gotham Book"/>
        </w:rPr>
        <w:t xml:space="preserve"> </w:t>
      </w:r>
      <w:r>
        <w:rPr>
          <w:rFonts w:ascii="Gotham Book" w:hAnsi="Gotham Book"/>
        </w:rPr>
        <w:t xml:space="preserve">(NSW), </w:t>
      </w:r>
      <w:r w:rsidRPr="00D8496F">
        <w:rPr>
          <w:rFonts w:ascii="Gotham Book" w:hAnsi="Gotham Book"/>
        </w:rPr>
        <w:t>25 May 2016</w:t>
      </w:r>
      <w:r w:rsidRPr="000175F7">
        <w:t xml:space="preserve">, </w:t>
      </w:r>
      <w:r>
        <w:t>NSW Police Force response</w:t>
      </w:r>
      <w:r w:rsidRPr="000175F7">
        <w:t xml:space="preserve"> to </w:t>
      </w:r>
      <w:r>
        <w:t>Law Enforcement Conduct Commission Notice</w:t>
      </w:r>
      <w:r w:rsidRPr="000175F7">
        <w:t xml:space="preserve"> 977 of 2018</w:t>
      </w:r>
      <w:r>
        <w:t>.</w:t>
      </w:r>
    </w:p>
  </w:footnote>
  <w:footnote w:id="247">
    <w:p w14:paraId="520C0B5B" w14:textId="188DA2D7" w:rsidR="0042789D" w:rsidRPr="001A285B" w:rsidRDefault="0042789D" w:rsidP="0063003D">
      <w:pPr>
        <w:pStyle w:val="FootnoteText"/>
        <w:spacing w:before="60" w:after="60"/>
        <w:rPr>
          <w:rFonts w:ascii="Gotham Book" w:hAnsi="Gotham Book"/>
        </w:rPr>
      </w:pPr>
      <w:r w:rsidRPr="0063003D">
        <w:rPr>
          <w:rStyle w:val="FootnoteReference"/>
          <w:rFonts w:ascii="Gotham Book" w:hAnsi="Gotham Book"/>
        </w:rPr>
        <w:footnoteRef/>
      </w:r>
      <w:r w:rsidRPr="0063003D">
        <w:rPr>
          <w:rFonts w:ascii="Gotham Book" w:hAnsi="Gotham Book"/>
        </w:rPr>
        <w:t xml:space="preserve"> </w:t>
      </w:r>
      <w:r>
        <w:rPr>
          <w:rFonts w:ascii="Gotham Book" w:hAnsi="Gotham Book"/>
        </w:rPr>
        <w:t>Law Enforcement Conduct Commission</w:t>
      </w:r>
      <w:r w:rsidRPr="0063003D">
        <w:rPr>
          <w:rFonts w:ascii="Gotham Book" w:hAnsi="Gotham Book"/>
        </w:rPr>
        <w:t xml:space="preserve"> review of JusticeLink.</w:t>
      </w:r>
    </w:p>
  </w:footnote>
  <w:footnote w:id="248">
    <w:p w14:paraId="49491111" w14:textId="2157889B" w:rsidR="0042789D" w:rsidRDefault="0042789D">
      <w:pPr>
        <w:pStyle w:val="FootnoteText"/>
      </w:pPr>
      <w:r w:rsidRPr="008F5D62">
        <w:rPr>
          <w:rStyle w:val="FootnoteReference"/>
        </w:rPr>
        <w:footnoteRef/>
      </w:r>
      <w:r w:rsidRPr="008F5D62">
        <w:t xml:space="preserve"> </w:t>
      </w:r>
      <w:r w:rsidRPr="003E6EC9">
        <w:t xml:space="preserve">Letter from Commissioner of Police, </w:t>
      </w:r>
      <w:r>
        <w:t>NSW Police Force</w:t>
      </w:r>
      <w:r w:rsidRPr="003E6EC9">
        <w:t xml:space="preserve">, to Chief Commissioner, </w:t>
      </w:r>
      <w:r>
        <w:t>Law Enforcement Conduct Commission</w:t>
      </w:r>
      <w:r w:rsidRPr="003E6EC9">
        <w:t>, 30 September 2019</w:t>
      </w:r>
      <w:r>
        <w:t xml:space="preserve"> (Annexure C – Requests for Corrections to the Final Draft Report) p 3.</w:t>
      </w:r>
    </w:p>
  </w:footnote>
  <w:footnote w:id="249">
    <w:p w14:paraId="1E676313" w14:textId="6BFE9849" w:rsidR="0042789D" w:rsidRPr="004D345E" w:rsidRDefault="0042789D">
      <w:pPr>
        <w:pStyle w:val="FootnoteText"/>
      </w:pPr>
      <w:r w:rsidRPr="002A2554">
        <w:rPr>
          <w:rStyle w:val="FootnoteReference"/>
        </w:rPr>
        <w:footnoteRef/>
      </w:r>
      <w:r w:rsidRPr="002A2554">
        <w:t xml:space="preserve"> </w:t>
      </w:r>
      <w:r w:rsidRPr="002A2554">
        <w:rPr>
          <w:rFonts w:ascii="Gotham Book" w:hAnsi="Gotham Book"/>
        </w:rPr>
        <w:t xml:space="preserve">See that table of CPR case review </w:t>
      </w:r>
      <w:r w:rsidRPr="004D345E">
        <w:rPr>
          <w:rFonts w:ascii="Gotham Book" w:hAnsi="Gotham Book"/>
        </w:rPr>
        <w:t>results in Appendix 1.</w:t>
      </w:r>
    </w:p>
  </w:footnote>
  <w:footnote w:id="250">
    <w:p w14:paraId="13927126" w14:textId="137770C7" w:rsidR="0042789D" w:rsidRPr="00186D28" w:rsidRDefault="0042789D" w:rsidP="003F2D1D">
      <w:pPr>
        <w:pStyle w:val="FootnoteText"/>
      </w:pPr>
      <w:r w:rsidRPr="004D345E">
        <w:rPr>
          <w:rStyle w:val="FootnoteReference"/>
        </w:rPr>
        <w:footnoteRef/>
      </w:r>
      <w:r w:rsidRPr="004D345E">
        <w:t xml:space="preserve"> See the discussion of this issue in </w:t>
      </w:r>
      <w:r w:rsidRPr="004D345E">
        <w:rPr>
          <w:rFonts w:ascii="Gotham Book" w:hAnsi="Gotham Book"/>
        </w:rPr>
        <w:t xml:space="preserve">Chapter 6 section </w:t>
      </w:r>
      <w:r w:rsidRPr="004D345E">
        <w:rPr>
          <w:rFonts w:ascii="Gotham Book" w:hAnsi="Gotham Book"/>
        </w:rPr>
        <w:fldChar w:fldCharType="begin"/>
      </w:r>
      <w:r w:rsidRPr="004D345E">
        <w:rPr>
          <w:rFonts w:ascii="Gotham Book" w:hAnsi="Gotham Book"/>
        </w:rPr>
        <w:instrText xml:space="preserve"> REF _Ref13137216 \r \h  \* MERGEFORMAT </w:instrText>
      </w:r>
      <w:r w:rsidRPr="004D345E">
        <w:rPr>
          <w:rFonts w:ascii="Gotham Book" w:hAnsi="Gotham Book"/>
        </w:rPr>
      </w:r>
      <w:r w:rsidRPr="004D345E">
        <w:rPr>
          <w:rFonts w:ascii="Gotham Book" w:hAnsi="Gotham Book"/>
        </w:rPr>
        <w:fldChar w:fldCharType="separate"/>
      </w:r>
      <w:r w:rsidR="00022664">
        <w:rPr>
          <w:rFonts w:ascii="Gotham Book" w:hAnsi="Gotham Book" w:hint="cs"/>
          <w:cs/>
        </w:rPr>
        <w:t>‎</w:t>
      </w:r>
      <w:r w:rsidR="00022664">
        <w:rPr>
          <w:rFonts w:ascii="Gotham Book" w:hAnsi="Gotham Book"/>
        </w:rPr>
        <w:t>6.3.6</w:t>
      </w:r>
      <w:r w:rsidRPr="004D345E">
        <w:rPr>
          <w:rFonts w:ascii="Gotham Book" w:hAnsi="Gotham Book"/>
        </w:rPr>
        <w:fldChar w:fldCharType="end"/>
      </w:r>
      <w:r w:rsidRPr="004D345E">
        <w:rPr>
          <w:rFonts w:ascii="Gotham Book" w:hAnsi="Gotham Book"/>
        </w:rPr>
        <w:t>.</w:t>
      </w:r>
    </w:p>
  </w:footnote>
  <w:footnote w:id="251">
    <w:p w14:paraId="34056B1E" w14:textId="7C185B2B" w:rsidR="0042789D" w:rsidRPr="00BF5CB9" w:rsidRDefault="0042789D" w:rsidP="00B545E5">
      <w:pPr>
        <w:pStyle w:val="FootnoteText"/>
        <w:spacing w:before="60" w:after="60"/>
      </w:pPr>
      <w:r w:rsidRPr="00C56FF7">
        <w:rPr>
          <w:rStyle w:val="FootnoteReference"/>
        </w:rPr>
        <w:footnoteRef/>
      </w:r>
      <w:r w:rsidRPr="00C56FF7">
        <w:t xml:space="preserve"> Mr HH – see Child Protection Registry, </w:t>
      </w:r>
      <w:r w:rsidRPr="00C56FF7">
        <w:rPr>
          <w:i/>
        </w:rPr>
        <w:t>Application to the Local Court</w:t>
      </w:r>
      <w:r w:rsidRPr="00C56FF7">
        <w:t xml:space="preserve">, 12 December 2016, </w:t>
      </w:r>
      <w:r>
        <w:t>NSW Police Force</w:t>
      </w:r>
      <w:r w:rsidRPr="00C56FF7">
        <w:t xml:space="preserve"> response to item 2(j) of </w:t>
      </w:r>
      <w:r>
        <w:t>Law Enforcement Conduct Commission</w:t>
      </w:r>
      <w:r w:rsidRPr="00C56FF7">
        <w:t xml:space="preserve"> Notice 929 of 2017; Mr JJ – see CPR case file produced by </w:t>
      </w:r>
      <w:r>
        <w:t>NSW Police Force</w:t>
      </w:r>
      <w:r w:rsidRPr="00C56FF7">
        <w:t xml:space="preserve"> in response to item 2(k) of </w:t>
      </w:r>
      <w:r>
        <w:t>Law Enforcement Conduct Commission</w:t>
      </w:r>
      <w:r w:rsidRPr="00C56FF7">
        <w:t xml:space="preserve"> Notice 929 of 2018, and see</w:t>
      </w:r>
      <w:r w:rsidRPr="00C56FF7">
        <w:rPr>
          <w:b/>
        </w:rPr>
        <w:t xml:space="preserve"> </w:t>
      </w:r>
      <w:r w:rsidRPr="00C56FF7">
        <w:t>Child Protection Registry</w:t>
      </w:r>
      <w:r w:rsidRPr="00C56FF7">
        <w:rPr>
          <w:i/>
        </w:rPr>
        <w:t xml:space="preserve">, </w:t>
      </w:r>
      <w:r>
        <w:t>NSW Police Force</w:t>
      </w:r>
      <w:r w:rsidRPr="00C56FF7">
        <w:t>,</w:t>
      </w:r>
      <w:r w:rsidRPr="00C56FF7">
        <w:rPr>
          <w:i/>
        </w:rPr>
        <w:t xml:space="preserve"> Application to the Local Court</w:t>
      </w:r>
      <w:r>
        <w:rPr>
          <w:i/>
        </w:rPr>
        <w:t xml:space="preserve"> </w:t>
      </w:r>
      <w:r w:rsidRPr="00050B7D">
        <w:t>[re Mr JJ],</w:t>
      </w:r>
      <w:r w:rsidRPr="00C56FF7">
        <w:t xml:space="preserve"> </w:t>
      </w:r>
      <w:r>
        <w:t>NSW Police Force</w:t>
      </w:r>
      <w:r w:rsidRPr="00C56FF7">
        <w:t xml:space="preserve"> response to item 6 of </w:t>
      </w:r>
      <w:r>
        <w:t>Law Enforcement Conduct Commission</w:t>
      </w:r>
      <w:r w:rsidRPr="00C56FF7">
        <w:t xml:space="preserve"> Notice 929 of 2017.</w:t>
      </w:r>
    </w:p>
  </w:footnote>
  <w:footnote w:id="252">
    <w:p w14:paraId="50BBACFC" w14:textId="235C6FE2" w:rsidR="0042789D" w:rsidRPr="007F4C3C" w:rsidRDefault="0042789D" w:rsidP="002516D0">
      <w:pPr>
        <w:pStyle w:val="Footnote"/>
        <w:rPr>
          <w:rFonts w:ascii="Gotham Book" w:hAnsi="Gotham Book"/>
          <w:szCs w:val="20"/>
        </w:rPr>
      </w:pPr>
      <w:r w:rsidRPr="007F4C3C">
        <w:rPr>
          <w:rStyle w:val="FootnoteReference"/>
          <w:rFonts w:ascii="Gotham Book" w:hAnsi="Gotham Book"/>
          <w:szCs w:val="20"/>
        </w:rPr>
        <w:footnoteRef/>
      </w:r>
      <w:r w:rsidRPr="007F4C3C">
        <w:rPr>
          <w:rFonts w:ascii="Gotham Book" w:hAnsi="Gotham Book"/>
          <w:szCs w:val="20"/>
        </w:rPr>
        <w:t xml:space="preserve"> Letter from the </w:t>
      </w:r>
      <w:r>
        <w:rPr>
          <w:rFonts w:ascii="Gotham Book" w:hAnsi="Gotham Book"/>
          <w:szCs w:val="20"/>
        </w:rPr>
        <w:t xml:space="preserve">NSW Police Force to Mr HH, 12 December 2016, </w:t>
      </w:r>
      <w:r w:rsidRPr="00454AD6">
        <w:rPr>
          <w:rFonts w:ascii="Gotham Book" w:hAnsi="Gotham Book"/>
          <w:szCs w:val="20"/>
        </w:rPr>
        <w:t>Email from Child Protection Registry</w:t>
      </w:r>
      <w:r>
        <w:rPr>
          <w:rFonts w:ascii="Gotham Book" w:hAnsi="Gotham Book"/>
          <w:szCs w:val="20"/>
        </w:rPr>
        <w:t>, NSW Police Force,</w:t>
      </w:r>
      <w:r w:rsidRPr="00454AD6">
        <w:rPr>
          <w:rFonts w:ascii="Gotham Book" w:hAnsi="Gotham Book"/>
          <w:szCs w:val="20"/>
        </w:rPr>
        <w:t xml:space="preserve"> to </w:t>
      </w:r>
      <w:r>
        <w:rPr>
          <w:rFonts w:ascii="Gotham Book" w:hAnsi="Gotham Book"/>
          <w:szCs w:val="20"/>
        </w:rPr>
        <w:t>officers, NSW Police Force</w:t>
      </w:r>
      <w:r w:rsidRPr="00454AD6">
        <w:rPr>
          <w:rFonts w:ascii="Gotham Book" w:hAnsi="Gotham Book"/>
          <w:szCs w:val="20"/>
        </w:rPr>
        <w:t>, 16 August 2016 (11:23), Email from Child Protection Registry</w:t>
      </w:r>
      <w:r>
        <w:rPr>
          <w:rFonts w:ascii="Gotham Book" w:hAnsi="Gotham Book"/>
          <w:szCs w:val="20"/>
        </w:rPr>
        <w:t>, NSW Police Force,</w:t>
      </w:r>
      <w:r w:rsidRPr="00454AD6">
        <w:rPr>
          <w:rFonts w:ascii="Gotham Book" w:hAnsi="Gotham Book"/>
          <w:szCs w:val="20"/>
        </w:rPr>
        <w:t xml:space="preserve"> to Comma</w:t>
      </w:r>
      <w:r>
        <w:rPr>
          <w:rFonts w:ascii="Gotham Book" w:hAnsi="Gotham Book"/>
          <w:szCs w:val="20"/>
        </w:rPr>
        <w:t>nder, Sex Crimes Squad, undated, and Child Protection Registry</w:t>
      </w:r>
      <w:r w:rsidRPr="007F4C3C">
        <w:rPr>
          <w:rFonts w:ascii="Gotham Book" w:hAnsi="Gotham Book"/>
          <w:szCs w:val="20"/>
        </w:rPr>
        <w:t>,</w:t>
      </w:r>
      <w:r>
        <w:rPr>
          <w:rFonts w:ascii="Gotham Book" w:hAnsi="Gotham Book"/>
          <w:szCs w:val="20"/>
        </w:rPr>
        <w:t xml:space="preserve"> NSW Police Force,</w:t>
      </w:r>
      <w:r w:rsidRPr="007F4C3C">
        <w:rPr>
          <w:rFonts w:ascii="Gotham Book" w:hAnsi="Gotham Book"/>
          <w:szCs w:val="20"/>
        </w:rPr>
        <w:t xml:space="preserve"> </w:t>
      </w:r>
      <w:r w:rsidRPr="007F4C3C">
        <w:rPr>
          <w:rFonts w:ascii="Gotham Book" w:hAnsi="Gotham Book"/>
          <w:i/>
          <w:szCs w:val="20"/>
        </w:rPr>
        <w:t>Application to the Local Court</w:t>
      </w:r>
      <w:r w:rsidRPr="007F4C3C">
        <w:rPr>
          <w:rFonts w:ascii="Gotham Book" w:hAnsi="Gotham Book"/>
          <w:szCs w:val="20"/>
        </w:rPr>
        <w:t xml:space="preserve">, 12 December 2016, </w:t>
      </w:r>
      <w:r>
        <w:rPr>
          <w:rFonts w:ascii="Gotham Book" w:hAnsi="Gotham Book"/>
          <w:szCs w:val="20"/>
        </w:rPr>
        <w:t>all in NSW Police Force response</w:t>
      </w:r>
      <w:r w:rsidRPr="007F4C3C">
        <w:rPr>
          <w:rFonts w:ascii="Gotham Book" w:hAnsi="Gotham Book"/>
          <w:szCs w:val="20"/>
        </w:rPr>
        <w:t xml:space="preserve"> to </w:t>
      </w:r>
      <w:r>
        <w:rPr>
          <w:rFonts w:ascii="Gotham Book" w:hAnsi="Gotham Book"/>
          <w:szCs w:val="20"/>
        </w:rPr>
        <w:t>item 2(j) of Law Enforcement Conduct Commission Notice 929 of 2018.</w:t>
      </w:r>
    </w:p>
  </w:footnote>
  <w:footnote w:id="253">
    <w:p w14:paraId="4AE8235A" w14:textId="3B5B426C" w:rsidR="0042789D" w:rsidRPr="009B6FFD" w:rsidRDefault="0042789D" w:rsidP="002516D0">
      <w:pPr>
        <w:pStyle w:val="FootnoteText"/>
      </w:pPr>
      <w:r w:rsidRPr="00382EA0">
        <w:rPr>
          <w:rStyle w:val="FootnoteReference"/>
        </w:rPr>
        <w:footnoteRef/>
      </w:r>
      <w:r w:rsidRPr="00382EA0">
        <w:t xml:space="preserve"> </w:t>
      </w:r>
      <w:r w:rsidRPr="00382EA0">
        <w:rPr>
          <w:rFonts w:ascii="Gotham Book" w:hAnsi="Gotham Book"/>
        </w:rPr>
        <w:t xml:space="preserve">Response provided to the </w:t>
      </w:r>
      <w:r>
        <w:rPr>
          <w:rFonts w:ascii="Gotham Book" w:hAnsi="Gotham Book"/>
        </w:rPr>
        <w:t>Law Enforcement Conduct Commission</w:t>
      </w:r>
      <w:r w:rsidRPr="00382EA0">
        <w:rPr>
          <w:rFonts w:ascii="Gotham Book" w:hAnsi="Gotham Book"/>
        </w:rPr>
        <w:t>, 8 July 2019 (including copy of draft template letter from Queensland Police Service Child Protection Offender Registry)</w:t>
      </w:r>
      <w:r w:rsidRPr="00382EA0">
        <w:t>.</w:t>
      </w:r>
    </w:p>
  </w:footnote>
  <w:footnote w:id="254">
    <w:p w14:paraId="437D6D71" w14:textId="7DE80F56" w:rsidR="0042789D" w:rsidRPr="00D37D35" w:rsidRDefault="0042789D" w:rsidP="00D37D35">
      <w:pPr>
        <w:spacing w:before="60" w:after="60" w:line="240" w:lineRule="auto"/>
        <w:rPr>
          <w:sz w:val="20"/>
          <w:szCs w:val="20"/>
        </w:rPr>
      </w:pPr>
      <w:r w:rsidRPr="00D37D35">
        <w:rPr>
          <w:rStyle w:val="FootnoteReference"/>
          <w:sz w:val="20"/>
          <w:szCs w:val="20"/>
        </w:rPr>
        <w:footnoteRef/>
      </w:r>
      <w:r w:rsidRPr="00D37D35">
        <w:rPr>
          <w:sz w:val="20"/>
          <w:szCs w:val="20"/>
        </w:rPr>
        <w:t xml:space="preserve"> Workforce Intelligence Unit, Human Resources Command, </w:t>
      </w:r>
      <w:r>
        <w:rPr>
          <w:sz w:val="20"/>
          <w:szCs w:val="20"/>
        </w:rPr>
        <w:t>NSW Police Force</w:t>
      </w:r>
      <w:r w:rsidRPr="00D37D35">
        <w:rPr>
          <w:sz w:val="20"/>
          <w:szCs w:val="20"/>
        </w:rPr>
        <w:t xml:space="preserve">, </w:t>
      </w:r>
      <w:r w:rsidRPr="00D37D35">
        <w:rPr>
          <w:i/>
          <w:sz w:val="20"/>
          <w:szCs w:val="20"/>
        </w:rPr>
        <w:t>HR Analysis: Child Protection Register Staffing Review</w:t>
      </w:r>
      <w:r w:rsidRPr="00D37D35">
        <w:rPr>
          <w:sz w:val="20"/>
          <w:szCs w:val="20"/>
        </w:rPr>
        <w:t xml:space="preserve">, 20 July 2017, D/2017/630614, </w:t>
      </w:r>
      <w:r>
        <w:rPr>
          <w:sz w:val="20"/>
          <w:szCs w:val="20"/>
        </w:rPr>
        <w:t>NSW Police Force response</w:t>
      </w:r>
      <w:r w:rsidRPr="00D37D35">
        <w:rPr>
          <w:sz w:val="20"/>
          <w:szCs w:val="20"/>
        </w:rPr>
        <w:t xml:space="preserve"> to item 1 of </w:t>
      </w:r>
      <w:r>
        <w:rPr>
          <w:sz w:val="20"/>
          <w:szCs w:val="20"/>
        </w:rPr>
        <w:t>Law Enforcement Conduct Commission Notice</w:t>
      </w:r>
      <w:r w:rsidRPr="00D37D35">
        <w:rPr>
          <w:sz w:val="20"/>
          <w:szCs w:val="20"/>
        </w:rPr>
        <w:t xml:space="preserve"> 929 of 2017, p 5.</w:t>
      </w:r>
    </w:p>
  </w:footnote>
  <w:footnote w:id="255">
    <w:p w14:paraId="1D450447" w14:textId="45174DEA" w:rsidR="0042789D" w:rsidRPr="00F960B6" w:rsidRDefault="0042789D" w:rsidP="00D1782A">
      <w:pPr>
        <w:spacing w:before="60" w:after="60"/>
        <w:rPr>
          <w:sz w:val="20"/>
          <w:szCs w:val="20"/>
        </w:rPr>
      </w:pPr>
      <w:r w:rsidRPr="00F960B6">
        <w:rPr>
          <w:rStyle w:val="FootnoteReference"/>
          <w:sz w:val="20"/>
          <w:szCs w:val="20"/>
        </w:rPr>
        <w:footnoteRef/>
      </w:r>
      <w:r w:rsidRPr="00F960B6">
        <w:rPr>
          <w:sz w:val="20"/>
          <w:szCs w:val="20"/>
        </w:rPr>
        <w:t xml:space="preserve"> New South Wales Ombudsman, </w:t>
      </w:r>
      <w:r w:rsidRPr="00F960B6">
        <w:rPr>
          <w:i/>
          <w:sz w:val="20"/>
          <w:szCs w:val="20"/>
        </w:rPr>
        <w:t>Review of the Child Protection Register: Report under s 25(1) of the Child Protection (Offenders Registration) Act 2000</w:t>
      </w:r>
      <w:r w:rsidRPr="00F960B6">
        <w:rPr>
          <w:sz w:val="20"/>
          <w:szCs w:val="20"/>
        </w:rPr>
        <w:t xml:space="preserve"> (2005) p iv.</w:t>
      </w:r>
    </w:p>
  </w:footnote>
  <w:footnote w:id="256">
    <w:p w14:paraId="7BC1DEE6" w14:textId="29954FB6" w:rsidR="0042789D" w:rsidRPr="00F960B6" w:rsidRDefault="0042789D" w:rsidP="00D1782A">
      <w:pPr>
        <w:spacing w:before="60" w:after="60"/>
        <w:rPr>
          <w:szCs w:val="20"/>
        </w:rPr>
      </w:pPr>
      <w:r w:rsidRPr="00F960B6">
        <w:rPr>
          <w:rStyle w:val="FootnoteReference"/>
          <w:sz w:val="20"/>
          <w:szCs w:val="20"/>
        </w:rPr>
        <w:footnoteRef/>
      </w:r>
      <w:r w:rsidRPr="00F960B6">
        <w:rPr>
          <w:sz w:val="20"/>
          <w:szCs w:val="20"/>
        </w:rPr>
        <w:t xml:space="preserve"> Letter from Commissioner of Police, NSW Police Force, to Chief Commissioner, Law Enforcement Conduct Commission, 30 September 2019 (Annexure D: Updated Statistics from the CPR Monthly Report and about Travel Requests).</w:t>
      </w:r>
    </w:p>
  </w:footnote>
  <w:footnote w:id="257">
    <w:p w14:paraId="579105DB" w14:textId="489737DC" w:rsidR="0042789D" w:rsidRPr="00211AE3" w:rsidRDefault="0042789D" w:rsidP="00D1782A">
      <w:pPr>
        <w:spacing w:before="60" w:after="60" w:line="240" w:lineRule="auto"/>
        <w:rPr>
          <w:sz w:val="20"/>
          <w:szCs w:val="20"/>
        </w:rPr>
      </w:pPr>
      <w:r w:rsidRPr="00F960B6">
        <w:rPr>
          <w:rStyle w:val="FootnoteReference"/>
          <w:sz w:val="20"/>
          <w:szCs w:val="20"/>
        </w:rPr>
        <w:footnoteRef/>
      </w:r>
      <w:r w:rsidRPr="00F960B6">
        <w:rPr>
          <w:sz w:val="20"/>
          <w:szCs w:val="20"/>
        </w:rPr>
        <w:t xml:space="preserve"> Workforce Intelligence Unit, Human Resources Command, NSW Police Force, </w:t>
      </w:r>
      <w:r w:rsidRPr="00F960B6">
        <w:rPr>
          <w:i/>
          <w:sz w:val="20"/>
          <w:szCs w:val="20"/>
        </w:rPr>
        <w:t>HR Analysis: Child Protection Register Staffing Review</w:t>
      </w:r>
      <w:r w:rsidRPr="00F960B6">
        <w:rPr>
          <w:sz w:val="20"/>
          <w:szCs w:val="20"/>
        </w:rPr>
        <w:t>, 20 July 2017</w:t>
      </w:r>
      <w:r w:rsidRPr="00211AE3">
        <w:rPr>
          <w:sz w:val="20"/>
          <w:szCs w:val="20"/>
        </w:rPr>
        <w:t xml:space="preserve">, D/2017/630614, </w:t>
      </w:r>
      <w:r>
        <w:rPr>
          <w:sz w:val="20"/>
          <w:szCs w:val="20"/>
        </w:rPr>
        <w:t>NSW Police Force response</w:t>
      </w:r>
      <w:r w:rsidRPr="00211AE3">
        <w:rPr>
          <w:sz w:val="20"/>
          <w:szCs w:val="20"/>
        </w:rPr>
        <w:t xml:space="preserve"> to item 1 of </w:t>
      </w:r>
      <w:r>
        <w:rPr>
          <w:sz w:val="20"/>
          <w:szCs w:val="20"/>
        </w:rPr>
        <w:t>Law Enforcement Conduct Commission Notice</w:t>
      </w:r>
      <w:r w:rsidRPr="00211AE3">
        <w:rPr>
          <w:sz w:val="20"/>
          <w:szCs w:val="20"/>
        </w:rPr>
        <w:t xml:space="preserve"> 929 of 2017, p 21; Manager, Child Protection Registry,</w:t>
      </w:r>
      <w:r>
        <w:rPr>
          <w:sz w:val="20"/>
          <w:szCs w:val="20"/>
        </w:rPr>
        <w:t xml:space="preserve"> NSW Police Force,</w:t>
      </w:r>
      <w:r w:rsidRPr="00211AE3">
        <w:rPr>
          <w:sz w:val="20"/>
          <w:szCs w:val="20"/>
        </w:rPr>
        <w:t xml:space="preserve"> </w:t>
      </w:r>
      <w:r w:rsidRPr="00211AE3">
        <w:rPr>
          <w:i/>
          <w:sz w:val="20"/>
          <w:szCs w:val="20"/>
        </w:rPr>
        <w:t>Management of the Child Protection Register in New South Wales: Michael O’Brien Scholarship 2017</w:t>
      </w:r>
      <w:r w:rsidRPr="00211AE3">
        <w:rPr>
          <w:sz w:val="20"/>
          <w:szCs w:val="20"/>
        </w:rPr>
        <w:t xml:space="preserve"> (2018), </w:t>
      </w:r>
      <w:r>
        <w:rPr>
          <w:sz w:val="20"/>
          <w:szCs w:val="20"/>
        </w:rPr>
        <w:t>NSW Police Force response</w:t>
      </w:r>
      <w:r w:rsidRPr="00211AE3">
        <w:rPr>
          <w:sz w:val="20"/>
          <w:szCs w:val="20"/>
        </w:rPr>
        <w:t xml:space="preserve"> to item 1 of </w:t>
      </w:r>
      <w:r>
        <w:rPr>
          <w:sz w:val="20"/>
          <w:szCs w:val="20"/>
        </w:rPr>
        <w:t>Law Enforcement Conduct Commission Notice</w:t>
      </w:r>
      <w:r w:rsidRPr="00211AE3">
        <w:rPr>
          <w:sz w:val="20"/>
          <w:szCs w:val="20"/>
        </w:rPr>
        <w:t xml:space="preserve"> 929 of 2018, p 18.</w:t>
      </w:r>
    </w:p>
  </w:footnote>
  <w:footnote w:id="258">
    <w:p w14:paraId="7ABF0504" w14:textId="2A4C9D9B" w:rsidR="0042789D" w:rsidRPr="00AE6157" w:rsidRDefault="0042789D" w:rsidP="00D1782A">
      <w:pPr>
        <w:spacing w:before="60" w:after="60" w:line="240" w:lineRule="auto"/>
        <w:rPr>
          <w:rFonts w:ascii="Gotham Book" w:hAnsi="Gotham Book"/>
          <w:sz w:val="20"/>
          <w:szCs w:val="20"/>
        </w:rPr>
      </w:pPr>
      <w:r w:rsidRPr="00211AE3">
        <w:rPr>
          <w:rStyle w:val="FootnoteReference"/>
          <w:rFonts w:ascii="Gotham Book" w:hAnsi="Gotham Book"/>
          <w:sz w:val="20"/>
          <w:szCs w:val="20"/>
        </w:rPr>
        <w:footnoteRef/>
      </w:r>
      <w:r w:rsidRPr="00211AE3">
        <w:rPr>
          <w:rFonts w:ascii="Gotham Book" w:hAnsi="Gotham Book"/>
          <w:sz w:val="20"/>
          <w:szCs w:val="20"/>
        </w:rPr>
        <w:t xml:space="preserve"> Data drawn from </w:t>
      </w:r>
      <w:r w:rsidRPr="00211AE3">
        <w:rPr>
          <w:sz w:val="20"/>
          <w:szCs w:val="20"/>
        </w:rPr>
        <w:t xml:space="preserve">Workforce Intelligence Unit, Human Resources Command, </w:t>
      </w:r>
      <w:r>
        <w:rPr>
          <w:sz w:val="20"/>
          <w:szCs w:val="20"/>
        </w:rPr>
        <w:t>NSW Police Force</w:t>
      </w:r>
      <w:r w:rsidRPr="00211AE3">
        <w:rPr>
          <w:sz w:val="20"/>
          <w:szCs w:val="20"/>
        </w:rPr>
        <w:t xml:space="preserve">, </w:t>
      </w:r>
      <w:r w:rsidRPr="00211AE3">
        <w:rPr>
          <w:i/>
          <w:sz w:val="20"/>
          <w:szCs w:val="20"/>
        </w:rPr>
        <w:t>HR Analysis: Child Protection Register Staffing Review</w:t>
      </w:r>
      <w:r w:rsidRPr="00211AE3">
        <w:rPr>
          <w:sz w:val="20"/>
          <w:szCs w:val="20"/>
        </w:rPr>
        <w:t xml:space="preserve">, 20 July 2017, D/2017/630614, </w:t>
      </w:r>
      <w:r>
        <w:rPr>
          <w:sz w:val="20"/>
          <w:szCs w:val="20"/>
        </w:rPr>
        <w:t>NSW Police Force response</w:t>
      </w:r>
      <w:r w:rsidRPr="00211AE3">
        <w:rPr>
          <w:sz w:val="20"/>
          <w:szCs w:val="20"/>
        </w:rPr>
        <w:t xml:space="preserve"> to item 1 of </w:t>
      </w:r>
      <w:r>
        <w:rPr>
          <w:sz w:val="20"/>
          <w:szCs w:val="20"/>
        </w:rPr>
        <w:t>Law Enforcement Conduct Commission Notice</w:t>
      </w:r>
      <w:r w:rsidRPr="00211AE3">
        <w:rPr>
          <w:sz w:val="20"/>
          <w:szCs w:val="20"/>
        </w:rPr>
        <w:t xml:space="preserve"> 929 of 2017</w:t>
      </w:r>
      <w:r w:rsidRPr="00211AE3">
        <w:rPr>
          <w:rFonts w:ascii="Gotham Book" w:hAnsi="Gotham Book"/>
          <w:sz w:val="20"/>
          <w:szCs w:val="20"/>
        </w:rPr>
        <w:t xml:space="preserve">, p 21; </w:t>
      </w:r>
      <w:r w:rsidRPr="00211AE3">
        <w:rPr>
          <w:sz w:val="20"/>
          <w:szCs w:val="20"/>
        </w:rPr>
        <w:t xml:space="preserve">Manager, Child Protection Registry, </w:t>
      </w:r>
      <w:r w:rsidRPr="00211AE3">
        <w:rPr>
          <w:i/>
          <w:sz w:val="20"/>
          <w:szCs w:val="20"/>
        </w:rPr>
        <w:t>Management of the Child Protection Register in New South Wales: Michael O’Brien Scholarship 2017</w:t>
      </w:r>
      <w:r w:rsidRPr="00211AE3">
        <w:rPr>
          <w:sz w:val="20"/>
          <w:szCs w:val="20"/>
        </w:rPr>
        <w:t xml:space="preserve"> (2018), </w:t>
      </w:r>
      <w:r>
        <w:rPr>
          <w:sz w:val="20"/>
          <w:szCs w:val="20"/>
        </w:rPr>
        <w:t>NSW Police Force response</w:t>
      </w:r>
      <w:r w:rsidRPr="00211AE3">
        <w:rPr>
          <w:sz w:val="20"/>
          <w:szCs w:val="20"/>
        </w:rPr>
        <w:t xml:space="preserve"> to item 1 of </w:t>
      </w:r>
      <w:r>
        <w:rPr>
          <w:sz w:val="20"/>
          <w:szCs w:val="20"/>
        </w:rPr>
        <w:t>Law Enforcement Conduct Commission Notice</w:t>
      </w:r>
      <w:r w:rsidRPr="00211AE3">
        <w:rPr>
          <w:sz w:val="20"/>
          <w:szCs w:val="20"/>
        </w:rPr>
        <w:t xml:space="preserve"> 929 of 2018, </w:t>
      </w:r>
      <w:r w:rsidRPr="00211AE3">
        <w:rPr>
          <w:rFonts w:ascii="Gotham Book" w:hAnsi="Gotham Book"/>
          <w:sz w:val="20"/>
          <w:szCs w:val="20"/>
        </w:rPr>
        <w:t xml:space="preserve">p 18; State Intelligence Command, </w:t>
      </w:r>
      <w:r>
        <w:rPr>
          <w:rFonts w:ascii="Gotham Book" w:hAnsi="Gotham Book"/>
          <w:sz w:val="20"/>
          <w:szCs w:val="20"/>
        </w:rPr>
        <w:t>NSW Police Force</w:t>
      </w:r>
      <w:r w:rsidRPr="00211AE3">
        <w:rPr>
          <w:rFonts w:ascii="Gotham Book" w:hAnsi="Gotham Book"/>
          <w:sz w:val="20"/>
          <w:szCs w:val="20"/>
        </w:rPr>
        <w:t xml:space="preserve">, </w:t>
      </w:r>
      <w:r w:rsidRPr="00211AE3">
        <w:rPr>
          <w:rFonts w:ascii="Gotham Book" w:hAnsi="Gotham Book"/>
          <w:i/>
          <w:sz w:val="20"/>
          <w:szCs w:val="20"/>
        </w:rPr>
        <w:t>Child Protection Register Monthly Report</w:t>
      </w:r>
      <w:r w:rsidRPr="00211AE3">
        <w:rPr>
          <w:rFonts w:ascii="Gotham Book" w:hAnsi="Gotham Book"/>
          <w:sz w:val="20"/>
          <w:szCs w:val="20"/>
        </w:rPr>
        <w:t xml:space="preserve">, December 2018, </w:t>
      </w:r>
      <w:r>
        <w:rPr>
          <w:rFonts w:ascii="Gotham Book" w:hAnsi="Gotham Book"/>
          <w:sz w:val="20"/>
          <w:szCs w:val="20"/>
        </w:rPr>
        <w:t>NSW Police Force response</w:t>
      </w:r>
      <w:r w:rsidRPr="00211AE3">
        <w:rPr>
          <w:rFonts w:ascii="Gotham Book" w:hAnsi="Gotham Book"/>
          <w:sz w:val="20"/>
          <w:szCs w:val="20"/>
        </w:rPr>
        <w:t xml:space="preserve"> to item 3 of </w:t>
      </w:r>
      <w:r>
        <w:rPr>
          <w:rFonts w:ascii="Gotham Book" w:hAnsi="Gotham Book"/>
          <w:sz w:val="20"/>
          <w:szCs w:val="20"/>
        </w:rPr>
        <w:t xml:space="preserve">Law Enforcement Conduct Commission Notice 988 of 2018, p 1; </w:t>
      </w:r>
      <w:r w:rsidRPr="003E6EC9">
        <w:rPr>
          <w:sz w:val="20"/>
        </w:rPr>
        <w:t xml:space="preserve">Letter from Commissioner of Police, </w:t>
      </w:r>
      <w:r>
        <w:rPr>
          <w:sz w:val="20"/>
        </w:rPr>
        <w:t>NSW Police Force</w:t>
      </w:r>
      <w:r w:rsidRPr="003E6EC9">
        <w:rPr>
          <w:sz w:val="20"/>
        </w:rPr>
        <w:t xml:space="preserve">, to Chief Commissioner, </w:t>
      </w:r>
      <w:r>
        <w:rPr>
          <w:sz w:val="20"/>
        </w:rPr>
        <w:t>Law Enforcement Conduct Commission</w:t>
      </w:r>
      <w:r w:rsidRPr="003E6EC9">
        <w:rPr>
          <w:sz w:val="20"/>
        </w:rPr>
        <w:t>, 3</w:t>
      </w:r>
      <w:r>
        <w:rPr>
          <w:sz w:val="20"/>
        </w:rPr>
        <w:t>0 September 2019 (Annexure D</w:t>
      </w:r>
      <w:r w:rsidRPr="003E6EC9">
        <w:rPr>
          <w:sz w:val="20"/>
        </w:rPr>
        <w:t>:</w:t>
      </w:r>
      <w:r>
        <w:rPr>
          <w:sz w:val="20"/>
        </w:rPr>
        <w:t xml:space="preserve"> Updated Statistics from the CPR Monthly Report and about Travel Requests).</w:t>
      </w:r>
      <w:r w:rsidRPr="003E6EC9">
        <w:rPr>
          <w:sz w:val="20"/>
        </w:rPr>
        <w:t xml:space="preserve"> </w:t>
      </w:r>
    </w:p>
  </w:footnote>
  <w:footnote w:id="259">
    <w:p w14:paraId="75C0D04E" w14:textId="36DD9E87" w:rsidR="0042789D" w:rsidRPr="0053350A" w:rsidRDefault="0042789D" w:rsidP="00D1782A">
      <w:pPr>
        <w:spacing w:before="60" w:after="60"/>
        <w:rPr>
          <w:sz w:val="20"/>
          <w:szCs w:val="20"/>
        </w:rPr>
      </w:pPr>
      <w:r w:rsidRPr="00F960B6">
        <w:rPr>
          <w:rStyle w:val="FootnoteReference"/>
          <w:sz w:val="20"/>
          <w:szCs w:val="20"/>
        </w:rPr>
        <w:footnoteRef/>
      </w:r>
      <w:r w:rsidRPr="00F960B6">
        <w:rPr>
          <w:sz w:val="20"/>
          <w:szCs w:val="20"/>
        </w:rPr>
        <w:t xml:space="preserve"> Email from NSW Bureau of Crime Statistics and Research to Law Enforcement Conduct Commission, 23 September 2019 (BOCSAR Ref. 19-18087).</w:t>
      </w:r>
    </w:p>
  </w:footnote>
  <w:footnote w:id="260">
    <w:p w14:paraId="01044962" w14:textId="704B3EDE" w:rsidR="0042789D" w:rsidRPr="0044792C" w:rsidRDefault="0042789D" w:rsidP="003018D6">
      <w:pPr>
        <w:pStyle w:val="Footnote"/>
      </w:pPr>
      <w:r w:rsidRPr="00AE6157">
        <w:rPr>
          <w:rStyle w:val="FootnoteReference"/>
          <w:szCs w:val="20"/>
        </w:rPr>
        <w:footnoteRef/>
      </w:r>
      <w:r w:rsidRPr="00AE6157">
        <w:t xml:space="preserve"> </w:t>
      </w:r>
      <w:r>
        <w:t xml:space="preserve">Email from </w:t>
      </w:r>
      <w:r w:rsidRPr="009542F1">
        <w:t>NSW Bureau of Crime Statistics a</w:t>
      </w:r>
      <w:r>
        <w:t>nd Research to Law Enforcement Conduct Commission, 23 September 2019 (BOCSAR Ref.</w:t>
      </w:r>
      <w:r w:rsidRPr="00F971BB">
        <w:t xml:space="preserve"> 19-18087</w:t>
      </w:r>
      <w:r>
        <w:t xml:space="preserve">). </w:t>
      </w:r>
      <w:r w:rsidRPr="007B2871">
        <w:t>These are referred to as child pornography offenses in the BOCSAR data</w:t>
      </w:r>
      <w:r>
        <w:t>.</w:t>
      </w:r>
    </w:p>
  </w:footnote>
  <w:footnote w:id="261">
    <w:p w14:paraId="1C7FF09F" w14:textId="58A6876E" w:rsidR="0042789D" w:rsidRDefault="0042789D" w:rsidP="003018D6">
      <w:pPr>
        <w:pStyle w:val="Footnote"/>
      </w:pPr>
      <w:r>
        <w:rPr>
          <w:rStyle w:val="FootnoteReference"/>
        </w:rPr>
        <w:footnoteRef/>
      </w:r>
      <w:r>
        <w:t xml:space="preserve"> For example, these graphs</w:t>
      </w:r>
      <w:r w:rsidRPr="00AE26AC">
        <w:t xml:space="preserve"> do not include data on violent offences such as murder or manslaughter that </w:t>
      </w:r>
      <w:r>
        <w:t>can be</w:t>
      </w:r>
      <w:r w:rsidRPr="00AE26AC">
        <w:t xml:space="preserve"> registrable offences if committed against children: </w:t>
      </w:r>
      <w:r w:rsidRPr="00AE26AC">
        <w:rPr>
          <w:i/>
          <w:iCs/>
        </w:rPr>
        <w:t>Child Protection (Offenders Registration) Act 2000</w:t>
      </w:r>
      <w:r w:rsidRPr="00AE26AC">
        <w:t xml:space="preserve"> (NSW) s 3 (definitions of ‘Class 1 offence’ and ‘Class 2 offence’).</w:t>
      </w:r>
    </w:p>
  </w:footnote>
  <w:footnote w:id="262">
    <w:p w14:paraId="733ECA31" w14:textId="53D99456" w:rsidR="0042789D" w:rsidRPr="00AB5023" w:rsidRDefault="0042789D" w:rsidP="00D1782A">
      <w:pPr>
        <w:pStyle w:val="Footnote"/>
        <w:rPr>
          <w:b/>
          <w:szCs w:val="20"/>
        </w:rPr>
      </w:pPr>
      <w:r>
        <w:rPr>
          <w:rStyle w:val="FootnoteReference"/>
        </w:rPr>
        <w:footnoteRef/>
      </w:r>
      <w:r>
        <w:t xml:space="preserve"> </w:t>
      </w:r>
      <w:r w:rsidRPr="00EB5B40">
        <w:t xml:space="preserve">Data from NSW Bureau of Crime Statistics and Research, ‘NSW Higher, Local and Children's Criminal Courts January </w:t>
      </w:r>
      <w:r w:rsidRPr="00EB5B40">
        <w:rPr>
          <w:szCs w:val="18"/>
        </w:rPr>
        <w:t xml:space="preserve">2001 to March 2019: Charges and defendants charged in finalised court appearances for selected sexual offences by jurisdiction’ (BOCSAR </w:t>
      </w:r>
      <w:r w:rsidRPr="00EB5B40">
        <w:t>Ref. 19-18087):</w:t>
      </w:r>
      <w:r w:rsidRPr="00EB5B40">
        <w:rPr>
          <w:szCs w:val="18"/>
        </w:rPr>
        <w:t xml:space="preserve"> </w:t>
      </w:r>
      <w:r w:rsidRPr="00EB5B40">
        <w:rPr>
          <w:szCs w:val="20"/>
        </w:rPr>
        <w:t xml:space="preserve">Email from NSW Bureau of Crime Statistics and Research to </w:t>
      </w:r>
      <w:r>
        <w:rPr>
          <w:szCs w:val="20"/>
        </w:rPr>
        <w:t>Law Enforcement Conduct Commission</w:t>
      </w:r>
      <w:r w:rsidRPr="00EB5B40">
        <w:rPr>
          <w:szCs w:val="20"/>
        </w:rPr>
        <w:t>, 23 September 2019.</w:t>
      </w:r>
    </w:p>
  </w:footnote>
  <w:footnote w:id="263">
    <w:p w14:paraId="53D0F2DA" w14:textId="76CC6C45" w:rsidR="0042789D" w:rsidRDefault="0042789D" w:rsidP="00AF1D8E">
      <w:pPr>
        <w:pStyle w:val="Footnote"/>
      </w:pPr>
      <w:r>
        <w:rPr>
          <w:rStyle w:val="FootnoteReference"/>
        </w:rPr>
        <w:footnoteRef/>
      </w:r>
      <w:r>
        <w:t xml:space="preserve"> New South Wales Ombudsman, </w:t>
      </w:r>
      <w:r w:rsidRPr="00EC1F63">
        <w:rPr>
          <w:i/>
        </w:rPr>
        <w:t>The JIRT Partnership – 20 years on: NSW Ombudsman inquiry into the operation of the JIRT Program</w:t>
      </w:r>
      <w:r>
        <w:t xml:space="preserve"> (2017) pp 105-107.</w:t>
      </w:r>
    </w:p>
  </w:footnote>
  <w:footnote w:id="264">
    <w:p w14:paraId="12016C91" w14:textId="2BA49C61" w:rsidR="0042789D" w:rsidRPr="00B85975" w:rsidRDefault="0042789D" w:rsidP="00AF1D8E">
      <w:pPr>
        <w:pStyle w:val="Footnote"/>
        <w:rPr>
          <w:szCs w:val="20"/>
        </w:rPr>
      </w:pPr>
      <w:r w:rsidRPr="003F69C1">
        <w:rPr>
          <w:rStyle w:val="FootnoteReference"/>
        </w:rPr>
        <w:footnoteRef/>
      </w:r>
      <w:r w:rsidRPr="003F69C1">
        <w:t xml:space="preserve"> </w:t>
      </w:r>
      <w:r>
        <w:t>Workforce Intelligence</w:t>
      </w:r>
      <w:r w:rsidRPr="00802C2E">
        <w:t xml:space="preserve"> Unit, </w:t>
      </w:r>
      <w:r>
        <w:t>Human Resources Command, NSW Police Force,</w:t>
      </w:r>
      <w:r w:rsidRPr="00802C2E">
        <w:t xml:space="preserve"> </w:t>
      </w:r>
      <w:r w:rsidRPr="00802C2E">
        <w:rPr>
          <w:i/>
        </w:rPr>
        <w:t>HR Analysis: Child Protection Register Staffing Review</w:t>
      </w:r>
      <w:r w:rsidRPr="00802C2E">
        <w:t xml:space="preserve">, 20 July 2017, D/2017/630614, </w:t>
      </w:r>
      <w:r>
        <w:t>NSW Police Force response</w:t>
      </w:r>
      <w:r w:rsidRPr="00802C2E">
        <w:t xml:space="preserve"> to item 1 of </w:t>
      </w:r>
      <w:r>
        <w:t>Law Enforcement Conduct Commission Notice</w:t>
      </w:r>
      <w:r w:rsidRPr="00802C2E">
        <w:t xml:space="preserve"> 929 of 2017</w:t>
      </w:r>
      <w:r w:rsidRPr="00034D78">
        <w:t>, p 24.</w:t>
      </w:r>
      <w:r w:rsidRPr="003F69C1">
        <w:t xml:space="preserve"> In December 2018 the State Crime Command’s Child Abuse Squad was merged with the Sex </w:t>
      </w:r>
      <w:r w:rsidRPr="00B85975">
        <w:rPr>
          <w:szCs w:val="20"/>
        </w:rPr>
        <w:t>Crimes Squad to form the Child Abuse and Sex Crimes Squad.</w:t>
      </w:r>
    </w:p>
  </w:footnote>
  <w:footnote w:id="265">
    <w:p w14:paraId="5BAEB936" w14:textId="26A83A3F" w:rsidR="0042789D" w:rsidRPr="00B85975" w:rsidRDefault="0042789D" w:rsidP="00AF1D8E">
      <w:pPr>
        <w:pStyle w:val="Footnote"/>
        <w:rPr>
          <w:szCs w:val="20"/>
        </w:rPr>
      </w:pPr>
      <w:r w:rsidRPr="00B85975">
        <w:rPr>
          <w:rStyle w:val="FootnoteReference"/>
          <w:szCs w:val="20"/>
        </w:rPr>
        <w:footnoteRef/>
      </w:r>
      <w:r w:rsidRPr="00B85975">
        <w:rPr>
          <w:szCs w:val="20"/>
        </w:rPr>
        <w:t xml:space="preserve"> Manager, Child Protection Registry, </w:t>
      </w:r>
      <w:r w:rsidRPr="00B85975">
        <w:rPr>
          <w:i/>
          <w:szCs w:val="20"/>
        </w:rPr>
        <w:t>Management of the Child Protection Register in New South Wales: Michael O’Brien Scholarship 2017</w:t>
      </w:r>
      <w:r w:rsidRPr="00B85975">
        <w:rPr>
          <w:szCs w:val="20"/>
        </w:rPr>
        <w:t xml:space="preserve"> (2018), </w:t>
      </w:r>
      <w:r>
        <w:rPr>
          <w:szCs w:val="20"/>
        </w:rPr>
        <w:t>NSW Police Force response</w:t>
      </w:r>
      <w:r w:rsidRPr="00B85975">
        <w:rPr>
          <w:szCs w:val="20"/>
        </w:rPr>
        <w:t xml:space="preserve"> to item 1 of</w:t>
      </w:r>
      <w:r>
        <w:rPr>
          <w:szCs w:val="20"/>
        </w:rPr>
        <w:t> Law Enforcement Conduct Commission Notice</w:t>
      </w:r>
      <w:r w:rsidRPr="00B85975">
        <w:rPr>
          <w:szCs w:val="20"/>
        </w:rPr>
        <w:t xml:space="preserve"> 929 of 2018, p 23.</w:t>
      </w:r>
    </w:p>
  </w:footnote>
  <w:footnote w:id="266">
    <w:p w14:paraId="590431D8" w14:textId="06F6FAF7" w:rsidR="0042789D" w:rsidRPr="00EE4D90" w:rsidRDefault="0042789D" w:rsidP="00AF1D8E">
      <w:pPr>
        <w:pStyle w:val="FootnoteText"/>
        <w:spacing w:before="60" w:after="60"/>
      </w:pPr>
      <w:r w:rsidRPr="00B85975">
        <w:rPr>
          <w:rStyle w:val="FootnoteReference"/>
        </w:rPr>
        <w:footnoteRef/>
      </w:r>
      <w:r w:rsidRPr="00B85975">
        <w:t xml:space="preserve"> Commonwealth, Royal Commission into Institutional Responses</w:t>
      </w:r>
      <w:r w:rsidRPr="00EE4D90">
        <w:t xml:space="preserve"> to Child Sexual Abuse, </w:t>
      </w:r>
      <w:r w:rsidRPr="00EE4D90">
        <w:rPr>
          <w:i/>
        </w:rPr>
        <w:t xml:space="preserve">Final Report: </w:t>
      </w:r>
      <w:r>
        <w:rPr>
          <w:i/>
        </w:rPr>
        <w:t xml:space="preserve">Volume 1, </w:t>
      </w:r>
      <w:r w:rsidRPr="00EE4D90">
        <w:rPr>
          <w:i/>
        </w:rPr>
        <w:t>Our Inquiry</w:t>
      </w:r>
      <w:r>
        <w:t xml:space="preserve"> (2017)</w:t>
      </w:r>
      <w:r w:rsidRPr="00EE4D90">
        <w:t xml:space="preserve"> </w:t>
      </w:r>
      <w:r>
        <w:t xml:space="preserve">p </w:t>
      </w:r>
      <w:r w:rsidRPr="00EE4D90">
        <w:t xml:space="preserve">13; </w:t>
      </w:r>
      <w:r>
        <w:t xml:space="preserve">Commonwealth, </w:t>
      </w:r>
      <w:r w:rsidRPr="00EE4D90">
        <w:t xml:space="preserve">Royal Commission into Institutional Responses to Child Sexual Abuse, </w:t>
      </w:r>
      <w:r w:rsidRPr="00EE4D90">
        <w:rPr>
          <w:i/>
        </w:rPr>
        <w:t>Final Information update</w:t>
      </w:r>
      <w:r w:rsidRPr="00EE4D90">
        <w:t>, December 2017.</w:t>
      </w:r>
    </w:p>
  </w:footnote>
  <w:footnote w:id="267">
    <w:p w14:paraId="10F91485" w14:textId="652B694C" w:rsidR="0042789D" w:rsidRPr="00697289" w:rsidRDefault="0042789D" w:rsidP="00AF1D8E">
      <w:pPr>
        <w:pStyle w:val="FootnoteText"/>
        <w:spacing w:before="60" w:after="60"/>
      </w:pPr>
      <w:r w:rsidRPr="00697289">
        <w:rPr>
          <w:rStyle w:val="FootnoteReference"/>
        </w:rPr>
        <w:footnoteRef/>
      </w:r>
      <w:r w:rsidRPr="00697289">
        <w:t xml:space="preserve"> N</w:t>
      </w:r>
      <w:r>
        <w:t xml:space="preserve">ew </w:t>
      </w:r>
      <w:r w:rsidRPr="00697289">
        <w:t>S</w:t>
      </w:r>
      <w:r>
        <w:t xml:space="preserve">outh </w:t>
      </w:r>
      <w:r w:rsidRPr="00697289">
        <w:t>W</w:t>
      </w:r>
      <w:r>
        <w:t>ales</w:t>
      </w:r>
      <w:r w:rsidRPr="00697289">
        <w:t xml:space="preserve"> Ombudsman, </w:t>
      </w:r>
      <w:r w:rsidRPr="00697289">
        <w:rPr>
          <w:i/>
        </w:rPr>
        <w:t>The JIRT Partnership – 20 years on: NSW Ombudsman inquiry into the operation of the JIRT Program</w:t>
      </w:r>
      <w:r w:rsidRPr="00697289">
        <w:t xml:space="preserve"> (2017) p 128.</w:t>
      </w:r>
    </w:p>
  </w:footnote>
  <w:footnote w:id="268">
    <w:p w14:paraId="3E94FF1E" w14:textId="77777777" w:rsidR="0042789D" w:rsidRPr="00697289" w:rsidRDefault="0042789D" w:rsidP="00AF1D8E">
      <w:pPr>
        <w:pStyle w:val="FootnoteText"/>
        <w:spacing w:before="60" w:after="60"/>
      </w:pPr>
      <w:r w:rsidRPr="00697289">
        <w:rPr>
          <w:rStyle w:val="FootnoteReference"/>
        </w:rPr>
        <w:footnoteRef/>
      </w:r>
      <w:r w:rsidRPr="00697289">
        <w:t xml:space="preserve"> New South Wales, </w:t>
      </w:r>
      <w:r w:rsidRPr="00697289">
        <w:rPr>
          <w:i/>
        </w:rPr>
        <w:t>Parliamentary Debates</w:t>
      </w:r>
      <w:r w:rsidRPr="00697289">
        <w:t xml:space="preserve">, Legislative Assembly, 6 June 2018, p 3 (Mark Speakman, Attorney-General); See generally </w:t>
      </w:r>
      <w:r w:rsidRPr="00697289">
        <w:rPr>
          <w:i/>
        </w:rPr>
        <w:t>Criminal Legislation Amendment (Child Sexual Abuse) Act 2018</w:t>
      </w:r>
      <w:r w:rsidRPr="00697289">
        <w:t xml:space="preserve"> (NSW).</w:t>
      </w:r>
    </w:p>
  </w:footnote>
  <w:footnote w:id="269">
    <w:p w14:paraId="7C55C293" w14:textId="62B73B23" w:rsidR="0042789D" w:rsidRPr="00697289" w:rsidRDefault="0042789D" w:rsidP="00AF1D8E">
      <w:pPr>
        <w:pStyle w:val="FootnoteText"/>
        <w:spacing w:before="60" w:after="60"/>
      </w:pPr>
      <w:r w:rsidRPr="00697289">
        <w:rPr>
          <w:rStyle w:val="FootnoteReference"/>
        </w:rPr>
        <w:footnoteRef/>
      </w:r>
      <w:r w:rsidRPr="00697289">
        <w:t xml:space="preserve"> </w:t>
      </w:r>
      <w:r>
        <w:t>NSW Police Force response</w:t>
      </w:r>
      <w:r w:rsidRPr="00697289">
        <w:t xml:space="preserve"> to item 3 of </w:t>
      </w:r>
      <w:r>
        <w:t>Law Enforcement Conduct Commission Notice</w:t>
      </w:r>
      <w:r w:rsidRPr="00697289">
        <w:t xml:space="preserve"> 929 of 2017. This number does not include offences that persons commit in other jurisdictions that are effectively picked up as registrable offences by the CPOR Act through the ‘co</w:t>
      </w:r>
      <w:r>
        <w:t>rresponding registrable persons</w:t>
      </w:r>
      <w:r w:rsidRPr="00697289">
        <w:t xml:space="preserve">’ </w:t>
      </w:r>
      <w:r>
        <w:t>provisions in Part 3, Division</w:t>
      </w:r>
      <w:r w:rsidRPr="00697289">
        <w:t xml:space="preserve"> </w:t>
      </w:r>
      <w:r>
        <w:t xml:space="preserve">10 </w:t>
      </w:r>
      <w:r w:rsidRPr="00697289">
        <w:t>of the Act.</w:t>
      </w:r>
    </w:p>
  </w:footnote>
  <w:footnote w:id="270">
    <w:p w14:paraId="01166F8D" w14:textId="77777777" w:rsidR="0042789D" w:rsidRPr="00697289" w:rsidRDefault="0042789D" w:rsidP="00AF1D8E">
      <w:pPr>
        <w:pStyle w:val="FootnoteText"/>
        <w:spacing w:before="60" w:after="60"/>
      </w:pPr>
      <w:r w:rsidRPr="00697289">
        <w:rPr>
          <w:rStyle w:val="FootnoteReference"/>
        </w:rPr>
        <w:footnoteRef/>
      </w:r>
      <w:r w:rsidRPr="00697289">
        <w:t xml:space="preserve"> </w:t>
      </w:r>
      <w:r w:rsidRPr="00697289">
        <w:rPr>
          <w:i/>
        </w:rPr>
        <w:t>Child Protection (Offenders Registration) Amendment Regulation 2005</w:t>
      </w:r>
      <w:r w:rsidRPr="00697289">
        <w:t xml:space="preserve"> (NSW) sch 1 cl 3.</w:t>
      </w:r>
    </w:p>
  </w:footnote>
  <w:footnote w:id="271">
    <w:p w14:paraId="3790CEAB" w14:textId="039030DE" w:rsidR="0042789D" w:rsidRPr="00697289" w:rsidRDefault="0042789D" w:rsidP="00AF1D8E">
      <w:pPr>
        <w:pStyle w:val="FootnoteText"/>
        <w:spacing w:before="60" w:after="60"/>
      </w:pPr>
      <w:r w:rsidRPr="00697289">
        <w:rPr>
          <w:rStyle w:val="FootnoteReference"/>
        </w:rPr>
        <w:footnoteRef/>
      </w:r>
      <w:r w:rsidRPr="00697289">
        <w:t xml:space="preserve"> </w:t>
      </w:r>
      <w:r w:rsidRPr="00697289">
        <w:rPr>
          <w:i/>
        </w:rPr>
        <w:t>Courts and Crimes Legislation Amendment Act 2010</w:t>
      </w:r>
      <w:r>
        <w:t xml:space="preserve"> (NSW) sch 1 cl</w:t>
      </w:r>
      <w:r w:rsidRPr="00697289">
        <w:t xml:space="preserve"> 1 and </w:t>
      </w:r>
      <w:r>
        <w:t xml:space="preserve">cl </w:t>
      </w:r>
      <w:r w:rsidRPr="00697289">
        <w:t>2.</w:t>
      </w:r>
    </w:p>
  </w:footnote>
  <w:footnote w:id="272">
    <w:p w14:paraId="49553A02" w14:textId="77777777" w:rsidR="0042789D" w:rsidRPr="00FB66A7" w:rsidRDefault="0042789D" w:rsidP="00AF1D8E">
      <w:pPr>
        <w:pStyle w:val="FootnoteText"/>
        <w:spacing w:before="60" w:after="60"/>
      </w:pPr>
      <w:r w:rsidRPr="00FB66A7">
        <w:rPr>
          <w:rStyle w:val="FootnoteReference"/>
        </w:rPr>
        <w:footnoteRef/>
      </w:r>
      <w:r w:rsidRPr="00FB66A7">
        <w:t xml:space="preserve"> </w:t>
      </w:r>
      <w:r w:rsidRPr="00FB66A7">
        <w:rPr>
          <w:i/>
        </w:rPr>
        <w:t xml:space="preserve">Child Protection (Offenders Registration) Amendment (Statutory Review) Act 2014 </w:t>
      </w:r>
      <w:r w:rsidRPr="00692C1B">
        <w:t>(NSW)</w:t>
      </w:r>
      <w:r w:rsidRPr="00FB66A7">
        <w:rPr>
          <w:i/>
        </w:rPr>
        <w:t xml:space="preserve"> </w:t>
      </w:r>
      <w:r w:rsidRPr="00692C1B">
        <w:t>sch 1 cls 3-5.</w:t>
      </w:r>
    </w:p>
  </w:footnote>
  <w:footnote w:id="273">
    <w:p w14:paraId="659F27EE" w14:textId="77777777" w:rsidR="0042789D" w:rsidRPr="00FB66A7" w:rsidRDefault="0042789D" w:rsidP="00AF1D8E">
      <w:pPr>
        <w:pStyle w:val="FootnoteText"/>
        <w:spacing w:before="60" w:after="60"/>
      </w:pPr>
      <w:r w:rsidRPr="00FB66A7">
        <w:rPr>
          <w:rStyle w:val="FootnoteReference"/>
        </w:rPr>
        <w:footnoteRef/>
      </w:r>
      <w:r w:rsidRPr="00FB66A7">
        <w:t xml:space="preserve"> </w:t>
      </w:r>
      <w:r w:rsidRPr="00FB66A7">
        <w:rPr>
          <w:i/>
        </w:rPr>
        <w:t xml:space="preserve">Child Protection (Offenders Registration) Amendment (Suspended Sentences) Act 2007 </w:t>
      </w:r>
      <w:r w:rsidRPr="00692C1B">
        <w:t>(NSW).</w:t>
      </w:r>
    </w:p>
  </w:footnote>
  <w:footnote w:id="274">
    <w:p w14:paraId="25CBC10F" w14:textId="77777777" w:rsidR="0042789D" w:rsidRPr="00FB66A7" w:rsidRDefault="0042789D" w:rsidP="00AF1D8E">
      <w:pPr>
        <w:pStyle w:val="FootnoteText"/>
        <w:spacing w:before="60" w:after="60"/>
      </w:pPr>
      <w:r w:rsidRPr="00FB66A7">
        <w:rPr>
          <w:rStyle w:val="FootnoteReference"/>
        </w:rPr>
        <w:footnoteRef/>
      </w:r>
      <w:r w:rsidRPr="00FB66A7">
        <w:t xml:space="preserve"> </w:t>
      </w:r>
      <w:r w:rsidRPr="00FB66A7">
        <w:rPr>
          <w:i/>
        </w:rPr>
        <w:t xml:space="preserve">Child Protection (Offenders Registration) Amendment Act 2007 </w:t>
      </w:r>
      <w:r w:rsidRPr="00692C1B">
        <w:t>(NSW) sch 1 cls 3-4;</w:t>
      </w:r>
      <w:r w:rsidRPr="00FB66A7">
        <w:rPr>
          <w:i/>
        </w:rPr>
        <w:t xml:space="preserve"> </w:t>
      </w:r>
      <w:r w:rsidRPr="00FB66A7">
        <w:t xml:space="preserve">New South Wales, </w:t>
      </w:r>
      <w:r w:rsidRPr="00FB66A7">
        <w:rPr>
          <w:i/>
        </w:rPr>
        <w:t>Parliamentary Debates</w:t>
      </w:r>
      <w:r w:rsidRPr="00FB66A7">
        <w:t>, Legislative Assembly, 30 November 2007, p 4801</w:t>
      </w:r>
      <w:r w:rsidRPr="00FB66A7">
        <w:rPr>
          <w:i/>
        </w:rPr>
        <w:t xml:space="preserve"> </w:t>
      </w:r>
      <w:r w:rsidRPr="00692C1B">
        <w:t>(</w:t>
      </w:r>
      <w:r w:rsidRPr="00FB66A7">
        <w:t>Tanya Gadiel).</w:t>
      </w:r>
    </w:p>
  </w:footnote>
  <w:footnote w:id="275">
    <w:p w14:paraId="019B4005" w14:textId="77777777" w:rsidR="0042789D" w:rsidRPr="00FB66A7" w:rsidRDefault="0042789D" w:rsidP="00692C1B">
      <w:pPr>
        <w:pStyle w:val="FootnoteText"/>
        <w:spacing w:before="60" w:after="60"/>
        <w:rPr>
          <w:rFonts w:cstheme="majorHAnsi"/>
        </w:rPr>
      </w:pPr>
      <w:r w:rsidRPr="00FB66A7">
        <w:rPr>
          <w:rStyle w:val="FootnoteReference"/>
          <w:rFonts w:cstheme="majorHAnsi"/>
        </w:rPr>
        <w:footnoteRef/>
      </w:r>
      <w:r w:rsidRPr="00FB66A7">
        <w:rPr>
          <w:rFonts w:cstheme="majorHAnsi"/>
        </w:rPr>
        <w:t xml:space="preserve"> </w:t>
      </w:r>
      <w:r w:rsidRPr="00FB66A7">
        <w:rPr>
          <w:rFonts w:cstheme="majorHAnsi"/>
          <w:bCs/>
          <w:i/>
          <w:color w:val="000000"/>
          <w:shd w:val="clear" w:color="auto" w:fill="FFFFFF"/>
        </w:rPr>
        <w:t>Child Protection (Offenders Registration) Amendment Act 2004 No 85</w:t>
      </w:r>
      <w:r w:rsidRPr="00FB66A7">
        <w:rPr>
          <w:rFonts w:cstheme="majorHAnsi"/>
          <w:bCs/>
          <w:color w:val="000000"/>
          <w:shd w:val="clear" w:color="auto" w:fill="FFFFFF"/>
        </w:rPr>
        <w:t xml:space="preserve"> (NSW) sch 1 cl 30.</w:t>
      </w:r>
    </w:p>
  </w:footnote>
  <w:footnote w:id="276">
    <w:p w14:paraId="3BF3B70A" w14:textId="159F575C" w:rsidR="0042789D" w:rsidRPr="00FB66A7" w:rsidRDefault="0042789D" w:rsidP="00692C1B">
      <w:pPr>
        <w:pStyle w:val="FootnoteText"/>
        <w:spacing w:before="60" w:after="60"/>
      </w:pPr>
      <w:r w:rsidRPr="00FB66A7">
        <w:rPr>
          <w:rStyle w:val="FootnoteReference"/>
        </w:rPr>
        <w:footnoteRef/>
      </w:r>
      <w:r w:rsidRPr="00FB66A7">
        <w:t xml:space="preserve"> New South Wales Ombudsman, </w:t>
      </w:r>
      <w:r w:rsidRPr="00FB66A7">
        <w:rPr>
          <w:i/>
        </w:rPr>
        <w:t>Review of the Child Prot</w:t>
      </w:r>
      <w:r>
        <w:rPr>
          <w:i/>
        </w:rPr>
        <w:t>ection Register: Report under s </w:t>
      </w:r>
      <w:r w:rsidRPr="00FB66A7">
        <w:rPr>
          <w:i/>
        </w:rPr>
        <w:t>25(1) of the Child Protection (Offenders Registration) Act 2000</w:t>
      </w:r>
      <w:r w:rsidRPr="00FB66A7">
        <w:t xml:space="preserve"> (2005) p 111.</w:t>
      </w:r>
    </w:p>
  </w:footnote>
  <w:footnote w:id="277">
    <w:p w14:paraId="0FC1CF75" w14:textId="77777777" w:rsidR="0042789D" w:rsidRPr="00FB66A7" w:rsidRDefault="0042789D" w:rsidP="0032257D">
      <w:pPr>
        <w:pStyle w:val="FootnoteText"/>
        <w:spacing w:before="60" w:after="60"/>
      </w:pPr>
      <w:r w:rsidRPr="00FB66A7">
        <w:rPr>
          <w:rStyle w:val="FootnoteReference"/>
          <w:rFonts w:cstheme="majorHAnsi"/>
        </w:rPr>
        <w:footnoteRef/>
      </w:r>
      <w:r w:rsidRPr="00FB66A7">
        <w:rPr>
          <w:rFonts w:cstheme="majorHAnsi"/>
        </w:rPr>
        <w:t xml:space="preserve"> </w:t>
      </w:r>
      <w:r w:rsidRPr="00FB66A7">
        <w:rPr>
          <w:rFonts w:cstheme="majorHAnsi"/>
          <w:bCs/>
          <w:i/>
          <w:color w:val="000000"/>
          <w:shd w:val="clear" w:color="auto" w:fill="FFFFFF"/>
        </w:rPr>
        <w:t>Child Protection (Offenders Registration) Amendment Act 2004 No 85</w:t>
      </w:r>
      <w:r w:rsidRPr="00FB66A7">
        <w:rPr>
          <w:rFonts w:cstheme="majorHAnsi"/>
          <w:bCs/>
          <w:color w:val="000000"/>
          <w:shd w:val="clear" w:color="auto" w:fill="FFFFFF"/>
        </w:rPr>
        <w:t xml:space="preserve"> (NSW) sch 1 cl 22; New South Wales, </w:t>
      </w:r>
      <w:r w:rsidRPr="00692C1B">
        <w:rPr>
          <w:rFonts w:cstheme="majorHAnsi"/>
          <w:bCs/>
          <w:i/>
          <w:color w:val="000000"/>
          <w:shd w:val="clear" w:color="auto" w:fill="FFFFFF"/>
        </w:rPr>
        <w:t>Parliamentary Debates</w:t>
      </w:r>
      <w:r w:rsidRPr="00FB66A7">
        <w:rPr>
          <w:rFonts w:cstheme="majorHAnsi"/>
          <w:bCs/>
          <w:color w:val="000000"/>
          <w:shd w:val="clear" w:color="auto" w:fill="FFFFFF"/>
        </w:rPr>
        <w:t>, Legislative Assembly, 23 June 2004, p 1 (</w:t>
      </w:r>
      <w:r w:rsidRPr="00FB66A7">
        <w:rPr>
          <w:rFonts w:cstheme="majorHAnsi"/>
        </w:rPr>
        <w:t>John Watkins, Minister for Police).</w:t>
      </w:r>
    </w:p>
  </w:footnote>
  <w:footnote w:id="278">
    <w:p w14:paraId="19406BC3" w14:textId="2A6D1E6F" w:rsidR="0042789D" w:rsidRPr="00FB66A7" w:rsidRDefault="0042789D" w:rsidP="0032257D">
      <w:pPr>
        <w:pStyle w:val="FootnoteText"/>
        <w:spacing w:before="60" w:after="60"/>
      </w:pPr>
      <w:r w:rsidRPr="00FB66A7">
        <w:rPr>
          <w:rStyle w:val="FootnoteReference"/>
        </w:rPr>
        <w:footnoteRef/>
      </w:r>
      <w:r w:rsidRPr="00FB66A7">
        <w:t xml:space="preserve"> </w:t>
      </w:r>
      <w:r>
        <w:t xml:space="preserve">See </w:t>
      </w:r>
      <w:r w:rsidRPr="00FB66A7">
        <w:rPr>
          <w:rFonts w:cstheme="majorHAnsi"/>
          <w:bCs/>
          <w:i/>
          <w:color w:val="000000"/>
          <w:shd w:val="clear" w:color="auto" w:fill="FFFFFF"/>
        </w:rPr>
        <w:t>Child Protection (Offenders Registration) Amendment Act 2004 No 85</w:t>
      </w:r>
      <w:r w:rsidRPr="00FB66A7">
        <w:rPr>
          <w:rFonts w:cstheme="majorHAnsi"/>
          <w:bCs/>
          <w:color w:val="000000"/>
          <w:shd w:val="clear" w:color="auto" w:fill="FFFFFF"/>
        </w:rPr>
        <w:t xml:space="preserve"> (NSW) sch 1 cl 22; </w:t>
      </w:r>
      <w:r w:rsidRPr="00FB66A7">
        <w:rPr>
          <w:i/>
        </w:rPr>
        <w:t xml:space="preserve">Child Protection (Offenders Registration) Amendment Act 2007 </w:t>
      </w:r>
      <w:r w:rsidRPr="00E83081">
        <w:t>(NSW) sch 1 cl 13;</w:t>
      </w:r>
      <w:r w:rsidRPr="00FB66A7">
        <w:rPr>
          <w:i/>
        </w:rPr>
        <w:t xml:space="preserve"> </w:t>
      </w:r>
      <w:r w:rsidRPr="00FB66A7">
        <w:rPr>
          <w:rFonts w:cs="Arial"/>
          <w:bCs/>
          <w:i/>
          <w:color w:val="000000"/>
          <w:shd w:val="clear" w:color="auto" w:fill="FFFFFF"/>
        </w:rPr>
        <w:t>Child Protection Legislation (Registrable Persons) Amendment Act 2009</w:t>
      </w:r>
      <w:r w:rsidRPr="00FB66A7">
        <w:rPr>
          <w:rFonts w:cs="Arial"/>
          <w:bCs/>
          <w:color w:val="000000"/>
          <w:shd w:val="clear" w:color="auto" w:fill="FFFFFF"/>
        </w:rPr>
        <w:t xml:space="preserve"> (NSW) sch 1 cl 3; </w:t>
      </w:r>
      <w:r w:rsidRPr="00FB66A7">
        <w:rPr>
          <w:rFonts w:cs="Arial"/>
          <w:bCs/>
          <w:i/>
          <w:color w:val="000000"/>
          <w:shd w:val="clear" w:color="auto" w:fill="FFFFFF"/>
        </w:rPr>
        <w:t>Child Protection (Offenders Registration) Amendment (Statutory Review) Act 2014</w:t>
      </w:r>
      <w:r w:rsidRPr="00FB66A7">
        <w:rPr>
          <w:rFonts w:cs="Arial"/>
          <w:bCs/>
          <w:color w:val="000000"/>
          <w:shd w:val="clear" w:color="auto" w:fill="FFFFFF"/>
        </w:rPr>
        <w:t xml:space="preserve"> (NSW) sch 1 cl 27.</w:t>
      </w:r>
    </w:p>
  </w:footnote>
  <w:footnote w:id="279">
    <w:p w14:paraId="5772CA6A" w14:textId="05E5A7E2" w:rsidR="0042789D" w:rsidRPr="00DB17F1" w:rsidRDefault="0042789D" w:rsidP="0032257D">
      <w:pPr>
        <w:pStyle w:val="FootnoteText"/>
        <w:spacing w:before="60" w:after="60"/>
        <w:rPr>
          <w:rFonts w:ascii="Gotham Book" w:hAnsi="Gotham Book"/>
        </w:rPr>
      </w:pPr>
      <w:r w:rsidRPr="00DB17F1">
        <w:rPr>
          <w:rStyle w:val="FootnoteReference"/>
          <w:rFonts w:ascii="Gotham Book" w:hAnsi="Gotham Book"/>
        </w:rPr>
        <w:footnoteRef/>
      </w:r>
      <w:r w:rsidRPr="00DB17F1">
        <w:rPr>
          <w:rFonts w:ascii="Gotham Book" w:hAnsi="Gotham Book"/>
        </w:rPr>
        <w:t xml:space="preserve"> </w:t>
      </w:r>
      <w:r w:rsidRPr="00DB17F1">
        <w:rPr>
          <w:rFonts w:ascii="Gotham Book" w:hAnsi="Gotham Book"/>
          <w:i/>
        </w:rPr>
        <w:t xml:space="preserve">Child Protection (Offenders Registration) Amendment Act 2007 </w:t>
      </w:r>
      <w:r w:rsidRPr="00E83081">
        <w:rPr>
          <w:rFonts w:ascii="Gotham Book" w:hAnsi="Gotham Book"/>
        </w:rPr>
        <w:t>(NSW) sch 1 cl 13.</w:t>
      </w:r>
    </w:p>
  </w:footnote>
  <w:footnote w:id="280">
    <w:p w14:paraId="69CC35A6" w14:textId="77777777" w:rsidR="0042789D" w:rsidRPr="00DB17F1" w:rsidRDefault="0042789D" w:rsidP="0032257D">
      <w:pPr>
        <w:pStyle w:val="FootnoteText"/>
        <w:spacing w:before="60" w:after="60"/>
        <w:rPr>
          <w:rFonts w:ascii="Gotham Book" w:hAnsi="Gotham Book"/>
        </w:rPr>
      </w:pPr>
      <w:r w:rsidRPr="00DB17F1">
        <w:rPr>
          <w:rStyle w:val="FootnoteReference"/>
          <w:rFonts w:ascii="Gotham Book" w:hAnsi="Gotham Book"/>
        </w:rPr>
        <w:footnoteRef/>
      </w:r>
      <w:r w:rsidRPr="00DB17F1">
        <w:rPr>
          <w:rFonts w:ascii="Gotham Book" w:hAnsi="Gotham Book"/>
        </w:rPr>
        <w:t xml:space="preserve"> </w:t>
      </w:r>
      <w:r w:rsidRPr="00DB17F1">
        <w:rPr>
          <w:rFonts w:ascii="Gotham Book" w:hAnsi="Gotham Book" w:cs="Arial"/>
          <w:bCs/>
          <w:i/>
          <w:color w:val="000000"/>
          <w:shd w:val="clear" w:color="auto" w:fill="FFFFFF"/>
        </w:rPr>
        <w:t>Child Protection (Offenders Registration) Amendment (Statutory Review) Act 2014</w:t>
      </w:r>
      <w:r w:rsidRPr="00DB17F1">
        <w:rPr>
          <w:rFonts w:ascii="Gotham Book" w:hAnsi="Gotham Book" w:cs="Arial"/>
          <w:bCs/>
          <w:color w:val="000000"/>
          <w:shd w:val="clear" w:color="auto" w:fill="FFFFFF"/>
        </w:rPr>
        <w:t xml:space="preserve"> (NSW) sch 1 cl 27.</w:t>
      </w:r>
    </w:p>
  </w:footnote>
  <w:footnote w:id="281">
    <w:p w14:paraId="5A3305C8" w14:textId="6EF035E6" w:rsidR="0042789D" w:rsidRPr="00DB17F1" w:rsidRDefault="0042789D" w:rsidP="0032257D">
      <w:pPr>
        <w:pStyle w:val="FootnoteText"/>
        <w:spacing w:before="60" w:after="60"/>
        <w:rPr>
          <w:rFonts w:ascii="Gotham Book" w:hAnsi="Gotham Book"/>
        </w:rPr>
      </w:pPr>
      <w:r w:rsidRPr="00DB17F1">
        <w:rPr>
          <w:rStyle w:val="FootnoteReference"/>
          <w:rFonts w:ascii="Gotham Book" w:hAnsi="Gotham Book"/>
        </w:rPr>
        <w:footnoteRef/>
      </w:r>
      <w:r w:rsidRPr="00DB17F1">
        <w:rPr>
          <w:rFonts w:ascii="Gotham Book" w:hAnsi="Gotham Book"/>
        </w:rPr>
        <w:t xml:space="preserve"> </w:t>
      </w:r>
      <w:r>
        <w:t>Manager</w:t>
      </w:r>
      <w:r w:rsidRPr="00F2681C">
        <w:t>,</w:t>
      </w:r>
      <w:r>
        <w:t xml:space="preserve"> Child Protection Registry,</w:t>
      </w:r>
      <w:r w:rsidRPr="00F2681C">
        <w:t xml:space="preserve"> </w:t>
      </w:r>
      <w:r w:rsidRPr="00F2681C">
        <w:rPr>
          <w:i/>
        </w:rPr>
        <w:t>Management of the Child Protection Register in New South Wales: Michael O’Brien Scholarship 2017</w:t>
      </w:r>
      <w:r w:rsidRPr="00F2681C">
        <w:t xml:space="preserve"> (2018)</w:t>
      </w:r>
      <w:r>
        <w:t>, NSW Police Force response to item 1 of Law Enforcement Conduct Commission Notice 929 of 2018</w:t>
      </w:r>
      <w:r w:rsidRPr="00460FF6">
        <w:t xml:space="preserve">, </w:t>
      </w:r>
      <w:r w:rsidRPr="00460FF6">
        <w:rPr>
          <w:rFonts w:ascii="Gotham Book" w:hAnsi="Gotham Book"/>
        </w:rPr>
        <w:t>p 18.</w:t>
      </w:r>
    </w:p>
  </w:footnote>
  <w:footnote w:id="282">
    <w:p w14:paraId="7271B9BF" w14:textId="042B97E2" w:rsidR="0042789D" w:rsidRPr="00790FA8" w:rsidRDefault="0042789D" w:rsidP="0032257D">
      <w:pPr>
        <w:spacing w:before="60" w:after="60" w:line="240" w:lineRule="auto"/>
        <w:rPr>
          <w:sz w:val="20"/>
        </w:rPr>
      </w:pPr>
      <w:r w:rsidRPr="00DB17F1">
        <w:rPr>
          <w:rStyle w:val="FootnoteReference"/>
          <w:rFonts w:ascii="Gotham Book" w:hAnsi="Gotham Book"/>
          <w:sz w:val="20"/>
        </w:rPr>
        <w:footnoteRef/>
      </w:r>
      <w:r w:rsidRPr="00DB17F1">
        <w:rPr>
          <w:rFonts w:ascii="Gotham Book" w:hAnsi="Gotham Book"/>
          <w:sz w:val="20"/>
        </w:rPr>
        <w:t xml:space="preserve"> </w:t>
      </w:r>
      <w:r>
        <w:rPr>
          <w:sz w:val="20"/>
        </w:rPr>
        <w:t>Workforce Intelligence</w:t>
      </w:r>
      <w:r w:rsidRPr="00802C2E">
        <w:rPr>
          <w:sz w:val="20"/>
        </w:rPr>
        <w:t xml:space="preserve"> Unit, </w:t>
      </w:r>
      <w:r>
        <w:rPr>
          <w:sz w:val="20"/>
        </w:rPr>
        <w:t>Human Resources Command, NSW Police Force,</w:t>
      </w:r>
      <w:r w:rsidRPr="00802C2E">
        <w:rPr>
          <w:sz w:val="20"/>
        </w:rPr>
        <w:t xml:space="preserve"> </w:t>
      </w:r>
      <w:r w:rsidRPr="00802C2E">
        <w:rPr>
          <w:i/>
          <w:sz w:val="20"/>
        </w:rPr>
        <w:t>HR Analysis: Child Protection Register Staffing Review</w:t>
      </w:r>
      <w:r w:rsidRPr="00802C2E">
        <w:rPr>
          <w:sz w:val="20"/>
        </w:rPr>
        <w:t xml:space="preserve">, 20 July 2017, D/2017/630614, </w:t>
      </w:r>
      <w:r>
        <w:rPr>
          <w:sz w:val="20"/>
        </w:rPr>
        <w:t>NSW Police Force response</w:t>
      </w:r>
      <w:r w:rsidRPr="00802C2E">
        <w:rPr>
          <w:sz w:val="20"/>
        </w:rPr>
        <w:t xml:space="preserve"> to item 1 of </w:t>
      </w:r>
      <w:r>
        <w:rPr>
          <w:sz w:val="20"/>
        </w:rPr>
        <w:t>Law Enforcement Conduct Commission Notice</w:t>
      </w:r>
      <w:r w:rsidRPr="00802C2E">
        <w:rPr>
          <w:sz w:val="20"/>
        </w:rPr>
        <w:t xml:space="preserve"> 929 of 2017</w:t>
      </w:r>
      <w:r w:rsidRPr="00DB17F1">
        <w:rPr>
          <w:rFonts w:ascii="Gotham Book" w:hAnsi="Gotham Book"/>
          <w:sz w:val="20"/>
        </w:rPr>
        <w:t>, p 22.</w:t>
      </w:r>
    </w:p>
  </w:footnote>
  <w:footnote w:id="283">
    <w:p w14:paraId="414BC252" w14:textId="71A2FCF5" w:rsidR="0042789D" w:rsidRPr="00DB17F1" w:rsidRDefault="0042789D" w:rsidP="0032257D">
      <w:pPr>
        <w:pStyle w:val="FootnoteText"/>
        <w:spacing w:before="60" w:after="60"/>
        <w:rPr>
          <w:rFonts w:ascii="Gotham Book" w:hAnsi="Gotham Book"/>
        </w:rPr>
      </w:pPr>
      <w:r w:rsidRPr="00DB17F1">
        <w:rPr>
          <w:rStyle w:val="FootnoteReference"/>
          <w:rFonts w:ascii="Gotham Book" w:hAnsi="Gotham Book"/>
        </w:rPr>
        <w:footnoteRef/>
      </w:r>
      <w:r w:rsidRPr="00DB17F1">
        <w:rPr>
          <w:rFonts w:ascii="Gotham Book" w:hAnsi="Gotham Book"/>
        </w:rPr>
        <w:t xml:space="preserve"> </w:t>
      </w:r>
      <w:r w:rsidRPr="00DB17F1">
        <w:rPr>
          <w:rFonts w:ascii="Gotham Book" w:hAnsi="Gotham Book"/>
          <w:i/>
        </w:rPr>
        <w:t>Child Protection (Offenders Registration) Act 2000</w:t>
      </w:r>
      <w:r>
        <w:rPr>
          <w:rFonts w:ascii="Gotham Book" w:hAnsi="Gotham Book"/>
        </w:rPr>
        <w:t xml:space="preserve"> (NSW) sch 2 pt 3 cls 5-6, pt 4 cl 10, p</w:t>
      </w:r>
      <w:r w:rsidRPr="00DB17F1">
        <w:rPr>
          <w:rFonts w:ascii="Gotham Book" w:hAnsi="Gotham Book"/>
        </w:rPr>
        <w:t>t 5 cl 13, an</w:t>
      </w:r>
      <w:r>
        <w:rPr>
          <w:rFonts w:ascii="Gotham Book" w:hAnsi="Gotham Book"/>
        </w:rPr>
        <w:t>d p</w:t>
      </w:r>
      <w:r w:rsidRPr="00DB17F1">
        <w:rPr>
          <w:rFonts w:ascii="Gotham Book" w:hAnsi="Gotham Book"/>
        </w:rPr>
        <w:t>t 8 cl 20.</w:t>
      </w:r>
    </w:p>
  </w:footnote>
  <w:footnote w:id="284">
    <w:p w14:paraId="126A8D86" w14:textId="77777777" w:rsidR="0042789D" w:rsidRPr="00DB17F1" w:rsidRDefault="0042789D" w:rsidP="007B7241">
      <w:pPr>
        <w:pStyle w:val="FootnoteText"/>
        <w:spacing w:before="60" w:after="60"/>
        <w:rPr>
          <w:rFonts w:ascii="Gotham Book" w:hAnsi="Gotham Book"/>
        </w:rPr>
      </w:pPr>
      <w:r w:rsidRPr="00DB17F1">
        <w:rPr>
          <w:rStyle w:val="FootnoteReference"/>
          <w:rFonts w:ascii="Gotham Book" w:hAnsi="Gotham Book"/>
        </w:rPr>
        <w:footnoteRef/>
      </w:r>
      <w:r w:rsidRPr="00DB17F1">
        <w:rPr>
          <w:rFonts w:ascii="Gotham Book" w:hAnsi="Gotham Book"/>
        </w:rPr>
        <w:t xml:space="preserve"> </w:t>
      </w:r>
      <w:r w:rsidRPr="00DB17F1">
        <w:rPr>
          <w:rFonts w:ascii="Gotham Book" w:hAnsi="Gotham Book"/>
          <w:i/>
        </w:rPr>
        <w:t xml:space="preserve">Child Protection (Offenders Registration) Amendment (Suspended Sentences) Act 2007 </w:t>
      </w:r>
      <w:r w:rsidRPr="00986093">
        <w:rPr>
          <w:rFonts w:ascii="Gotham Book" w:hAnsi="Gotham Book"/>
        </w:rPr>
        <w:t>(NSW).</w:t>
      </w:r>
    </w:p>
  </w:footnote>
  <w:footnote w:id="285">
    <w:p w14:paraId="1CC3F6F8" w14:textId="77777777" w:rsidR="0042789D" w:rsidRDefault="0042789D" w:rsidP="007B7241">
      <w:pPr>
        <w:pStyle w:val="FootnoteText"/>
        <w:spacing w:before="60" w:after="60"/>
      </w:pPr>
      <w:r w:rsidRPr="00DB17F1">
        <w:rPr>
          <w:rStyle w:val="FootnoteReference"/>
          <w:rFonts w:ascii="Gotham Book" w:hAnsi="Gotham Book"/>
        </w:rPr>
        <w:footnoteRef/>
      </w:r>
      <w:r w:rsidRPr="00DB17F1">
        <w:rPr>
          <w:rFonts w:ascii="Gotham Book" w:hAnsi="Gotham Book"/>
        </w:rPr>
        <w:t xml:space="preserve"> </w:t>
      </w:r>
      <w:r w:rsidRPr="00DB17F1">
        <w:rPr>
          <w:rFonts w:ascii="Gotham Book" w:hAnsi="Gotham Book"/>
          <w:i/>
        </w:rPr>
        <w:t xml:space="preserve">Child Protection (Offenders Registration) Amendment (Suspended Sentences) Act 2007 </w:t>
      </w:r>
      <w:r w:rsidRPr="00DB17F1">
        <w:rPr>
          <w:rFonts w:ascii="Gotham Book" w:hAnsi="Gotham Book"/>
        </w:rPr>
        <w:t>(NSW) sch 1 cl 4.</w:t>
      </w:r>
    </w:p>
  </w:footnote>
  <w:footnote w:id="286">
    <w:p w14:paraId="24E63ECB" w14:textId="6E51214F" w:rsidR="0042789D" w:rsidRPr="0005260F" w:rsidRDefault="0042789D" w:rsidP="007B7241">
      <w:pPr>
        <w:pStyle w:val="FootnoteText"/>
        <w:spacing w:before="60" w:after="60"/>
      </w:pPr>
      <w:r w:rsidRPr="0005260F">
        <w:rPr>
          <w:rStyle w:val="FootnoteReference"/>
        </w:rPr>
        <w:footnoteRef/>
      </w:r>
      <w:r w:rsidRPr="0005260F">
        <w:t xml:space="preserve"> Explanatory Notes, </w:t>
      </w:r>
      <w:r w:rsidRPr="007B7241">
        <w:t>Child Protection (Offender Reporting) and Other Legislation Amendment Bill 2014</w:t>
      </w:r>
      <w:r>
        <w:t xml:space="preserve"> (Qld)</w:t>
      </w:r>
      <w:r w:rsidRPr="0005260F">
        <w:t xml:space="preserve"> p 13.</w:t>
      </w:r>
    </w:p>
  </w:footnote>
  <w:footnote w:id="287">
    <w:p w14:paraId="3003BC27" w14:textId="04D4BE16" w:rsidR="0042789D" w:rsidRPr="0005260F" w:rsidRDefault="0042789D" w:rsidP="007B7241">
      <w:pPr>
        <w:spacing w:before="60" w:after="60" w:line="240" w:lineRule="auto"/>
        <w:rPr>
          <w:sz w:val="20"/>
        </w:rPr>
      </w:pPr>
      <w:r w:rsidRPr="0005260F">
        <w:rPr>
          <w:rStyle w:val="FootnoteReference"/>
          <w:sz w:val="20"/>
        </w:rPr>
        <w:footnoteRef/>
      </w:r>
      <w:r w:rsidRPr="0005260F">
        <w:rPr>
          <w:sz w:val="20"/>
        </w:rPr>
        <w:t xml:space="preserve"> </w:t>
      </w:r>
      <w:r>
        <w:rPr>
          <w:sz w:val="20"/>
        </w:rPr>
        <w:t>Workforce Intelligence</w:t>
      </w:r>
      <w:r w:rsidRPr="00802C2E">
        <w:rPr>
          <w:sz w:val="20"/>
        </w:rPr>
        <w:t xml:space="preserve"> Unit, </w:t>
      </w:r>
      <w:r>
        <w:rPr>
          <w:sz w:val="20"/>
        </w:rPr>
        <w:t>Human Resources Command, NSW Police Force,</w:t>
      </w:r>
      <w:r w:rsidRPr="00802C2E">
        <w:rPr>
          <w:sz w:val="20"/>
        </w:rPr>
        <w:t xml:space="preserve"> </w:t>
      </w:r>
      <w:r w:rsidRPr="00802C2E">
        <w:rPr>
          <w:i/>
          <w:sz w:val="20"/>
        </w:rPr>
        <w:t>HR Analysis: Child Protection Register Staffing Review</w:t>
      </w:r>
      <w:r w:rsidRPr="00802C2E">
        <w:rPr>
          <w:sz w:val="20"/>
        </w:rPr>
        <w:t xml:space="preserve">, 20 July 2017, D/2017/630614, </w:t>
      </w:r>
      <w:r>
        <w:rPr>
          <w:sz w:val="20"/>
        </w:rPr>
        <w:t>NSW Police Force response</w:t>
      </w:r>
      <w:r w:rsidRPr="00802C2E">
        <w:rPr>
          <w:sz w:val="20"/>
        </w:rPr>
        <w:t xml:space="preserve"> to item 1 of </w:t>
      </w:r>
      <w:r>
        <w:rPr>
          <w:sz w:val="20"/>
        </w:rPr>
        <w:t>Law Enforcement Conduct Commission Notice</w:t>
      </w:r>
      <w:r w:rsidRPr="00802C2E">
        <w:rPr>
          <w:sz w:val="20"/>
        </w:rPr>
        <w:t xml:space="preserve"> 929 of 2017</w:t>
      </w:r>
      <w:r w:rsidRPr="0005260F">
        <w:rPr>
          <w:sz w:val="20"/>
        </w:rPr>
        <w:t>, p 25.</w:t>
      </w:r>
    </w:p>
  </w:footnote>
  <w:footnote w:id="288">
    <w:p w14:paraId="46E4B38B" w14:textId="6AD01884" w:rsidR="0042789D" w:rsidRPr="0005260F" w:rsidRDefault="0042789D" w:rsidP="00273DDA">
      <w:pPr>
        <w:pStyle w:val="FootnoteText"/>
        <w:spacing w:before="60" w:after="60"/>
      </w:pPr>
      <w:r w:rsidRPr="0005260F">
        <w:rPr>
          <w:rStyle w:val="FootnoteReference"/>
        </w:rPr>
        <w:footnoteRef/>
      </w:r>
      <w:r>
        <w:t xml:space="preserve"> </w:t>
      </w:r>
      <w:r w:rsidRPr="0005260F">
        <w:rPr>
          <w:i/>
        </w:rPr>
        <w:t>Staffing Submission: Child Protection Registry</w:t>
      </w:r>
      <w:r>
        <w:t>, p 13, attachment to Child Protection Registry</w:t>
      </w:r>
      <w:r w:rsidRPr="0005260F">
        <w:t>,</w:t>
      </w:r>
      <w:r>
        <w:t xml:space="preserve"> NSW Police Force,</w:t>
      </w:r>
      <w:r w:rsidRPr="0005260F">
        <w:t xml:space="preserve"> </w:t>
      </w:r>
      <w:r w:rsidRPr="0005260F">
        <w:rPr>
          <w:i/>
        </w:rPr>
        <w:t>Submission of staffing report requesting 5 (5) additional sworn positions</w:t>
      </w:r>
      <w:r>
        <w:rPr>
          <w:i/>
        </w:rPr>
        <w:t xml:space="preserve"> …</w:t>
      </w:r>
      <w:r w:rsidRPr="0005260F">
        <w:t xml:space="preserve">, 16 June 2015, D/2015/294868, </w:t>
      </w:r>
      <w:r>
        <w:t>NSW Police Force response</w:t>
      </w:r>
      <w:r w:rsidRPr="0005260F">
        <w:t xml:space="preserve"> to </w:t>
      </w:r>
      <w:r>
        <w:t>item 2 of Law Enforcement Conduct Commission Notice</w:t>
      </w:r>
      <w:r w:rsidRPr="0005260F">
        <w:t xml:space="preserve"> 914 of 2017.</w:t>
      </w:r>
    </w:p>
  </w:footnote>
  <w:footnote w:id="289">
    <w:p w14:paraId="4EC8A6F3" w14:textId="399B5DBB" w:rsidR="0042789D" w:rsidRPr="0005260F" w:rsidRDefault="0042789D" w:rsidP="00273DDA">
      <w:pPr>
        <w:pStyle w:val="FootnoteText"/>
        <w:spacing w:before="60" w:after="60"/>
      </w:pPr>
      <w:r w:rsidRPr="0005260F">
        <w:rPr>
          <w:rStyle w:val="FootnoteReference"/>
        </w:rPr>
        <w:footnoteRef/>
      </w:r>
      <w:r w:rsidRPr="0005260F">
        <w:t xml:space="preserve"> </w:t>
      </w:r>
      <w:r>
        <w:t>Workforce Intelligence</w:t>
      </w:r>
      <w:r w:rsidRPr="00802C2E">
        <w:t xml:space="preserve"> Unit, </w:t>
      </w:r>
      <w:r>
        <w:t>Human Resources Command, NSW Police Force,</w:t>
      </w:r>
      <w:r w:rsidRPr="00802C2E">
        <w:t xml:space="preserve"> </w:t>
      </w:r>
      <w:r w:rsidRPr="00802C2E">
        <w:rPr>
          <w:i/>
        </w:rPr>
        <w:t>HR Analysis: Child Protection Register Staffing Review</w:t>
      </w:r>
      <w:r w:rsidRPr="00802C2E">
        <w:t xml:space="preserve">, 20 July 2017, D/2017/630614, </w:t>
      </w:r>
      <w:r>
        <w:t>NSW Police Force response</w:t>
      </w:r>
      <w:r w:rsidRPr="00802C2E">
        <w:t xml:space="preserve"> to item 1 of </w:t>
      </w:r>
      <w:r>
        <w:t>Law Enforcement Conduct Commission Notice</w:t>
      </w:r>
      <w:r w:rsidRPr="00802C2E">
        <w:t xml:space="preserve"> 929 of 2017</w:t>
      </w:r>
      <w:r w:rsidRPr="0005260F">
        <w:t>, pp 79-80.</w:t>
      </w:r>
    </w:p>
  </w:footnote>
  <w:footnote w:id="290">
    <w:p w14:paraId="02B98EC0" w14:textId="57F9D12F" w:rsidR="0042789D" w:rsidRPr="0005260F" w:rsidRDefault="0042789D" w:rsidP="00273DDA">
      <w:pPr>
        <w:pStyle w:val="FootnoteText"/>
        <w:spacing w:before="60" w:after="60"/>
      </w:pPr>
      <w:r w:rsidRPr="0005260F">
        <w:rPr>
          <w:rStyle w:val="FootnoteReference"/>
        </w:rPr>
        <w:footnoteRef/>
      </w:r>
      <w:r>
        <w:t xml:space="preserve"> </w:t>
      </w:r>
      <w:r w:rsidRPr="0005260F">
        <w:rPr>
          <w:i/>
        </w:rPr>
        <w:t>Staffing Submission: Child Protection Registry</w:t>
      </w:r>
      <w:r>
        <w:t>, p 13, attachment to Child Protection Registry</w:t>
      </w:r>
      <w:r w:rsidRPr="0005260F">
        <w:t xml:space="preserve">, </w:t>
      </w:r>
      <w:r w:rsidRPr="0005260F">
        <w:rPr>
          <w:i/>
        </w:rPr>
        <w:t>Submission of staffing report requesting 5 (5) additional sworn positions</w:t>
      </w:r>
      <w:r>
        <w:rPr>
          <w:i/>
        </w:rPr>
        <w:t xml:space="preserve"> …</w:t>
      </w:r>
      <w:r w:rsidRPr="0005260F">
        <w:t xml:space="preserve">, 16 June 2015, D/2015/294868, </w:t>
      </w:r>
      <w:r>
        <w:t>NSW Police Force response</w:t>
      </w:r>
      <w:r w:rsidRPr="0005260F">
        <w:t xml:space="preserve"> to </w:t>
      </w:r>
      <w:r>
        <w:t>item 2 of Law Enforcement Conduct Commission Notice</w:t>
      </w:r>
      <w:r w:rsidRPr="0005260F">
        <w:t xml:space="preserve"> 914 of 2017.</w:t>
      </w:r>
    </w:p>
  </w:footnote>
  <w:footnote w:id="291">
    <w:p w14:paraId="23A60064" w14:textId="57CAA322" w:rsidR="0042789D" w:rsidRPr="00F11C80" w:rsidRDefault="0042789D" w:rsidP="00273DDA">
      <w:pPr>
        <w:pStyle w:val="FootnoteText"/>
        <w:spacing w:before="60" w:after="60"/>
      </w:pPr>
      <w:r w:rsidRPr="00F11C80">
        <w:rPr>
          <w:rStyle w:val="FootnoteReference"/>
        </w:rPr>
        <w:footnoteRef/>
      </w:r>
      <w:r w:rsidRPr="00F11C80">
        <w:t xml:space="preserve"> State Intelligence Command, </w:t>
      </w:r>
      <w:r>
        <w:t xml:space="preserve">NSW Police Force, </w:t>
      </w:r>
      <w:r w:rsidRPr="00F11C80">
        <w:rPr>
          <w:i/>
        </w:rPr>
        <w:t>Child Protection Register Monthly Report</w:t>
      </w:r>
      <w:r w:rsidRPr="00F11C80">
        <w:t xml:space="preserve">, December 2018, </w:t>
      </w:r>
      <w:r>
        <w:t>NSW Police Force response</w:t>
      </w:r>
      <w:r w:rsidRPr="00F11C80">
        <w:t xml:space="preserve"> to item 3 of </w:t>
      </w:r>
      <w:r>
        <w:t>Law Enforcement Conduct Commission Notice</w:t>
      </w:r>
      <w:r w:rsidRPr="00F11C80">
        <w:t xml:space="preserve"> 988 of 2018, pp 3-8.</w:t>
      </w:r>
    </w:p>
  </w:footnote>
  <w:footnote w:id="292">
    <w:p w14:paraId="3269CF5A" w14:textId="77777777" w:rsidR="0042789D" w:rsidRPr="00F11C80" w:rsidRDefault="0042789D" w:rsidP="00273DDA">
      <w:pPr>
        <w:pStyle w:val="FootnoteText"/>
        <w:spacing w:before="60" w:after="60"/>
      </w:pPr>
      <w:r w:rsidRPr="00F11C80">
        <w:rPr>
          <w:rStyle w:val="FootnoteReference"/>
        </w:rPr>
        <w:footnoteRef/>
      </w:r>
      <w:r w:rsidRPr="00F11C80">
        <w:t xml:space="preserve"> </w:t>
      </w:r>
      <w:r w:rsidRPr="00F11C80">
        <w:rPr>
          <w:i/>
        </w:rPr>
        <w:t>Criminal Code Act 1995</w:t>
      </w:r>
      <w:r w:rsidRPr="00F11C80">
        <w:t xml:space="preserve"> (Cth) s 271A.1</w:t>
      </w:r>
    </w:p>
  </w:footnote>
  <w:footnote w:id="293">
    <w:p w14:paraId="20448411" w14:textId="433A88D7" w:rsidR="0042789D" w:rsidRPr="007E14B2" w:rsidRDefault="0042789D" w:rsidP="00273DDA">
      <w:pPr>
        <w:pStyle w:val="FootnoteText"/>
        <w:spacing w:before="60" w:after="60"/>
      </w:pPr>
      <w:r w:rsidRPr="00D45CD5">
        <w:rPr>
          <w:rStyle w:val="FootnoteReference"/>
        </w:rPr>
        <w:footnoteRef/>
      </w:r>
      <w:r w:rsidRPr="00D45CD5">
        <w:t xml:space="preserve"> Letter from Commissioner of Police, </w:t>
      </w:r>
      <w:r>
        <w:t>NSW Police Force</w:t>
      </w:r>
      <w:r w:rsidRPr="00D45CD5">
        <w:t>, to Chief Commis</w:t>
      </w:r>
      <w:r>
        <w:t>sioner, Law Enforcement Conduct Commission, 30 September 2019</w:t>
      </w:r>
      <w:r w:rsidRPr="00D45CD5">
        <w:t xml:space="preserve"> </w:t>
      </w:r>
      <w:r>
        <w:t>(</w:t>
      </w:r>
      <w:r w:rsidRPr="00D45CD5">
        <w:t>Annexure D –Updated Statistics from the CPR Monthly Report and about Travel Requests</w:t>
      </w:r>
      <w:r>
        <w:t>)</w:t>
      </w:r>
      <w:r w:rsidRPr="00D45CD5">
        <w:t>.</w:t>
      </w:r>
    </w:p>
  </w:footnote>
  <w:footnote w:id="294">
    <w:p w14:paraId="7F8B47E1" w14:textId="20E37C90" w:rsidR="0042789D" w:rsidRPr="00F11C80" w:rsidRDefault="0042789D" w:rsidP="00273DDA">
      <w:pPr>
        <w:pStyle w:val="FootnoteText"/>
        <w:spacing w:before="60" w:after="60"/>
      </w:pPr>
      <w:r w:rsidRPr="006C35D7">
        <w:rPr>
          <w:rStyle w:val="FootnoteReference"/>
        </w:rPr>
        <w:footnoteRef/>
      </w:r>
      <w:r w:rsidRPr="006C35D7">
        <w:t xml:space="preserve"> </w:t>
      </w:r>
      <w:r>
        <w:t>Law Enforcement Conduct Commission</w:t>
      </w:r>
      <w:r w:rsidRPr="006C35D7">
        <w:t xml:space="preserve"> phone consultation with Manager, Child Protection Registry, </w:t>
      </w:r>
      <w:r>
        <w:t>NSW Police Force</w:t>
      </w:r>
      <w:r w:rsidRPr="006C35D7">
        <w:t>, 28 May 2018.</w:t>
      </w:r>
    </w:p>
  </w:footnote>
  <w:footnote w:id="295">
    <w:p w14:paraId="05589F4B" w14:textId="5B9B2124" w:rsidR="0042789D" w:rsidRPr="00F11C80" w:rsidRDefault="0042789D" w:rsidP="00F11C80">
      <w:pPr>
        <w:pStyle w:val="FootnoteText"/>
      </w:pPr>
      <w:r w:rsidRPr="00F11C80">
        <w:rPr>
          <w:rStyle w:val="FootnoteReference"/>
        </w:rPr>
        <w:footnoteRef/>
      </w:r>
      <w:r w:rsidRPr="00F11C80">
        <w:t xml:space="preserve"> </w:t>
      </w:r>
      <w:r>
        <w:t>Child Protection Regist</w:t>
      </w:r>
      <w:r w:rsidRPr="00F11C80">
        <w:t>r</w:t>
      </w:r>
      <w:r>
        <w:t>y</w:t>
      </w:r>
      <w:r w:rsidRPr="00F11C80">
        <w:t>,</w:t>
      </w:r>
      <w:r>
        <w:t xml:space="preserve"> NSW Police Force,</w:t>
      </w:r>
      <w:r w:rsidRPr="00F11C80">
        <w:t xml:space="preserve"> </w:t>
      </w:r>
      <w:r w:rsidRPr="00F11C80">
        <w:rPr>
          <w:i/>
        </w:rPr>
        <w:t>Serious concerns raised regarding the Child Protection Register (CPR) reporting period timeframes and lack of review of matters prior to case finalisation</w:t>
      </w:r>
      <w:r w:rsidRPr="00F11C80">
        <w:t xml:space="preserve">, 26 May 2016, D/2016/277899, </w:t>
      </w:r>
      <w:r>
        <w:t>NSW Police Force response</w:t>
      </w:r>
      <w:r w:rsidRPr="00F11C80">
        <w:t xml:space="preserve"> to </w:t>
      </w:r>
      <w:r>
        <w:t>item 7 of Law Enforcement Conduct Commission Notice</w:t>
      </w:r>
      <w:r w:rsidRPr="00F11C80">
        <w:t xml:space="preserve"> 914 of 2017, p 6.</w:t>
      </w:r>
    </w:p>
  </w:footnote>
  <w:footnote w:id="296">
    <w:p w14:paraId="33E3A975" w14:textId="3B703E0D" w:rsidR="0042789D" w:rsidRPr="00F11C80" w:rsidRDefault="0042789D" w:rsidP="00F11C80">
      <w:pPr>
        <w:pStyle w:val="FootnoteText"/>
      </w:pPr>
      <w:r w:rsidRPr="00F11C80">
        <w:rPr>
          <w:rStyle w:val="FootnoteReference"/>
        </w:rPr>
        <w:footnoteRef/>
      </w:r>
      <w:r w:rsidRPr="00F11C80">
        <w:t xml:space="preserve"> </w:t>
      </w:r>
      <w:r>
        <w:t>Workforce Intelligence</w:t>
      </w:r>
      <w:r w:rsidRPr="00802C2E">
        <w:t xml:space="preserve"> Unit, </w:t>
      </w:r>
      <w:r>
        <w:t>Human Resources Command, NSW Police Force,</w:t>
      </w:r>
      <w:r w:rsidRPr="00802C2E">
        <w:t xml:space="preserve"> </w:t>
      </w:r>
      <w:r w:rsidRPr="00802C2E">
        <w:rPr>
          <w:i/>
        </w:rPr>
        <w:t>HR Analysis: Child Protection Register Staffing Review</w:t>
      </w:r>
      <w:r w:rsidRPr="00802C2E">
        <w:t xml:space="preserve">, 20 July 2017, D/2017/630614, </w:t>
      </w:r>
      <w:r>
        <w:t>NSW Police Force response</w:t>
      </w:r>
      <w:r w:rsidRPr="00802C2E">
        <w:t xml:space="preserve"> to item 1 of </w:t>
      </w:r>
      <w:r>
        <w:t>Law Enforcement Conduct Commission Notice</w:t>
      </w:r>
      <w:r w:rsidRPr="00802C2E">
        <w:t xml:space="preserve"> 929 of 2017</w:t>
      </w:r>
      <w:r w:rsidRPr="00F11C80">
        <w:t>, p 19.</w:t>
      </w:r>
    </w:p>
  </w:footnote>
  <w:footnote w:id="297">
    <w:p w14:paraId="3FE8C399" w14:textId="4A26C4DD" w:rsidR="0042789D" w:rsidRPr="00A23E23" w:rsidRDefault="0042789D" w:rsidP="00F11C80">
      <w:pPr>
        <w:pStyle w:val="FootnoteText"/>
      </w:pPr>
      <w:r w:rsidRPr="00F11C80">
        <w:rPr>
          <w:rStyle w:val="FootnoteReference"/>
        </w:rPr>
        <w:footnoteRef/>
      </w:r>
      <w:r>
        <w:t xml:space="preserve"> Ibid</w:t>
      </w:r>
      <w:r w:rsidRPr="00A23E23">
        <w:t xml:space="preserve"> p 13.</w:t>
      </w:r>
    </w:p>
  </w:footnote>
  <w:footnote w:id="298">
    <w:p w14:paraId="13E9F416" w14:textId="25B265AC" w:rsidR="0042789D" w:rsidRDefault="0042789D">
      <w:pPr>
        <w:pStyle w:val="FootnoteText"/>
      </w:pPr>
      <w:r w:rsidRPr="00A23E23">
        <w:rPr>
          <w:rStyle w:val="FootnoteReference"/>
        </w:rPr>
        <w:footnoteRef/>
      </w:r>
      <w:r w:rsidRPr="00A23E23">
        <w:t xml:space="preserve"> See Chapter 3 section 3.2.</w:t>
      </w:r>
    </w:p>
  </w:footnote>
  <w:footnote w:id="299">
    <w:p w14:paraId="4340A31D" w14:textId="3C6F89C2" w:rsidR="0042789D" w:rsidRPr="00CA7BA8" w:rsidRDefault="0042789D" w:rsidP="00CA7BA8">
      <w:pPr>
        <w:spacing w:before="60" w:after="60" w:line="240" w:lineRule="auto"/>
      </w:pPr>
      <w:r w:rsidRPr="00B73EB8">
        <w:rPr>
          <w:rStyle w:val="FootnoteReference"/>
          <w:sz w:val="20"/>
        </w:rPr>
        <w:footnoteRef/>
      </w:r>
      <w:r>
        <w:rPr>
          <w:sz w:val="20"/>
        </w:rPr>
        <w:t xml:space="preserve"> </w:t>
      </w:r>
      <w:r>
        <w:rPr>
          <w:rFonts w:ascii="Gotham Book" w:hAnsi="Gotham Book"/>
          <w:sz w:val="20"/>
        </w:rPr>
        <w:t>Reports and requests produced by the NSW Police Force in response to</w:t>
      </w:r>
      <w:r w:rsidRPr="00465C98">
        <w:rPr>
          <w:rFonts w:ascii="Gotham Book" w:hAnsi="Gotham Book"/>
          <w:sz w:val="20"/>
        </w:rPr>
        <w:t xml:space="preserve"> </w:t>
      </w:r>
      <w:r>
        <w:rPr>
          <w:rFonts w:ascii="Gotham Book" w:hAnsi="Gotham Book"/>
          <w:sz w:val="20"/>
        </w:rPr>
        <w:t>Law Enforcement Conduct Commission Notice</w:t>
      </w:r>
      <w:r w:rsidRPr="00465C98">
        <w:rPr>
          <w:rFonts w:ascii="Gotham Book" w:hAnsi="Gotham Book"/>
          <w:sz w:val="20"/>
        </w:rPr>
        <w:t xml:space="preserve"> 914 of 2017</w:t>
      </w:r>
      <w:r>
        <w:rPr>
          <w:rFonts w:ascii="Gotham Book" w:hAnsi="Gotham Book"/>
          <w:sz w:val="20"/>
        </w:rPr>
        <w:t xml:space="preserve"> (items </w:t>
      </w:r>
      <w:r w:rsidRPr="00DA01DE">
        <w:rPr>
          <w:rFonts w:ascii="Gotham Book" w:hAnsi="Gotham Book"/>
          <w:sz w:val="20"/>
        </w:rPr>
        <w:t>1</w:t>
      </w:r>
      <w:r>
        <w:rPr>
          <w:rFonts w:ascii="Gotham Book" w:hAnsi="Gotham Book"/>
          <w:sz w:val="20"/>
        </w:rPr>
        <w:t>–2 and 4-7</w:t>
      </w:r>
      <w:r w:rsidRPr="00DA01DE">
        <w:rPr>
          <w:rFonts w:ascii="Gotham Book" w:hAnsi="Gotham Book"/>
          <w:sz w:val="20"/>
        </w:rPr>
        <w:t>) and</w:t>
      </w:r>
      <w:r>
        <w:rPr>
          <w:rFonts w:ascii="Gotham Book" w:hAnsi="Gotham Book"/>
          <w:sz w:val="20"/>
        </w:rPr>
        <w:t xml:space="preserve"> Law Enforcement Conduct Commission Notice</w:t>
      </w:r>
      <w:r w:rsidRPr="00465C98">
        <w:rPr>
          <w:rFonts w:ascii="Gotham Book" w:hAnsi="Gotham Book"/>
          <w:sz w:val="20"/>
        </w:rPr>
        <w:t xml:space="preserve"> 929 of 2017</w:t>
      </w:r>
      <w:r>
        <w:rPr>
          <w:rFonts w:ascii="Gotham Book" w:hAnsi="Gotham Book"/>
          <w:sz w:val="20"/>
        </w:rPr>
        <w:t xml:space="preserve"> (item</w:t>
      </w:r>
      <w:r w:rsidRPr="00DA01DE">
        <w:rPr>
          <w:rFonts w:ascii="Gotham Book" w:hAnsi="Gotham Book"/>
          <w:sz w:val="20"/>
        </w:rPr>
        <w:t xml:space="preserve"> 12).</w:t>
      </w:r>
    </w:p>
  </w:footnote>
  <w:footnote w:id="300">
    <w:p w14:paraId="1E313854" w14:textId="3510623A" w:rsidR="0042789D" w:rsidRPr="00B73EB8" w:rsidRDefault="0042789D" w:rsidP="00DC17CC">
      <w:pPr>
        <w:pStyle w:val="FootnoteText"/>
        <w:spacing w:before="60" w:after="60"/>
      </w:pPr>
      <w:r w:rsidRPr="00B73EB8">
        <w:rPr>
          <w:rStyle w:val="FootnoteReference"/>
        </w:rPr>
        <w:footnoteRef/>
      </w:r>
      <w:r>
        <w:t xml:space="preserve"> </w:t>
      </w:r>
      <w:r w:rsidRPr="00B73EB8">
        <w:t>Child Protection Registry</w:t>
      </w:r>
      <w:r w:rsidRPr="00B73EB8">
        <w:rPr>
          <w:i/>
        </w:rPr>
        <w:t>,</w:t>
      </w:r>
      <w:r>
        <w:rPr>
          <w:i/>
        </w:rPr>
        <w:t xml:space="preserve"> </w:t>
      </w:r>
      <w:r>
        <w:t>NSW Police Force</w:t>
      </w:r>
      <w:r w:rsidRPr="00385989">
        <w:t>,</w:t>
      </w:r>
      <w:r w:rsidRPr="00B73EB8">
        <w:rPr>
          <w:i/>
        </w:rPr>
        <w:t xml:space="preserve"> Further issues and risk</w:t>
      </w:r>
      <w:r>
        <w:rPr>
          <w:i/>
        </w:rPr>
        <w:t>s identified within the Child Protection Registry</w:t>
      </w:r>
      <w:r w:rsidRPr="00B73EB8">
        <w:t xml:space="preserve">, 16 October 2015, D/2015/527743, </w:t>
      </w:r>
      <w:r>
        <w:t>NSW Police Force response</w:t>
      </w:r>
      <w:r w:rsidRPr="00B73EB8">
        <w:t xml:space="preserve"> to</w:t>
      </w:r>
      <w:r>
        <w:t xml:space="preserve"> item 5 of</w:t>
      </w:r>
      <w:r w:rsidRPr="00B73EB8">
        <w:t xml:space="preserve"> </w:t>
      </w:r>
      <w:r>
        <w:t>Law Enforcement Conduct Commission Notice</w:t>
      </w:r>
      <w:r w:rsidRPr="00B73EB8">
        <w:t xml:space="preserve"> 914 of 2017, p 9.</w:t>
      </w:r>
    </w:p>
  </w:footnote>
  <w:footnote w:id="301">
    <w:p w14:paraId="614AB745" w14:textId="445BA414" w:rsidR="0042789D" w:rsidRDefault="0042789D" w:rsidP="00DC17CC">
      <w:pPr>
        <w:pStyle w:val="FootnoteText"/>
        <w:spacing w:before="60" w:after="60"/>
      </w:pPr>
      <w:r w:rsidRPr="00B73EB8">
        <w:rPr>
          <w:rStyle w:val="FootnoteReference"/>
        </w:rPr>
        <w:footnoteRef/>
      </w:r>
      <w:r>
        <w:t xml:space="preserve"> Ibid</w:t>
      </w:r>
      <w:r w:rsidRPr="00B73EB8">
        <w:t>.</w:t>
      </w:r>
    </w:p>
  </w:footnote>
  <w:footnote w:id="302">
    <w:p w14:paraId="0A65BA38" w14:textId="0542A9FC" w:rsidR="0042789D" w:rsidRPr="00B73EB8" w:rsidRDefault="0042789D" w:rsidP="00DC17CC">
      <w:pPr>
        <w:pStyle w:val="FootnoteText"/>
        <w:spacing w:before="60" w:after="60"/>
      </w:pPr>
      <w:r w:rsidRPr="00B73EB8">
        <w:rPr>
          <w:rStyle w:val="FootnoteReference"/>
        </w:rPr>
        <w:footnoteRef/>
      </w:r>
      <w:r w:rsidRPr="00B73EB8">
        <w:t xml:space="preserve"> </w:t>
      </w:r>
      <w:r>
        <w:t>Child Protection Regist</w:t>
      </w:r>
      <w:r w:rsidRPr="00B73EB8">
        <w:t>r</w:t>
      </w:r>
      <w:r>
        <w:t>y</w:t>
      </w:r>
      <w:r w:rsidRPr="00B73EB8">
        <w:t>,</w:t>
      </w:r>
      <w:r>
        <w:t xml:space="preserve"> NSW Police Force,</w:t>
      </w:r>
      <w:r w:rsidRPr="00B73EB8">
        <w:t xml:space="preserve"> </w:t>
      </w:r>
      <w:r w:rsidRPr="00B73EB8">
        <w:rPr>
          <w:i/>
        </w:rPr>
        <w:t>Serious concerns raised regarding the Child Protection Register (CPR) reporting period timeframes and lack of review of matters prior to case finalisation</w:t>
      </w:r>
      <w:r w:rsidRPr="00B73EB8">
        <w:t xml:space="preserve">, 26 May 2016, D/2016/277899, </w:t>
      </w:r>
      <w:r>
        <w:t>NSW Police Force response</w:t>
      </w:r>
      <w:r w:rsidRPr="00B73EB8">
        <w:t xml:space="preserve"> to </w:t>
      </w:r>
      <w:r>
        <w:t>item 7 of Law Enforcement Conduct Commission Notice</w:t>
      </w:r>
      <w:r w:rsidRPr="00B73EB8">
        <w:t xml:space="preserve"> 914 of 2017, p 6.</w:t>
      </w:r>
    </w:p>
  </w:footnote>
  <w:footnote w:id="303">
    <w:p w14:paraId="7BA5BC40" w14:textId="67935616" w:rsidR="0042789D" w:rsidRPr="00B73EB8" w:rsidRDefault="0042789D" w:rsidP="00DC17CC">
      <w:pPr>
        <w:pStyle w:val="FootnoteText"/>
        <w:spacing w:before="60" w:after="60"/>
      </w:pPr>
      <w:r w:rsidRPr="00B73EB8">
        <w:rPr>
          <w:rStyle w:val="FootnoteReference"/>
        </w:rPr>
        <w:footnoteRef/>
      </w:r>
      <w:r>
        <w:t xml:space="preserve"> </w:t>
      </w:r>
      <w:r w:rsidRPr="00B73EB8">
        <w:t>Child Protection Registry,</w:t>
      </w:r>
      <w:r>
        <w:t xml:space="preserve"> NSW Police Force,</w:t>
      </w:r>
      <w:r w:rsidRPr="00B73EB8">
        <w:t xml:space="preserve"> </w:t>
      </w:r>
      <w:r w:rsidRPr="00B73EB8">
        <w:rPr>
          <w:i/>
        </w:rPr>
        <w:t>Information regarding Staffing Submission for the Child Protection Registry</w:t>
      </w:r>
      <w:r w:rsidRPr="00B73EB8">
        <w:t xml:space="preserve">, 10 June 2016, D/2016/278015, </w:t>
      </w:r>
      <w:r>
        <w:t>NSW Police Force response</w:t>
      </w:r>
      <w:r w:rsidRPr="00B73EB8">
        <w:t xml:space="preserve"> to </w:t>
      </w:r>
      <w:r>
        <w:t>item 6 of Law Enforcement Conduct Commission Notice</w:t>
      </w:r>
      <w:r w:rsidRPr="00B73EB8">
        <w:t xml:space="preserve"> 914 of 2017, pp 1-2.</w:t>
      </w:r>
    </w:p>
  </w:footnote>
  <w:footnote w:id="304">
    <w:p w14:paraId="2033CF26" w14:textId="2FD50E57" w:rsidR="0042789D" w:rsidRPr="00B73EB8" w:rsidRDefault="0042789D" w:rsidP="00DC17CC">
      <w:pPr>
        <w:pStyle w:val="FootnoteText"/>
        <w:spacing w:before="60" w:after="60"/>
      </w:pPr>
      <w:r w:rsidRPr="00B73EB8">
        <w:rPr>
          <w:rStyle w:val="FootnoteReference"/>
        </w:rPr>
        <w:footnoteRef/>
      </w:r>
      <w:r>
        <w:t xml:space="preserve"> Ibid</w:t>
      </w:r>
      <w:r w:rsidRPr="00B73EB8">
        <w:t>.</w:t>
      </w:r>
    </w:p>
  </w:footnote>
  <w:footnote w:id="305">
    <w:p w14:paraId="7E9EADDB" w14:textId="0CA5024D" w:rsidR="0042789D" w:rsidRPr="00B73EB8" w:rsidRDefault="0042789D" w:rsidP="00302A3F">
      <w:pPr>
        <w:pStyle w:val="FootnoteText"/>
        <w:spacing w:before="60" w:after="60"/>
      </w:pPr>
      <w:r w:rsidRPr="00B73EB8">
        <w:rPr>
          <w:rStyle w:val="FootnoteReference"/>
        </w:rPr>
        <w:footnoteRef/>
      </w:r>
      <w:r>
        <w:t xml:space="preserve"> Ibid </w:t>
      </w:r>
      <w:r w:rsidRPr="00B73EB8">
        <w:t>pp 2-3.</w:t>
      </w:r>
    </w:p>
  </w:footnote>
  <w:footnote w:id="306">
    <w:p w14:paraId="2880AE96" w14:textId="47E7B8DB" w:rsidR="0042789D" w:rsidRPr="00B73EB8" w:rsidRDefault="0042789D" w:rsidP="00302A3F">
      <w:pPr>
        <w:pStyle w:val="FootnoteText"/>
        <w:spacing w:before="60" w:after="60"/>
      </w:pPr>
      <w:r w:rsidRPr="00B73EB8">
        <w:rPr>
          <w:rStyle w:val="FootnoteReference"/>
        </w:rPr>
        <w:footnoteRef/>
      </w:r>
      <w:r>
        <w:t xml:space="preserve"> Ibid </w:t>
      </w:r>
      <w:r w:rsidRPr="00B73EB8">
        <w:t>p 2.</w:t>
      </w:r>
    </w:p>
  </w:footnote>
  <w:footnote w:id="307">
    <w:p w14:paraId="098CFC9C" w14:textId="197B0B21" w:rsidR="0042789D" w:rsidRPr="00720732" w:rsidRDefault="0042789D" w:rsidP="00302A3F">
      <w:pPr>
        <w:pStyle w:val="FootnoteText"/>
        <w:spacing w:before="60" w:after="60"/>
      </w:pPr>
      <w:r w:rsidRPr="00720732">
        <w:rPr>
          <w:rStyle w:val="FootnoteReference"/>
        </w:rPr>
        <w:footnoteRef/>
      </w:r>
      <w:r w:rsidRPr="00720732">
        <w:t xml:space="preserve"> </w:t>
      </w:r>
      <w:r>
        <w:t>Workforce Intelligence</w:t>
      </w:r>
      <w:r w:rsidRPr="00802C2E">
        <w:t xml:space="preserve"> Unit, </w:t>
      </w:r>
      <w:r>
        <w:t>Human Resources Command, NSW Police Force,</w:t>
      </w:r>
      <w:r w:rsidRPr="00802C2E">
        <w:t xml:space="preserve"> </w:t>
      </w:r>
      <w:r w:rsidRPr="00802C2E">
        <w:rPr>
          <w:i/>
        </w:rPr>
        <w:t>HR Analysis: Child Protection Register Staffing Review</w:t>
      </w:r>
      <w:r w:rsidRPr="00802C2E">
        <w:t xml:space="preserve">, 20 July 2017, D/2017/630614, </w:t>
      </w:r>
      <w:r>
        <w:t>NSW Police Force response</w:t>
      </w:r>
      <w:r w:rsidRPr="00802C2E">
        <w:t xml:space="preserve"> to item 1 of </w:t>
      </w:r>
      <w:r>
        <w:t>Law Enforcement Conduct Commission Notice</w:t>
      </w:r>
      <w:r w:rsidRPr="00802C2E">
        <w:t xml:space="preserve"> 929 of 2017</w:t>
      </w:r>
      <w:r w:rsidRPr="00720732">
        <w:t>.</w:t>
      </w:r>
    </w:p>
  </w:footnote>
  <w:footnote w:id="308">
    <w:p w14:paraId="00C3AA58" w14:textId="1AA345A7" w:rsidR="0042789D" w:rsidRPr="00720732" w:rsidRDefault="0042789D" w:rsidP="00302A3F">
      <w:pPr>
        <w:pStyle w:val="FootnoteText"/>
        <w:spacing w:before="60" w:after="60"/>
      </w:pPr>
      <w:r w:rsidRPr="00720732">
        <w:rPr>
          <w:rStyle w:val="FootnoteReference"/>
        </w:rPr>
        <w:footnoteRef/>
      </w:r>
      <w:r w:rsidRPr="00720732">
        <w:t xml:space="preserve"> </w:t>
      </w:r>
      <w:r>
        <w:t xml:space="preserve">Ibid </w:t>
      </w:r>
      <w:r w:rsidRPr="00720732">
        <w:t>p 5.</w:t>
      </w:r>
    </w:p>
  </w:footnote>
  <w:footnote w:id="309">
    <w:p w14:paraId="6D6A91E3" w14:textId="57CC0A10" w:rsidR="0042789D" w:rsidRPr="00720732" w:rsidRDefault="0042789D" w:rsidP="00302A3F">
      <w:pPr>
        <w:pStyle w:val="FootnoteText"/>
        <w:spacing w:before="60" w:after="60"/>
      </w:pPr>
      <w:r w:rsidRPr="00720732">
        <w:rPr>
          <w:rStyle w:val="FootnoteReference"/>
        </w:rPr>
        <w:footnoteRef/>
      </w:r>
      <w:r w:rsidRPr="00720732">
        <w:t xml:space="preserve"> </w:t>
      </w:r>
      <w:r>
        <w:t>Ibid</w:t>
      </w:r>
      <w:r w:rsidRPr="00720732">
        <w:t>.</w:t>
      </w:r>
    </w:p>
  </w:footnote>
  <w:footnote w:id="310">
    <w:p w14:paraId="2C6B99D8" w14:textId="63F5D14B" w:rsidR="0042789D" w:rsidRPr="00720732" w:rsidRDefault="0042789D" w:rsidP="00302A3F">
      <w:pPr>
        <w:pStyle w:val="FootnoteText"/>
        <w:spacing w:before="60" w:after="60"/>
      </w:pPr>
      <w:r w:rsidRPr="00720732">
        <w:rPr>
          <w:rStyle w:val="FootnoteReference"/>
        </w:rPr>
        <w:footnoteRef/>
      </w:r>
      <w:r w:rsidRPr="00720732">
        <w:t xml:space="preserve"> </w:t>
      </w:r>
      <w:r>
        <w:t>Ibid</w:t>
      </w:r>
      <w:r w:rsidRPr="00720732">
        <w:t xml:space="preserve"> p 82.</w:t>
      </w:r>
    </w:p>
  </w:footnote>
  <w:footnote w:id="311">
    <w:p w14:paraId="36F9B389" w14:textId="4C61F669" w:rsidR="0042789D" w:rsidRPr="00720732" w:rsidRDefault="0042789D" w:rsidP="00BD6B6D">
      <w:pPr>
        <w:pStyle w:val="FootnoteText"/>
        <w:spacing w:before="60" w:after="60"/>
      </w:pPr>
      <w:r w:rsidRPr="00720732">
        <w:rPr>
          <w:rStyle w:val="FootnoteReference"/>
        </w:rPr>
        <w:footnoteRef/>
      </w:r>
      <w:r w:rsidRPr="00720732">
        <w:t xml:space="preserve"> </w:t>
      </w:r>
      <w:r>
        <w:t>Ibid</w:t>
      </w:r>
      <w:r w:rsidRPr="00720732">
        <w:t xml:space="preserve"> p 71 and p 82.</w:t>
      </w:r>
    </w:p>
  </w:footnote>
  <w:footnote w:id="312">
    <w:p w14:paraId="24694DDC" w14:textId="5F3D2F96" w:rsidR="0042789D" w:rsidRPr="00720732" w:rsidRDefault="0042789D" w:rsidP="00BD6B6D">
      <w:pPr>
        <w:pStyle w:val="FootnoteText"/>
        <w:spacing w:before="60" w:after="60"/>
      </w:pPr>
      <w:r w:rsidRPr="00720732">
        <w:rPr>
          <w:rStyle w:val="FootnoteReference"/>
        </w:rPr>
        <w:footnoteRef/>
      </w:r>
      <w:r w:rsidRPr="00720732">
        <w:t xml:space="preserve"> </w:t>
      </w:r>
      <w:r>
        <w:t>Ibid</w:t>
      </w:r>
      <w:r w:rsidRPr="00720732">
        <w:t xml:space="preserve"> p 82.</w:t>
      </w:r>
    </w:p>
  </w:footnote>
  <w:footnote w:id="313">
    <w:p w14:paraId="76DCC883" w14:textId="72DC033A" w:rsidR="0042789D" w:rsidRPr="00720732" w:rsidRDefault="0042789D" w:rsidP="00BD6B6D">
      <w:pPr>
        <w:pStyle w:val="FootnoteText"/>
        <w:spacing w:before="60" w:after="60"/>
      </w:pPr>
      <w:r w:rsidRPr="00720732">
        <w:rPr>
          <w:rStyle w:val="FootnoteReference"/>
        </w:rPr>
        <w:footnoteRef/>
      </w:r>
      <w:r w:rsidRPr="00720732">
        <w:t xml:space="preserve"> </w:t>
      </w:r>
      <w:r>
        <w:t>Ibid</w:t>
      </w:r>
      <w:r w:rsidRPr="00720732">
        <w:t xml:space="preserve"> p 9 and </w:t>
      </w:r>
      <w:r>
        <w:t xml:space="preserve">p </w:t>
      </w:r>
      <w:r w:rsidRPr="00720732">
        <w:t>42.</w:t>
      </w:r>
    </w:p>
  </w:footnote>
  <w:footnote w:id="314">
    <w:p w14:paraId="0F053065" w14:textId="25A252B2" w:rsidR="0042789D" w:rsidRPr="00325EB0" w:rsidRDefault="0042789D" w:rsidP="00BD6B6D">
      <w:pPr>
        <w:pStyle w:val="FootnoteText"/>
        <w:spacing w:before="60" w:after="60"/>
      </w:pPr>
      <w:r w:rsidRPr="00720732">
        <w:rPr>
          <w:rStyle w:val="FootnoteReference"/>
        </w:rPr>
        <w:footnoteRef/>
      </w:r>
      <w:r w:rsidRPr="00720732">
        <w:t xml:space="preserve"> </w:t>
      </w:r>
      <w:r>
        <w:t>Ibid</w:t>
      </w:r>
      <w:r w:rsidRPr="00720732">
        <w:t xml:space="preserve"> p 8.</w:t>
      </w:r>
    </w:p>
  </w:footnote>
  <w:footnote w:id="315">
    <w:p w14:paraId="551E4E42" w14:textId="4A6288C4" w:rsidR="0042789D" w:rsidRPr="00325EB0" w:rsidRDefault="0042789D" w:rsidP="00BD6B6D">
      <w:pPr>
        <w:pStyle w:val="FootnoteText"/>
        <w:spacing w:before="60" w:after="60"/>
      </w:pPr>
      <w:r w:rsidRPr="00325EB0">
        <w:rPr>
          <w:rStyle w:val="FootnoteReference"/>
        </w:rPr>
        <w:footnoteRef/>
      </w:r>
      <w:r w:rsidRPr="00325EB0">
        <w:t xml:space="preserve"> </w:t>
      </w:r>
      <w:r>
        <w:t>Ibid</w:t>
      </w:r>
      <w:r w:rsidRPr="00325EB0">
        <w:t xml:space="preserve"> p 50.</w:t>
      </w:r>
    </w:p>
  </w:footnote>
  <w:footnote w:id="316">
    <w:p w14:paraId="06AD2354" w14:textId="36D68174" w:rsidR="0042789D" w:rsidRPr="00325EB0" w:rsidRDefault="0042789D" w:rsidP="00BD6B6D">
      <w:pPr>
        <w:pStyle w:val="FootnoteText"/>
        <w:spacing w:before="60" w:after="60"/>
      </w:pPr>
      <w:r w:rsidRPr="00325EB0">
        <w:rPr>
          <w:rStyle w:val="FootnoteReference"/>
        </w:rPr>
        <w:footnoteRef/>
      </w:r>
      <w:r w:rsidRPr="00325EB0">
        <w:t xml:space="preserve"> </w:t>
      </w:r>
      <w:r w:rsidRPr="00275030">
        <w:t>Fo</w:t>
      </w:r>
      <w:r w:rsidRPr="00963197">
        <w:t>r</w:t>
      </w:r>
      <w:r>
        <w:t xml:space="preserve"> discussion of the complexity of</w:t>
      </w:r>
      <w:r w:rsidRPr="00963197">
        <w:t xml:space="preserve"> the CPOR Act</w:t>
      </w:r>
      <w:r>
        <w:t xml:space="preserve"> see Chapter 6 and Appendix 2</w:t>
      </w:r>
      <w:r w:rsidRPr="00963197">
        <w:t>.</w:t>
      </w:r>
    </w:p>
  </w:footnote>
  <w:footnote w:id="317">
    <w:p w14:paraId="3B310FD4" w14:textId="201034C1" w:rsidR="0042789D" w:rsidRPr="00325EB0" w:rsidRDefault="0042789D" w:rsidP="00BD6B6D">
      <w:pPr>
        <w:pStyle w:val="FootnoteText"/>
        <w:spacing w:before="60" w:after="60"/>
      </w:pPr>
      <w:r w:rsidRPr="00325EB0">
        <w:rPr>
          <w:rStyle w:val="FootnoteReference"/>
        </w:rPr>
        <w:footnoteRef/>
      </w:r>
      <w:r w:rsidRPr="00325EB0">
        <w:t xml:space="preserve"> </w:t>
      </w:r>
      <w:r>
        <w:t>Workforce Intelligence</w:t>
      </w:r>
      <w:r w:rsidRPr="00802C2E">
        <w:t xml:space="preserve"> Unit, </w:t>
      </w:r>
      <w:r>
        <w:t>Human Resources Command, NSW Police Force,</w:t>
      </w:r>
      <w:r w:rsidRPr="00802C2E">
        <w:t xml:space="preserve"> </w:t>
      </w:r>
      <w:r w:rsidRPr="00802C2E">
        <w:rPr>
          <w:i/>
        </w:rPr>
        <w:t>HR Analysis: Child Protection Register Staffing Review</w:t>
      </w:r>
      <w:r w:rsidRPr="00802C2E">
        <w:t xml:space="preserve">, 20 July 2017, D/2017/630614, </w:t>
      </w:r>
      <w:r>
        <w:t>NSW Police Force response</w:t>
      </w:r>
      <w:r w:rsidRPr="00802C2E">
        <w:t xml:space="preserve"> to item 1 of </w:t>
      </w:r>
      <w:r>
        <w:t>Law Enforcement Conduct Commission Notice</w:t>
      </w:r>
      <w:r w:rsidRPr="00802C2E">
        <w:t xml:space="preserve"> 929 of 2017</w:t>
      </w:r>
      <w:r w:rsidRPr="00325EB0">
        <w:t>, p 50.</w:t>
      </w:r>
    </w:p>
  </w:footnote>
  <w:footnote w:id="318">
    <w:p w14:paraId="64390856" w14:textId="21E7E81A" w:rsidR="0042789D" w:rsidRPr="00325EB0" w:rsidRDefault="0042789D" w:rsidP="00BD6B6D">
      <w:pPr>
        <w:pStyle w:val="FootnoteText"/>
        <w:spacing w:before="60" w:after="60"/>
      </w:pPr>
      <w:r w:rsidRPr="00325EB0">
        <w:rPr>
          <w:rStyle w:val="FootnoteReference"/>
        </w:rPr>
        <w:footnoteRef/>
      </w:r>
      <w:r w:rsidRPr="00325EB0">
        <w:t xml:space="preserve"> </w:t>
      </w:r>
      <w:r>
        <w:t xml:space="preserve">Ibid </w:t>
      </w:r>
      <w:r w:rsidRPr="00325EB0">
        <w:t>p 8.</w:t>
      </w:r>
    </w:p>
  </w:footnote>
  <w:footnote w:id="319">
    <w:p w14:paraId="66E60CB0" w14:textId="6A7B5BC8" w:rsidR="0042789D" w:rsidRPr="00325EB0" w:rsidRDefault="0042789D" w:rsidP="00AD4B13">
      <w:pPr>
        <w:pStyle w:val="FootnoteText"/>
        <w:spacing w:before="60" w:after="60"/>
      </w:pPr>
      <w:r w:rsidRPr="00325EB0">
        <w:rPr>
          <w:rStyle w:val="FootnoteReference"/>
        </w:rPr>
        <w:footnoteRef/>
      </w:r>
      <w:r w:rsidRPr="00325EB0">
        <w:t xml:space="preserve"> </w:t>
      </w:r>
      <w:r>
        <w:t>Ibid p</w:t>
      </w:r>
      <w:r w:rsidRPr="00325EB0">
        <w:t xml:space="preserve"> 83</w:t>
      </w:r>
      <w:r>
        <w:t>.</w:t>
      </w:r>
    </w:p>
  </w:footnote>
  <w:footnote w:id="320">
    <w:p w14:paraId="2281BADE" w14:textId="17B0D5BE" w:rsidR="0042789D" w:rsidRPr="00325EB0" w:rsidRDefault="0042789D" w:rsidP="00AD4B13">
      <w:pPr>
        <w:pStyle w:val="FootnoteText"/>
        <w:spacing w:before="60" w:after="60"/>
      </w:pPr>
      <w:r w:rsidRPr="00325EB0">
        <w:rPr>
          <w:rStyle w:val="FootnoteReference"/>
        </w:rPr>
        <w:footnoteRef/>
      </w:r>
      <w:r w:rsidRPr="00325EB0">
        <w:t xml:space="preserve"> </w:t>
      </w:r>
      <w:r w:rsidRPr="0067275C">
        <w:rPr>
          <w:i/>
        </w:rPr>
        <w:t>Business Risk Committee – Child Protection Register</w:t>
      </w:r>
      <w:r w:rsidRPr="0067275C">
        <w:t xml:space="preserve">, 12 April 2016, </w:t>
      </w:r>
      <w:r>
        <w:t>NSW Police Force</w:t>
      </w:r>
      <w:r w:rsidRPr="0067275C">
        <w:t xml:space="preserve"> response to item 11 of </w:t>
      </w:r>
      <w:r>
        <w:t>Law Enforcement Conduct Commission</w:t>
      </w:r>
      <w:r w:rsidRPr="0067275C">
        <w:t xml:space="preserve"> Notice 929 of 2017.</w:t>
      </w:r>
    </w:p>
  </w:footnote>
  <w:footnote w:id="321">
    <w:p w14:paraId="674CB4DB" w14:textId="2AE2B493" w:rsidR="0042789D" w:rsidRPr="00325EB0" w:rsidRDefault="0042789D" w:rsidP="00AD4B13">
      <w:pPr>
        <w:spacing w:before="60" w:after="60" w:line="240" w:lineRule="auto"/>
        <w:rPr>
          <w:rFonts w:ascii="Gotham Book" w:hAnsi="Gotham Book"/>
          <w:sz w:val="20"/>
          <w:szCs w:val="20"/>
        </w:rPr>
      </w:pPr>
      <w:r w:rsidRPr="00325EB0">
        <w:rPr>
          <w:rStyle w:val="FootnoteReference"/>
          <w:rFonts w:ascii="Gotham Book" w:hAnsi="Gotham Book"/>
          <w:sz w:val="20"/>
          <w:szCs w:val="20"/>
        </w:rPr>
        <w:footnoteRef/>
      </w:r>
      <w:r w:rsidRPr="00325EB0">
        <w:rPr>
          <w:rFonts w:ascii="Gotham Book" w:hAnsi="Gotham Book"/>
          <w:sz w:val="20"/>
          <w:szCs w:val="20"/>
        </w:rPr>
        <w:t xml:space="preserve"> </w:t>
      </w:r>
      <w:r w:rsidRPr="00325EB0">
        <w:rPr>
          <w:rFonts w:ascii="Gotham Book" w:hAnsi="Gotham Book"/>
          <w:i/>
          <w:sz w:val="20"/>
          <w:szCs w:val="20"/>
        </w:rPr>
        <w:t>Staffing Submission: Child Protection Registry</w:t>
      </w:r>
      <w:r w:rsidRPr="00325EB0">
        <w:rPr>
          <w:rFonts w:ascii="Gotham Book" w:hAnsi="Gotham Book"/>
          <w:sz w:val="20"/>
          <w:szCs w:val="20"/>
        </w:rPr>
        <w:t>, p 17, attachment to Child Protection Registry,</w:t>
      </w:r>
      <w:r>
        <w:rPr>
          <w:rFonts w:ascii="Gotham Book" w:hAnsi="Gotham Book"/>
          <w:sz w:val="20"/>
          <w:szCs w:val="20"/>
        </w:rPr>
        <w:t xml:space="preserve"> NSW Police Force,</w:t>
      </w:r>
      <w:r w:rsidRPr="00325EB0">
        <w:rPr>
          <w:rFonts w:ascii="Gotham Book" w:hAnsi="Gotham Book"/>
          <w:sz w:val="20"/>
          <w:szCs w:val="20"/>
        </w:rPr>
        <w:t xml:space="preserve"> </w:t>
      </w:r>
      <w:r w:rsidRPr="00325EB0">
        <w:rPr>
          <w:rFonts w:ascii="Gotham Book" w:hAnsi="Gotham Book"/>
          <w:i/>
          <w:sz w:val="20"/>
          <w:szCs w:val="20"/>
        </w:rPr>
        <w:t>Submission of staffing report requesting five (5) additional sworn positions</w:t>
      </w:r>
      <w:r>
        <w:rPr>
          <w:rFonts w:ascii="Gotham Book" w:hAnsi="Gotham Book"/>
          <w:i/>
          <w:sz w:val="20"/>
          <w:szCs w:val="20"/>
        </w:rPr>
        <w:t xml:space="preserve"> ...</w:t>
      </w:r>
      <w:r w:rsidRPr="00325EB0">
        <w:rPr>
          <w:rFonts w:ascii="Gotham Book" w:hAnsi="Gotham Book"/>
          <w:sz w:val="20"/>
          <w:szCs w:val="20"/>
        </w:rPr>
        <w:t xml:space="preserve">, 16 June 2015, D/2015/294868, </w:t>
      </w:r>
      <w:r>
        <w:rPr>
          <w:rFonts w:ascii="Gotham Book" w:hAnsi="Gotham Book"/>
          <w:sz w:val="20"/>
          <w:szCs w:val="20"/>
        </w:rPr>
        <w:t>NSW Police Force response</w:t>
      </w:r>
      <w:r w:rsidRPr="00325EB0">
        <w:rPr>
          <w:rFonts w:ascii="Gotham Book" w:hAnsi="Gotham Book"/>
          <w:sz w:val="20"/>
          <w:szCs w:val="20"/>
        </w:rPr>
        <w:t xml:space="preserve"> to</w:t>
      </w:r>
      <w:r>
        <w:rPr>
          <w:rFonts w:ascii="Gotham Book" w:hAnsi="Gotham Book"/>
          <w:sz w:val="20"/>
          <w:szCs w:val="20"/>
        </w:rPr>
        <w:t xml:space="preserve"> item 2 of</w:t>
      </w:r>
      <w:r w:rsidRPr="00325EB0">
        <w:rPr>
          <w:rFonts w:ascii="Gotham Book" w:hAnsi="Gotham Book"/>
          <w:sz w:val="20"/>
          <w:szCs w:val="20"/>
        </w:rPr>
        <w:t xml:space="preserve"> </w:t>
      </w:r>
      <w:r>
        <w:rPr>
          <w:rFonts w:ascii="Gotham Book" w:hAnsi="Gotham Book"/>
          <w:sz w:val="20"/>
          <w:szCs w:val="20"/>
        </w:rPr>
        <w:t>Law Enforcement Conduct Commission Notice</w:t>
      </w:r>
      <w:r w:rsidRPr="00325EB0">
        <w:rPr>
          <w:rFonts w:ascii="Gotham Book" w:hAnsi="Gotham Book"/>
          <w:sz w:val="20"/>
          <w:szCs w:val="20"/>
        </w:rPr>
        <w:t xml:space="preserve"> 914 of 2017.</w:t>
      </w:r>
    </w:p>
  </w:footnote>
  <w:footnote w:id="322">
    <w:p w14:paraId="04C316E5" w14:textId="449757F6" w:rsidR="0042789D" w:rsidRPr="00325EB0" w:rsidRDefault="0042789D" w:rsidP="00325EB0">
      <w:pPr>
        <w:pStyle w:val="FootnoteText"/>
        <w:spacing w:before="60" w:after="60"/>
      </w:pPr>
      <w:r w:rsidRPr="00325EB0">
        <w:rPr>
          <w:rStyle w:val="FootnoteReference"/>
        </w:rPr>
        <w:footnoteRef/>
      </w:r>
      <w:r w:rsidRPr="00325EB0">
        <w:t xml:space="preserve"> </w:t>
      </w:r>
      <w:r w:rsidRPr="00325EB0">
        <w:rPr>
          <w:i/>
        </w:rPr>
        <w:t>Crimes (Forensic Procedures) Act 2000</w:t>
      </w:r>
      <w:r>
        <w:t xml:space="preserve"> (NSW) p</w:t>
      </w:r>
      <w:r w:rsidRPr="00325EB0">
        <w:t xml:space="preserve">t 7B. </w:t>
      </w:r>
    </w:p>
  </w:footnote>
  <w:footnote w:id="323">
    <w:p w14:paraId="4B5200CB" w14:textId="78AF885A" w:rsidR="0042789D" w:rsidRPr="00325EB0" w:rsidRDefault="0042789D" w:rsidP="00325EB0">
      <w:pPr>
        <w:pStyle w:val="FootnoteText"/>
        <w:spacing w:before="60" w:after="60"/>
      </w:pPr>
      <w:r w:rsidRPr="00325EB0">
        <w:rPr>
          <w:rStyle w:val="FootnoteReference"/>
        </w:rPr>
        <w:footnoteRef/>
      </w:r>
      <w:r w:rsidRPr="00325EB0">
        <w:t xml:space="preserve"> </w:t>
      </w:r>
      <w:r w:rsidRPr="004A1378">
        <w:t xml:space="preserve">NSW Police Force, </w:t>
      </w:r>
      <w:r w:rsidRPr="004A1378">
        <w:rPr>
          <w:i/>
        </w:rPr>
        <w:t xml:space="preserve">Child Protection Register Standard Operating Procedures, </w:t>
      </w:r>
      <w:r w:rsidRPr="004A1378">
        <w:t xml:space="preserve">2016, </w:t>
      </w:r>
      <w:r>
        <w:t>NSW Police Force response</w:t>
      </w:r>
      <w:r w:rsidRPr="004A1378">
        <w:t xml:space="preserve"> to item 7 of </w:t>
      </w:r>
      <w:r>
        <w:t>Law Enforcement Conduct Commission Notice</w:t>
      </w:r>
      <w:r w:rsidRPr="004A1378">
        <w:t xml:space="preserve"> 929 of 2017, p 37.</w:t>
      </w:r>
    </w:p>
  </w:footnote>
  <w:footnote w:id="324">
    <w:p w14:paraId="23F54F07" w14:textId="30D53B4E" w:rsidR="0042789D" w:rsidRPr="00325EB0" w:rsidRDefault="0042789D" w:rsidP="00325EB0">
      <w:pPr>
        <w:spacing w:before="60" w:after="60" w:line="240" w:lineRule="auto"/>
        <w:rPr>
          <w:rFonts w:ascii="Gotham Book" w:hAnsi="Gotham Book"/>
          <w:sz w:val="20"/>
          <w:szCs w:val="20"/>
        </w:rPr>
      </w:pPr>
      <w:r w:rsidRPr="00325EB0">
        <w:rPr>
          <w:rStyle w:val="FootnoteReference"/>
          <w:rFonts w:ascii="Gotham Book" w:hAnsi="Gotham Book"/>
          <w:sz w:val="20"/>
          <w:szCs w:val="20"/>
        </w:rPr>
        <w:footnoteRef/>
      </w:r>
      <w:r w:rsidRPr="00325EB0">
        <w:rPr>
          <w:rFonts w:ascii="Gotham Book" w:hAnsi="Gotham Book"/>
          <w:sz w:val="20"/>
          <w:szCs w:val="20"/>
        </w:rPr>
        <w:t xml:space="preserve"> State Intelligence Command, </w:t>
      </w:r>
      <w:r>
        <w:rPr>
          <w:rFonts w:ascii="Gotham Book" w:hAnsi="Gotham Book"/>
          <w:sz w:val="20"/>
          <w:szCs w:val="20"/>
        </w:rPr>
        <w:t xml:space="preserve">NSW Police Force, </w:t>
      </w:r>
      <w:r w:rsidRPr="00325EB0">
        <w:rPr>
          <w:rFonts w:ascii="Gotham Book" w:hAnsi="Gotham Book"/>
          <w:i/>
          <w:sz w:val="20"/>
          <w:szCs w:val="20"/>
        </w:rPr>
        <w:t>Child Protection Register Monthly Report</w:t>
      </w:r>
      <w:r w:rsidRPr="00325EB0">
        <w:rPr>
          <w:rFonts w:ascii="Gotham Book" w:hAnsi="Gotham Book"/>
          <w:sz w:val="20"/>
          <w:szCs w:val="20"/>
        </w:rPr>
        <w:t xml:space="preserve">, December 2018, </w:t>
      </w:r>
      <w:r>
        <w:rPr>
          <w:rFonts w:ascii="Gotham Book" w:hAnsi="Gotham Book"/>
          <w:sz w:val="20"/>
          <w:szCs w:val="20"/>
        </w:rPr>
        <w:t>NSW Police Force response</w:t>
      </w:r>
      <w:r w:rsidRPr="00325EB0">
        <w:rPr>
          <w:rFonts w:ascii="Gotham Book" w:hAnsi="Gotham Book"/>
          <w:sz w:val="20"/>
          <w:szCs w:val="20"/>
        </w:rPr>
        <w:t xml:space="preserve"> to item 3 of </w:t>
      </w:r>
      <w:r>
        <w:rPr>
          <w:rFonts w:ascii="Gotham Book" w:hAnsi="Gotham Book"/>
          <w:sz w:val="20"/>
          <w:szCs w:val="20"/>
        </w:rPr>
        <w:t>Law Enforcement Conduct Commission Notice</w:t>
      </w:r>
      <w:r w:rsidRPr="00325EB0">
        <w:rPr>
          <w:rFonts w:ascii="Gotham Book" w:hAnsi="Gotham Book"/>
          <w:sz w:val="20"/>
          <w:szCs w:val="20"/>
        </w:rPr>
        <w:t xml:space="preserve"> 988 of 2018, p 9.</w:t>
      </w:r>
    </w:p>
  </w:footnote>
  <w:footnote w:id="325">
    <w:p w14:paraId="14E58CDF" w14:textId="77777777" w:rsidR="0042789D" w:rsidRPr="00325EB0" w:rsidRDefault="0042789D" w:rsidP="00325EB0">
      <w:pPr>
        <w:pStyle w:val="FootnoteText"/>
        <w:spacing w:before="60" w:after="60"/>
      </w:pPr>
      <w:r w:rsidRPr="00325EB0">
        <w:rPr>
          <w:rStyle w:val="FootnoteReference"/>
        </w:rPr>
        <w:footnoteRef/>
      </w:r>
      <w:r w:rsidRPr="00325EB0">
        <w:t xml:space="preserve"> </w:t>
      </w:r>
      <w:r w:rsidRPr="00325EB0">
        <w:rPr>
          <w:i/>
        </w:rPr>
        <w:t>Child Protection (Offenders Prohibition Orders) Act 2004</w:t>
      </w:r>
      <w:r w:rsidRPr="00325EB0">
        <w:t xml:space="preserve"> (NSW) s 8.</w:t>
      </w:r>
    </w:p>
  </w:footnote>
  <w:footnote w:id="326">
    <w:p w14:paraId="455A0BDF" w14:textId="60FB2A71" w:rsidR="0042789D" w:rsidRPr="00325EB0" w:rsidRDefault="0042789D" w:rsidP="00325EB0">
      <w:pPr>
        <w:pStyle w:val="FootnoteText"/>
        <w:spacing w:before="60" w:after="60"/>
      </w:pPr>
      <w:r w:rsidRPr="00325EB0">
        <w:rPr>
          <w:rStyle w:val="FootnoteReference"/>
        </w:rPr>
        <w:footnoteRef/>
      </w:r>
      <w:r w:rsidRPr="00325EB0">
        <w:t xml:space="preserve"> </w:t>
      </w:r>
      <w:r>
        <w:t>Workforce Intelligence</w:t>
      </w:r>
      <w:r w:rsidRPr="00802C2E">
        <w:t xml:space="preserve"> Unit, </w:t>
      </w:r>
      <w:r>
        <w:t>Human Resources Command, NSW Police Force,</w:t>
      </w:r>
      <w:r w:rsidRPr="00802C2E">
        <w:t xml:space="preserve"> </w:t>
      </w:r>
      <w:r w:rsidRPr="00802C2E">
        <w:rPr>
          <w:i/>
        </w:rPr>
        <w:t>HR Analysis: Child Protection Register Staffing Review</w:t>
      </w:r>
      <w:r w:rsidRPr="00802C2E">
        <w:t xml:space="preserve">, 20 July 2017, D/2017/630614, </w:t>
      </w:r>
      <w:r>
        <w:t>NSW Police Force response</w:t>
      </w:r>
      <w:r w:rsidRPr="00802C2E">
        <w:t xml:space="preserve"> to item 1 of </w:t>
      </w:r>
      <w:r>
        <w:t>Law Enforcement Conduct Commission Notice</w:t>
      </w:r>
      <w:r w:rsidRPr="00802C2E">
        <w:t xml:space="preserve"> 929 of 2017</w:t>
      </w:r>
      <w:r>
        <w:t>,</w:t>
      </w:r>
      <w:r w:rsidRPr="00325EB0">
        <w:t xml:space="preserve"> p 69.</w:t>
      </w:r>
    </w:p>
  </w:footnote>
  <w:footnote w:id="327">
    <w:p w14:paraId="2A864114" w14:textId="4BC3C908" w:rsidR="0042789D" w:rsidRPr="00325EB0" w:rsidRDefault="0042789D" w:rsidP="00325EB0">
      <w:pPr>
        <w:pStyle w:val="FootnoteText"/>
        <w:spacing w:before="60" w:after="60"/>
      </w:pPr>
      <w:r w:rsidRPr="00325EB0">
        <w:rPr>
          <w:rStyle w:val="FootnoteReference"/>
        </w:rPr>
        <w:footnoteRef/>
      </w:r>
      <w:r w:rsidRPr="00325EB0">
        <w:t xml:space="preserve"> </w:t>
      </w:r>
      <w:r w:rsidRPr="00A3099E">
        <w:t>Email from Child Protection Registry</w:t>
      </w:r>
      <w:r>
        <w:t>, NSW Police Force,</w:t>
      </w:r>
      <w:r w:rsidRPr="00A3099E">
        <w:t xml:space="preserve"> to </w:t>
      </w:r>
      <w:r>
        <w:t>Law Enforcement Conduct Commission</w:t>
      </w:r>
      <w:r w:rsidRPr="00A3099E">
        <w:t>, 19 June 2018</w:t>
      </w:r>
      <w:r>
        <w:t xml:space="preserve"> (t</w:t>
      </w:r>
      <w:r w:rsidRPr="00A3099E">
        <w:t>he number of persons subject to child protection prohibition orders was accurate as at 18 June 2018</w:t>
      </w:r>
      <w:r>
        <w:t>)</w:t>
      </w:r>
      <w:r w:rsidRPr="00A3099E">
        <w:t>.</w:t>
      </w:r>
    </w:p>
  </w:footnote>
  <w:footnote w:id="328">
    <w:p w14:paraId="7B7B78A6" w14:textId="050F93B7" w:rsidR="0042789D" w:rsidRPr="002A1022" w:rsidRDefault="0042789D" w:rsidP="00D63B3D">
      <w:pPr>
        <w:pStyle w:val="Footnote"/>
      </w:pPr>
      <w:r w:rsidRPr="00325EB0">
        <w:rPr>
          <w:rStyle w:val="FootnoteReference"/>
          <w:rFonts w:ascii="Gotham Book" w:hAnsi="Gotham Book"/>
          <w:szCs w:val="20"/>
        </w:rPr>
        <w:footnoteRef/>
      </w:r>
      <w:r>
        <w:t xml:space="preserve"> </w:t>
      </w:r>
      <w:r w:rsidRPr="00325EB0">
        <w:rPr>
          <w:i/>
        </w:rPr>
        <w:t>Staffing Submission: Child Protection Registry</w:t>
      </w:r>
      <w:r w:rsidRPr="00325EB0">
        <w:t xml:space="preserve">, p 10, attachment to </w:t>
      </w:r>
      <w:r>
        <w:t>Child Protection Registry</w:t>
      </w:r>
      <w:r w:rsidRPr="00325EB0">
        <w:t>,</w:t>
      </w:r>
      <w:r>
        <w:t xml:space="preserve"> NSW Police Force,</w:t>
      </w:r>
      <w:r w:rsidRPr="00325EB0">
        <w:t xml:space="preserve"> </w:t>
      </w:r>
      <w:r w:rsidRPr="00325EB0">
        <w:rPr>
          <w:i/>
        </w:rPr>
        <w:t>Submission</w:t>
      </w:r>
      <w:r>
        <w:rPr>
          <w:i/>
        </w:rPr>
        <w:t xml:space="preserve"> of staffing report requesting five</w:t>
      </w:r>
      <w:r w:rsidRPr="00325EB0">
        <w:rPr>
          <w:i/>
        </w:rPr>
        <w:t xml:space="preserve"> (5) additional sworn positions</w:t>
      </w:r>
      <w:r>
        <w:rPr>
          <w:i/>
        </w:rPr>
        <w:t xml:space="preserve"> …</w:t>
      </w:r>
      <w:r w:rsidRPr="00325EB0">
        <w:t xml:space="preserve">, 16 June 2015, D/2015/294868, </w:t>
      </w:r>
      <w:r>
        <w:t>NSW Police Force response</w:t>
      </w:r>
      <w:r w:rsidRPr="00325EB0">
        <w:t xml:space="preserve"> to </w:t>
      </w:r>
      <w:r>
        <w:t>item 2 of Law Enforcement Conduct Commission Notice</w:t>
      </w:r>
      <w:r w:rsidRPr="00325EB0">
        <w:t xml:space="preserve"> 914 of 2017.</w:t>
      </w:r>
    </w:p>
  </w:footnote>
  <w:footnote w:id="329">
    <w:p w14:paraId="4AD07715" w14:textId="77777777" w:rsidR="0042789D" w:rsidRPr="002A1022" w:rsidRDefault="0042789D" w:rsidP="00D63B3D">
      <w:pPr>
        <w:pStyle w:val="Footnote"/>
      </w:pPr>
      <w:r w:rsidRPr="002A1022">
        <w:rPr>
          <w:rStyle w:val="FootnoteReference"/>
        </w:rPr>
        <w:footnoteRef/>
      </w:r>
      <w:r w:rsidRPr="002A1022">
        <w:t xml:space="preserve"> </w:t>
      </w:r>
      <w:r w:rsidRPr="00F507B1">
        <w:t xml:space="preserve">New South Wales Ombudsman, </w:t>
      </w:r>
      <w:r w:rsidRPr="00F507B1">
        <w:rPr>
          <w:rFonts w:cs="Swiss721BT-Medium"/>
          <w:i/>
        </w:rPr>
        <w:t xml:space="preserve">Responding to Child Sexual Assault in Aboriginal Communities: A report under Part 6A of the </w:t>
      </w:r>
      <w:r w:rsidRPr="003B373C">
        <w:rPr>
          <w:rFonts w:cs="Swiss721BT-MediumItalic"/>
          <w:i/>
          <w:iCs/>
        </w:rPr>
        <w:t>Community</w:t>
      </w:r>
      <w:r w:rsidRPr="003B373C">
        <w:rPr>
          <w:i/>
        </w:rPr>
        <w:t xml:space="preserve"> </w:t>
      </w:r>
      <w:r w:rsidRPr="003B373C">
        <w:rPr>
          <w:rFonts w:cs="Swiss721BT-MediumItalic"/>
          <w:i/>
          <w:iCs/>
        </w:rPr>
        <w:t>Services (Complaints, Reviews and</w:t>
      </w:r>
      <w:r w:rsidRPr="003B373C">
        <w:rPr>
          <w:i/>
        </w:rPr>
        <w:t xml:space="preserve"> </w:t>
      </w:r>
      <w:r w:rsidRPr="003B373C">
        <w:rPr>
          <w:rFonts w:cs="Swiss721BT-MediumItalic"/>
          <w:i/>
          <w:iCs/>
        </w:rPr>
        <w:t>Monitoring) Act 1993</w:t>
      </w:r>
      <w:r w:rsidRPr="00F507B1">
        <w:rPr>
          <w:rFonts w:cs="Swiss721BT-MediumItalic"/>
          <w:iCs/>
        </w:rPr>
        <w:t xml:space="preserve"> (2012)</w:t>
      </w:r>
      <w:r w:rsidRPr="00F507B1">
        <w:rPr>
          <w:rFonts w:cs="Swiss721BT-MediumItalic"/>
          <w:i/>
          <w:iCs/>
        </w:rPr>
        <w:t xml:space="preserve"> </w:t>
      </w:r>
      <w:r w:rsidRPr="00F507B1">
        <w:rPr>
          <w:rFonts w:cs="Swiss721BT-MediumItalic"/>
          <w:iCs/>
        </w:rPr>
        <w:t>p 234.</w:t>
      </w:r>
    </w:p>
  </w:footnote>
  <w:footnote w:id="330">
    <w:p w14:paraId="3A75475B" w14:textId="1564DC8E" w:rsidR="0042789D" w:rsidRPr="002A1022" w:rsidRDefault="0042789D" w:rsidP="00D63B3D">
      <w:pPr>
        <w:pStyle w:val="Footnote"/>
      </w:pPr>
      <w:r w:rsidRPr="002A1022">
        <w:rPr>
          <w:rStyle w:val="FootnoteReference"/>
          <w:rFonts w:ascii="Gotham Book" w:hAnsi="Gotham Book"/>
          <w:szCs w:val="20"/>
        </w:rPr>
        <w:footnoteRef/>
      </w:r>
      <w:r>
        <w:t xml:space="preserve"> NSW Police Force,</w:t>
      </w:r>
      <w:r w:rsidRPr="002A1022">
        <w:t xml:space="preserve"> </w:t>
      </w:r>
      <w:r w:rsidRPr="002A1022">
        <w:rPr>
          <w:i/>
        </w:rPr>
        <w:t xml:space="preserve">Child Protection Register Standard Operating Procedures, </w:t>
      </w:r>
      <w:r w:rsidRPr="002A1022">
        <w:t xml:space="preserve">2016, </w:t>
      </w:r>
      <w:r>
        <w:t>NSW Police Force response</w:t>
      </w:r>
      <w:r w:rsidRPr="002A1022">
        <w:t xml:space="preserve"> to item 7 of </w:t>
      </w:r>
      <w:r>
        <w:t>Law Enforcement Conduct Commission Notice</w:t>
      </w:r>
      <w:r w:rsidRPr="002A1022">
        <w:t xml:space="preserve"> 929 of 2017, p 46.</w:t>
      </w:r>
    </w:p>
  </w:footnote>
  <w:footnote w:id="331">
    <w:p w14:paraId="403F4906" w14:textId="69EF8F58" w:rsidR="0042789D" w:rsidRPr="002A1022" w:rsidRDefault="0042789D" w:rsidP="00D63B3D">
      <w:pPr>
        <w:pStyle w:val="Footnote"/>
      </w:pPr>
      <w:r w:rsidRPr="002A1022">
        <w:rPr>
          <w:rStyle w:val="FootnoteReference"/>
        </w:rPr>
        <w:footnoteRef/>
      </w:r>
      <w:r w:rsidRPr="002A1022">
        <w:t xml:space="preserve"> </w:t>
      </w:r>
      <w:r w:rsidRPr="002A1022">
        <w:rPr>
          <w:i/>
        </w:rPr>
        <w:t>Business Risk Committee – Child Protection Register</w:t>
      </w:r>
      <w:r w:rsidRPr="002A1022">
        <w:t xml:space="preserve">, 12 April 2016, </w:t>
      </w:r>
      <w:r>
        <w:t>NSW Police Force response</w:t>
      </w:r>
      <w:r w:rsidRPr="002A1022">
        <w:t xml:space="preserve"> to item 11 of </w:t>
      </w:r>
      <w:r>
        <w:t>Law Enforcement Conduct Commission Notice 929 of 2017</w:t>
      </w:r>
      <w:r w:rsidRPr="002A1022">
        <w:t>.</w:t>
      </w:r>
    </w:p>
  </w:footnote>
  <w:footnote w:id="332">
    <w:p w14:paraId="56E13249" w14:textId="55C94CF8" w:rsidR="0042789D" w:rsidRPr="002A1022" w:rsidRDefault="0042789D" w:rsidP="00D63B3D">
      <w:pPr>
        <w:pStyle w:val="Footnote"/>
      </w:pPr>
      <w:r w:rsidRPr="002A1022">
        <w:rPr>
          <w:rStyle w:val="FootnoteReference"/>
        </w:rPr>
        <w:footnoteRef/>
      </w:r>
      <w:r w:rsidRPr="002A1022">
        <w:t xml:space="preserve"> </w:t>
      </w:r>
      <w:r w:rsidRPr="00DF0F2D">
        <w:t xml:space="preserve">Email from </w:t>
      </w:r>
      <w:r>
        <w:t xml:space="preserve">Sex Crimes Squad, NSW Police Force, </w:t>
      </w:r>
      <w:r w:rsidRPr="004F118D">
        <w:rPr>
          <w:i/>
        </w:rPr>
        <w:t>Subject: Fw: Business risk report – Sex Crimes December 2016</w:t>
      </w:r>
      <w:r>
        <w:t>, 5 December 2016</w:t>
      </w:r>
      <w:r w:rsidRPr="00DF0F2D">
        <w:t xml:space="preserve">, </w:t>
      </w:r>
      <w:r>
        <w:t>NSW Police Force response</w:t>
      </w:r>
      <w:r w:rsidRPr="00DF0F2D">
        <w:t xml:space="preserve"> to item 19 of </w:t>
      </w:r>
      <w:r>
        <w:t>Law Enforcement Conduct Commission Notice</w:t>
      </w:r>
      <w:r w:rsidRPr="00DF0F2D">
        <w:t xml:space="preserve"> 929 of 2017; Workforce Intelligence Unit, Human Resources Command, </w:t>
      </w:r>
      <w:r>
        <w:t>NSW Police Force</w:t>
      </w:r>
      <w:r w:rsidRPr="00DF0F2D">
        <w:t xml:space="preserve">, </w:t>
      </w:r>
      <w:r w:rsidRPr="00DF0F2D">
        <w:rPr>
          <w:i/>
        </w:rPr>
        <w:t>HR Analysis: Child Protection Register Staffing Review</w:t>
      </w:r>
      <w:r w:rsidRPr="00DF0F2D">
        <w:t xml:space="preserve">, 20 July 2017, D/2017/630614, </w:t>
      </w:r>
      <w:r>
        <w:t>NSW Police Force response</w:t>
      </w:r>
      <w:r w:rsidRPr="00DF0F2D">
        <w:t xml:space="preserve"> to item 1 of </w:t>
      </w:r>
      <w:r>
        <w:t>Law Enforcement Conduct Commission Notice</w:t>
      </w:r>
      <w:r w:rsidRPr="00DF0F2D">
        <w:t xml:space="preserve"> 929 of 2017, p 7.</w:t>
      </w:r>
    </w:p>
  </w:footnote>
  <w:footnote w:id="333">
    <w:p w14:paraId="185302D3" w14:textId="17520A57" w:rsidR="0042789D" w:rsidRPr="002A1022" w:rsidRDefault="0042789D" w:rsidP="00B6472A">
      <w:pPr>
        <w:pStyle w:val="Footnote"/>
      </w:pPr>
      <w:r w:rsidRPr="002A1022">
        <w:rPr>
          <w:rStyle w:val="FootnoteReference"/>
        </w:rPr>
        <w:footnoteRef/>
      </w:r>
      <w:r w:rsidRPr="002A1022">
        <w:t xml:space="preserve"> </w:t>
      </w:r>
      <w:r w:rsidRPr="00A81BEB">
        <w:t xml:space="preserve">Governance, Risk &amp; Compliance, </w:t>
      </w:r>
      <w:r>
        <w:t>NSW Police Force</w:t>
      </w:r>
      <w:r w:rsidRPr="00A81BEB">
        <w:t xml:space="preserve">, </w:t>
      </w:r>
      <w:r w:rsidRPr="00A81BEB">
        <w:rPr>
          <w:i/>
        </w:rPr>
        <w:t>Child Protection Register – Governance and Accountability Arrangements for the NSW Police Force</w:t>
      </w:r>
      <w:r w:rsidRPr="00A81BEB">
        <w:t xml:space="preserve">, 12 December 2018, D/2018/1013232, </w:t>
      </w:r>
      <w:r>
        <w:t>NSW Police Force response</w:t>
      </w:r>
      <w:r w:rsidRPr="00A81BEB">
        <w:t xml:space="preserve"> to </w:t>
      </w:r>
      <w:r>
        <w:t>Law Enforcement Conduct Commission Notice</w:t>
      </w:r>
      <w:r w:rsidRPr="00A81BEB">
        <w:t xml:space="preserve"> 978 of 2018, p 8.</w:t>
      </w:r>
    </w:p>
  </w:footnote>
  <w:footnote w:id="334">
    <w:p w14:paraId="5050D871" w14:textId="01CF1A91" w:rsidR="0042789D" w:rsidRPr="002F2E13" w:rsidRDefault="0042789D" w:rsidP="00B6472A">
      <w:pPr>
        <w:pStyle w:val="FootnoteText"/>
        <w:spacing w:before="60" w:after="60"/>
      </w:pPr>
      <w:r w:rsidRPr="002F2E13">
        <w:rPr>
          <w:rStyle w:val="FootnoteReference"/>
        </w:rPr>
        <w:footnoteRef/>
      </w:r>
      <w:r>
        <w:t xml:space="preserve"> New South Wales</w:t>
      </w:r>
      <w:r w:rsidRPr="002F2E13">
        <w:t xml:space="preserve"> Ombudsman, </w:t>
      </w:r>
      <w:r w:rsidRPr="002F2E13">
        <w:rPr>
          <w:i/>
        </w:rPr>
        <w:t>Review of the Child Prot</w:t>
      </w:r>
      <w:r>
        <w:rPr>
          <w:i/>
        </w:rPr>
        <w:t>ection Register: Report under s </w:t>
      </w:r>
      <w:r w:rsidRPr="002F2E13">
        <w:rPr>
          <w:i/>
        </w:rPr>
        <w:t>25(1) of the</w:t>
      </w:r>
      <w:r w:rsidRPr="002F2E13">
        <w:t xml:space="preserve"> </w:t>
      </w:r>
      <w:r w:rsidRPr="003B373C">
        <w:rPr>
          <w:i/>
        </w:rPr>
        <w:t>Child Protection (Offenders Registration) Act 2000</w:t>
      </w:r>
      <w:r w:rsidRPr="002F2E13">
        <w:t xml:space="preserve"> (2005), pp 73-74, 111-112, 168-169.</w:t>
      </w:r>
    </w:p>
  </w:footnote>
  <w:footnote w:id="335">
    <w:p w14:paraId="49938620" w14:textId="1EBBDDDA" w:rsidR="0042789D" w:rsidRPr="002F2E13" w:rsidRDefault="0042789D" w:rsidP="00B6472A">
      <w:pPr>
        <w:spacing w:before="60" w:after="60" w:line="240" w:lineRule="auto"/>
        <w:rPr>
          <w:sz w:val="20"/>
        </w:rPr>
      </w:pPr>
      <w:r w:rsidRPr="002F2E13">
        <w:rPr>
          <w:rStyle w:val="FootnoteReference"/>
          <w:sz w:val="20"/>
        </w:rPr>
        <w:footnoteRef/>
      </w:r>
      <w:r w:rsidRPr="002F2E13">
        <w:rPr>
          <w:sz w:val="20"/>
        </w:rPr>
        <w:t xml:space="preserve"> </w:t>
      </w:r>
      <w:r>
        <w:rPr>
          <w:sz w:val="20"/>
        </w:rPr>
        <w:t>Workforce Intelligence</w:t>
      </w:r>
      <w:r w:rsidRPr="00802C2E">
        <w:rPr>
          <w:sz w:val="20"/>
        </w:rPr>
        <w:t xml:space="preserve"> Unit, </w:t>
      </w:r>
      <w:r>
        <w:rPr>
          <w:sz w:val="20"/>
        </w:rPr>
        <w:t>Human Resources Command, NSW Police Force,</w:t>
      </w:r>
      <w:r w:rsidRPr="00802C2E">
        <w:rPr>
          <w:sz w:val="20"/>
        </w:rPr>
        <w:t xml:space="preserve"> </w:t>
      </w:r>
      <w:r w:rsidRPr="00802C2E">
        <w:rPr>
          <w:i/>
          <w:sz w:val="20"/>
        </w:rPr>
        <w:t>HR Analysis: Child Protection Register Staffing Review</w:t>
      </w:r>
      <w:r w:rsidRPr="00802C2E">
        <w:rPr>
          <w:sz w:val="20"/>
        </w:rPr>
        <w:t xml:space="preserve">, 20 July 2017, D/2017/630614, </w:t>
      </w:r>
      <w:r>
        <w:rPr>
          <w:sz w:val="20"/>
        </w:rPr>
        <w:t>NSW Police Force response</w:t>
      </w:r>
      <w:r w:rsidRPr="00802C2E">
        <w:rPr>
          <w:sz w:val="20"/>
        </w:rPr>
        <w:t xml:space="preserve"> to item 1 of </w:t>
      </w:r>
      <w:r>
        <w:rPr>
          <w:sz w:val="20"/>
        </w:rPr>
        <w:t>Law Enforcement Conduct Commission Notice</w:t>
      </w:r>
      <w:r w:rsidRPr="00802C2E">
        <w:rPr>
          <w:sz w:val="20"/>
        </w:rPr>
        <w:t xml:space="preserve"> 929 of 2017</w:t>
      </w:r>
      <w:r w:rsidRPr="002F2E13">
        <w:rPr>
          <w:sz w:val="20"/>
        </w:rPr>
        <w:t>, p 75.</w:t>
      </w:r>
    </w:p>
  </w:footnote>
  <w:footnote w:id="336">
    <w:p w14:paraId="3B8D62FA" w14:textId="11223E54" w:rsidR="0042789D" w:rsidRPr="002F2E13" w:rsidRDefault="0042789D" w:rsidP="00B6472A">
      <w:pPr>
        <w:spacing w:before="60" w:after="60" w:line="240" w:lineRule="auto"/>
        <w:rPr>
          <w:sz w:val="20"/>
        </w:rPr>
      </w:pPr>
      <w:r w:rsidRPr="002F2E13">
        <w:rPr>
          <w:rStyle w:val="FootnoteReference"/>
          <w:sz w:val="20"/>
        </w:rPr>
        <w:footnoteRef/>
      </w:r>
      <w:r w:rsidRPr="002F2E13">
        <w:rPr>
          <w:sz w:val="20"/>
        </w:rPr>
        <w:t xml:space="preserve"> </w:t>
      </w:r>
      <w:r>
        <w:rPr>
          <w:sz w:val="20"/>
        </w:rPr>
        <w:t xml:space="preserve">Ibid </w:t>
      </w:r>
      <w:r w:rsidRPr="002F2E13">
        <w:rPr>
          <w:sz w:val="20"/>
        </w:rPr>
        <w:t>pp 75-76.</w:t>
      </w:r>
    </w:p>
  </w:footnote>
  <w:footnote w:id="337">
    <w:p w14:paraId="3A1AD322" w14:textId="208A08D0" w:rsidR="0042789D" w:rsidRPr="002F2E13" w:rsidRDefault="0042789D" w:rsidP="00B6472A">
      <w:pPr>
        <w:spacing w:before="60" w:after="60" w:line="240" w:lineRule="auto"/>
        <w:rPr>
          <w:sz w:val="20"/>
        </w:rPr>
      </w:pPr>
      <w:r w:rsidRPr="002F2E13">
        <w:rPr>
          <w:rStyle w:val="FootnoteReference"/>
          <w:sz w:val="20"/>
        </w:rPr>
        <w:footnoteRef/>
      </w:r>
      <w:r w:rsidRPr="002F2E13">
        <w:rPr>
          <w:sz w:val="20"/>
        </w:rPr>
        <w:t xml:space="preserve"> </w:t>
      </w:r>
      <w:r>
        <w:rPr>
          <w:sz w:val="20"/>
        </w:rPr>
        <w:t xml:space="preserve">Ibid </w:t>
      </w:r>
      <w:r w:rsidRPr="002F2E13">
        <w:rPr>
          <w:sz w:val="20"/>
        </w:rPr>
        <w:t>p 51.</w:t>
      </w:r>
    </w:p>
  </w:footnote>
  <w:footnote w:id="338">
    <w:p w14:paraId="32228FAD" w14:textId="5CF29632" w:rsidR="0042789D" w:rsidRPr="002F2E13" w:rsidRDefault="0042789D" w:rsidP="00A04B94">
      <w:pPr>
        <w:spacing w:before="60" w:after="60" w:line="240" w:lineRule="auto"/>
        <w:rPr>
          <w:sz w:val="20"/>
        </w:rPr>
      </w:pPr>
      <w:r w:rsidRPr="002F2E13">
        <w:rPr>
          <w:rStyle w:val="FootnoteReference"/>
          <w:sz w:val="20"/>
        </w:rPr>
        <w:footnoteRef/>
      </w:r>
      <w:r w:rsidRPr="002F2E13">
        <w:rPr>
          <w:sz w:val="20"/>
        </w:rPr>
        <w:t xml:space="preserve"> </w:t>
      </w:r>
      <w:r>
        <w:rPr>
          <w:sz w:val="20"/>
        </w:rPr>
        <w:t xml:space="preserve">Ibid </w:t>
      </w:r>
      <w:r w:rsidRPr="002F2E13">
        <w:rPr>
          <w:sz w:val="20"/>
        </w:rPr>
        <w:t>p 42.</w:t>
      </w:r>
    </w:p>
  </w:footnote>
  <w:footnote w:id="339">
    <w:p w14:paraId="06E9BC42" w14:textId="6F4A6B9E" w:rsidR="0042789D" w:rsidRPr="002F2E13" w:rsidRDefault="0042789D" w:rsidP="00A04B94">
      <w:pPr>
        <w:pStyle w:val="FootnoteText"/>
        <w:spacing w:before="60" w:after="60"/>
      </w:pPr>
      <w:r w:rsidRPr="002F2E13">
        <w:rPr>
          <w:rStyle w:val="FootnoteReference"/>
        </w:rPr>
        <w:footnoteRef/>
      </w:r>
      <w:r>
        <w:t xml:space="preserve"> </w:t>
      </w:r>
      <w:r w:rsidRPr="00D70273">
        <w:t xml:space="preserve">Child Protection Registry, </w:t>
      </w:r>
      <w:r>
        <w:t>NSW Police Force</w:t>
      </w:r>
      <w:r w:rsidRPr="00D70273">
        <w:t xml:space="preserve">, </w:t>
      </w:r>
      <w:r w:rsidRPr="00D70273">
        <w:rPr>
          <w:i/>
        </w:rPr>
        <w:t xml:space="preserve">Information regarding Staffing Submission for the Child Protection Registry, Sex Crimes Squad, </w:t>
      </w:r>
      <w:r w:rsidRPr="00D70273">
        <w:t xml:space="preserve">10 June 2016, D/2016/278015, </w:t>
      </w:r>
      <w:r>
        <w:t>NSW Police Force</w:t>
      </w:r>
      <w:r w:rsidRPr="00D70273">
        <w:t xml:space="preserve"> response to item 6 of </w:t>
      </w:r>
      <w:r>
        <w:t>Law Enforcement Conduct Commission</w:t>
      </w:r>
      <w:r w:rsidRPr="00D70273">
        <w:t xml:space="preserve"> Notice 914 of 2017, pp 2-3.</w:t>
      </w:r>
    </w:p>
  </w:footnote>
  <w:footnote w:id="340">
    <w:p w14:paraId="4FE7F0F0" w14:textId="0D55E6F1" w:rsidR="0042789D" w:rsidRPr="002F2E13" w:rsidRDefault="0042789D" w:rsidP="00A04B94">
      <w:pPr>
        <w:pStyle w:val="FootnoteText"/>
        <w:spacing w:before="60" w:after="60"/>
      </w:pPr>
      <w:r w:rsidRPr="002F2E13">
        <w:rPr>
          <w:rStyle w:val="FootnoteReference"/>
        </w:rPr>
        <w:footnoteRef/>
      </w:r>
      <w:r w:rsidRPr="002F2E13">
        <w:t xml:space="preserve"> </w:t>
      </w:r>
      <w:r w:rsidRPr="00FD27B3">
        <w:rPr>
          <w:i/>
        </w:rPr>
        <w:t>Business Risk Committee – August 2016</w:t>
      </w:r>
      <w:r w:rsidRPr="00FD27B3">
        <w:t xml:space="preserve">; </w:t>
      </w:r>
      <w:r w:rsidRPr="00FD27B3">
        <w:rPr>
          <w:i/>
        </w:rPr>
        <w:t>Business Risk Committee – September 2016</w:t>
      </w:r>
      <w:r w:rsidRPr="00FD27B3">
        <w:t xml:space="preserve">, and </w:t>
      </w:r>
      <w:r>
        <w:t xml:space="preserve">Sex Crimes Squad, NSW Police Force, </w:t>
      </w:r>
      <w:r w:rsidRPr="00FD27B3">
        <w:rPr>
          <w:i/>
        </w:rPr>
        <w:t xml:space="preserve">Business Risk Committee, </w:t>
      </w:r>
      <w:r w:rsidRPr="00FD27B3">
        <w:t xml:space="preserve">24 October 2017, </w:t>
      </w:r>
      <w:r>
        <w:t>NSW Police Force</w:t>
      </w:r>
      <w:r w:rsidRPr="00FD27B3">
        <w:t xml:space="preserve"> response to item 19 of </w:t>
      </w:r>
      <w:r>
        <w:t>Law Enforcement Conduct Commission</w:t>
      </w:r>
      <w:r w:rsidRPr="00FD27B3">
        <w:t xml:space="preserve"> Notice 929 of 2017.</w:t>
      </w:r>
    </w:p>
  </w:footnote>
  <w:footnote w:id="341">
    <w:p w14:paraId="10131389" w14:textId="38AD7A1A" w:rsidR="0042789D" w:rsidRPr="003E42E4" w:rsidRDefault="0042789D" w:rsidP="00A04B94">
      <w:pPr>
        <w:pStyle w:val="Footnote"/>
      </w:pPr>
      <w:r w:rsidRPr="002F2E13">
        <w:rPr>
          <w:rStyle w:val="FootnoteReference"/>
          <w:rFonts w:ascii="Gotham Book" w:hAnsi="Gotham Book"/>
          <w:szCs w:val="20"/>
        </w:rPr>
        <w:footnoteRef/>
      </w:r>
      <w:r w:rsidRPr="002F2E13">
        <w:t xml:space="preserve"> Sex Crimes Squad,</w:t>
      </w:r>
      <w:r>
        <w:t xml:space="preserve"> NSW Police Force,</w:t>
      </w:r>
      <w:r w:rsidRPr="002F2E13">
        <w:t xml:space="preserve"> </w:t>
      </w:r>
      <w:r w:rsidRPr="002F2E13">
        <w:rPr>
          <w:i/>
        </w:rPr>
        <w:t xml:space="preserve">Workload issues impacting upon the Child Protection Register (CPR), Sex Crimes Squad, </w:t>
      </w:r>
      <w:r>
        <w:t>18 July 2017</w:t>
      </w:r>
      <w:r w:rsidRPr="002F2E13">
        <w:t xml:space="preserve">; Sex Crimes Squad, </w:t>
      </w:r>
      <w:r>
        <w:t xml:space="preserve">NSW Police Force, </w:t>
      </w:r>
      <w:r w:rsidRPr="002F2E13">
        <w:rPr>
          <w:i/>
        </w:rPr>
        <w:t xml:space="preserve">Workload issues impacting upon the Child Protection Register (CPR), Sex Crimes Squad, </w:t>
      </w:r>
      <w:r>
        <w:t>10 August 2017</w:t>
      </w:r>
      <w:r w:rsidRPr="002F2E13">
        <w:t>; Sex Crimes Squad,</w:t>
      </w:r>
      <w:r>
        <w:t xml:space="preserve"> NSW Police Force,</w:t>
      </w:r>
      <w:r w:rsidRPr="002F2E13">
        <w:t xml:space="preserve"> </w:t>
      </w:r>
      <w:r w:rsidRPr="002F2E13">
        <w:rPr>
          <w:i/>
        </w:rPr>
        <w:t>Workload issues impacting upon the Child Protection</w:t>
      </w:r>
      <w:r w:rsidRPr="003E42E4">
        <w:rPr>
          <w:i/>
        </w:rPr>
        <w:t xml:space="preserve"> Register (CPR), Sex Crimes Squad, </w:t>
      </w:r>
      <w:r>
        <w:t xml:space="preserve">12 September 2017, and </w:t>
      </w:r>
      <w:r w:rsidRPr="003E42E4">
        <w:t>Sex Crimes Squad,</w:t>
      </w:r>
      <w:r>
        <w:t xml:space="preserve"> NSW Police Force,</w:t>
      </w:r>
      <w:r w:rsidRPr="003E42E4">
        <w:t xml:space="preserve"> </w:t>
      </w:r>
      <w:r w:rsidRPr="003E42E4">
        <w:rPr>
          <w:i/>
        </w:rPr>
        <w:t xml:space="preserve">Workload issues impacting upon the Child Protection Register (CPR), Sex Crimes Squad, </w:t>
      </w:r>
      <w:r w:rsidRPr="003E42E4">
        <w:t xml:space="preserve">24 October 2017, </w:t>
      </w:r>
      <w:r>
        <w:t>all produced by the NSW Police Force in response</w:t>
      </w:r>
      <w:r w:rsidRPr="003E42E4">
        <w:t xml:space="preserve"> to item 19 of </w:t>
      </w:r>
      <w:r>
        <w:t>Law Enforcement Conduct Commission Notice</w:t>
      </w:r>
      <w:r w:rsidRPr="003E42E4">
        <w:t xml:space="preserve"> 929 of 2017.</w:t>
      </w:r>
    </w:p>
  </w:footnote>
  <w:footnote w:id="342">
    <w:p w14:paraId="46E13B45" w14:textId="0643C9E5" w:rsidR="0042789D" w:rsidRPr="003E42E4" w:rsidRDefault="0042789D" w:rsidP="00A04B94">
      <w:pPr>
        <w:pStyle w:val="Footnote"/>
      </w:pPr>
      <w:r w:rsidRPr="003E42E4">
        <w:rPr>
          <w:rStyle w:val="FootnoteReference"/>
        </w:rPr>
        <w:footnoteRef/>
      </w:r>
      <w:r w:rsidRPr="003E42E4">
        <w:t xml:space="preserve"> </w:t>
      </w:r>
      <w:r>
        <w:t>Workforce Intelligence</w:t>
      </w:r>
      <w:r w:rsidRPr="00802C2E">
        <w:t xml:space="preserve"> Unit, </w:t>
      </w:r>
      <w:r>
        <w:t>Human Resources Command, NSW Police Force,</w:t>
      </w:r>
      <w:r w:rsidRPr="00802C2E">
        <w:t xml:space="preserve"> </w:t>
      </w:r>
      <w:r w:rsidRPr="00802C2E">
        <w:rPr>
          <w:i/>
        </w:rPr>
        <w:t>HR Analysis: Child Protection Register Staffing Review</w:t>
      </w:r>
      <w:r w:rsidRPr="00802C2E">
        <w:t xml:space="preserve">, 20 July 2017, D/2017/630614, </w:t>
      </w:r>
      <w:r>
        <w:t>NSW Police Force response</w:t>
      </w:r>
      <w:r w:rsidRPr="00802C2E">
        <w:t xml:space="preserve"> to item 1 of </w:t>
      </w:r>
      <w:r>
        <w:t>Law Enforcement Conduct Commission Notice</w:t>
      </w:r>
      <w:r w:rsidRPr="00802C2E">
        <w:t xml:space="preserve"> 929 of 2017</w:t>
      </w:r>
      <w:r w:rsidRPr="003E42E4">
        <w:t>, p 35.</w:t>
      </w:r>
    </w:p>
  </w:footnote>
  <w:footnote w:id="343">
    <w:p w14:paraId="49ABB15D" w14:textId="2006FC79" w:rsidR="0042789D" w:rsidRPr="003E42E4" w:rsidRDefault="0042789D" w:rsidP="00A04B94">
      <w:pPr>
        <w:pStyle w:val="Footnote"/>
      </w:pPr>
      <w:r w:rsidRPr="003E42E4">
        <w:rPr>
          <w:rStyle w:val="FootnoteReference"/>
        </w:rPr>
        <w:footnoteRef/>
      </w:r>
      <w:r w:rsidRPr="003E42E4">
        <w:t xml:space="preserve"> </w:t>
      </w:r>
      <w:r>
        <w:t>Ibid</w:t>
      </w:r>
      <w:r w:rsidRPr="003E42E4">
        <w:t xml:space="preserve"> p 36.</w:t>
      </w:r>
    </w:p>
  </w:footnote>
  <w:footnote w:id="344">
    <w:p w14:paraId="5AC01AD2" w14:textId="7B5E9933" w:rsidR="0042789D" w:rsidRPr="003E42E4" w:rsidRDefault="0042789D" w:rsidP="002F2E13">
      <w:pPr>
        <w:pStyle w:val="Footnote"/>
      </w:pPr>
      <w:r w:rsidRPr="003E42E4">
        <w:rPr>
          <w:rStyle w:val="FootnoteReference"/>
        </w:rPr>
        <w:footnoteRef/>
      </w:r>
      <w:r w:rsidRPr="003E42E4">
        <w:t xml:space="preserve"> </w:t>
      </w:r>
      <w:r>
        <w:t>Ibid</w:t>
      </w:r>
      <w:r w:rsidRPr="003E42E4">
        <w:t xml:space="preserve"> p 35. </w:t>
      </w:r>
    </w:p>
  </w:footnote>
  <w:footnote w:id="345">
    <w:p w14:paraId="16D1C28F" w14:textId="49C475F4" w:rsidR="0042789D" w:rsidRPr="008055A9" w:rsidRDefault="0042789D" w:rsidP="002F2E13">
      <w:pPr>
        <w:pStyle w:val="Footnote"/>
      </w:pPr>
      <w:r w:rsidRPr="003E42E4">
        <w:rPr>
          <w:rStyle w:val="FootnoteReference"/>
          <w:rFonts w:ascii="Gotham Book" w:hAnsi="Gotham Book"/>
          <w:szCs w:val="20"/>
        </w:rPr>
        <w:footnoteRef/>
      </w:r>
      <w:r w:rsidRPr="003E42E4">
        <w:t xml:space="preserve"> </w:t>
      </w:r>
      <w:r>
        <w:t>Ibid</w:t>
      </w:r>
      <w:r w:rsidRPr="003E42E4">
        <w:t>.</w:t>
      </w:r>
    </w:p>
  </w:footnote>
  <w:footnote w:id="346">
    <w:p w14:paraId="0C2C3815" w14:textId="36EEDD6B" w:rsidR="0042789D" w:rsidRPr="007D29E8" w:rsidRDefault="0042789D" w:rsidP="002F2E13">
      <w:pPr>
        <w:pStyle w:val="Footnote"/>
      </w:pPr>
      <w:r w:rsidRPr="007D29E8">
        <w:rPr>
          <w:rStyle w:val="FootnoteReference"/>
        </w:rPr>
        <w:footnoteRef/>
      </w:r>
      <w:r>
        <w:t xml:space="preserve"> Ibid </w:t>
      </w:r>
      <w:r w:rsidRPr="007D29E8">
        <w:t>p 36.</w:t>
      </w:r>
    </w:p>
  </w:footnote>
  <w:footnote w:id="347">
    <w:p w14:paraId="177043FD" w14:textId="31EDC4E3" w:rsidR="0042789D" w:rsidRPr="007D29E8" w:rsidRDefault="0042789D" w:rsidP="002F2E13">
      <w:pPr>
        <w:pStyle w:val="Footnote"/>
      </w:pPr>
      <w:r w:rsidRPr="007D29E8">
        <w:rPr>
          <w:rStyle w:val="FootnoteReference"/>
        </w:rPr>
        <w:footnoteRef/>
      </w:r>
      <w:r>
        <w:t xml:space="preserve"> Ibid</w:t>
      </w:r>
      <w:r w:rsidRPr="007D29E8">
        <w:t>.</w:t>
      </w:r>
    </w:p>
  </w:footnote>
  <w:footnote w:id="348">
    <w:p w14:paraId="48ED09E4" w14:textId="54D47F0B" w:rsidR="0042789D" w:rsidRPr="00653560" w:rsidRDefault="0042789D" w:rsidP="002F2E13">
      <w:pPr>
        <w:pStyle w:val="FootnoteText"/>
      </w:pPr>
      <w:r w:rsidRPr="007D29E8">
        <w:rPr>
          <w:rStyle w:val="FootnoteReference"/>
        </w:rPr>
        <w:footnoteRef/>
      </w:r>
      <w:r w:rsidRPr="007D29E8">
        <w:t xml:space="preserve"> </w:t>
      </w:r>
      <w:r w:rsidRPr="007675E2">
        <w:t xml:space="preserve">Commonwealth, Royal Commission into Institutional Responses to Child Sexual Abuse, </w:t>
      </w:r>
      <w:r w:rsidRPr="00653560">
        <w:rPr>
          <w:i/>
        </w:rPr>
        <w:t>Final Report: Volume 1</w:t>
      </w:r>
      <w:r w:rsidRPr="00653560">
        <w:t xml:space="preserve">, </w:t>
      </w:r>
      <w:r w:rsidRPr="00653560">
        <w:rPr>
          <w:i/>
        </w:rPr>
        <w:t>Our Inquiry</w:t>
      </w:r>
      <w:r w:rsidRPr="00653560">
        <w:t xml:space="preserve"> (2017) p 57.</w:t>
      </w:r>
    </w:p>
  </w:footnote>
  <w:footnote w:id="349">
    <w:p w14:paraId="48A14685" w14:textId="740B119E" w:rsidR="0042789D" w:rsidRPr="007D29E8" w:rsidRDefault="0042789D" w:rsidP="002F2E13">
      <w:pPr>
        <w:pStyle w:val="FootnoteText"/>
      </w:pPr>
      <w:r w:rsidRPr="00653560">
        <w:rPr>
          <w:rStyle w:val="FootnoteReference"/>
        </w:rPr>
        <w:footnoteRef/>
      </w:r>
      <w:r>
        <w:t xml:space="preserve"> Ibid </w:t>
      </w:r>
      <w:r w:rsidRPr="00653560">
        <w:t>p 57 and Appendix G.</w:t>
      </w:r>
    </w:p>
  </w:footnote>
  <w:footnote w:id="350">
    <w:p w14:paraId="6E1B3C39" w14:textId="610F5235" w:rsidR="0042789D" w:rsidRPr="009A2F8F" w:rsidRDefault="0042789D" w:rsidP="002F2E13">
      <w:pPr>
        <w:pStyle w:val="FootnoteText"/>
      </w:pPr>
      <w:r w:rsidRPr="007D29E8">
        <w:rPr>
          <w:rStyle w:val="FootnoteReference"/>
        </w:rPr>
        <w:footnoteRef/>
      </w:r>
      <w:r w:rsidRPr="007D29E8">
        <w:t xml:space="preserve"> Workforce Intelligence Unit, Human Resources Command, </w:t>
      </w:r>
      <w:r>
        <w:t>NSW Police Force</w:t>
      </w:r>
      <w:r w:rsidRPr="007D29E8">
        <w:t xml:space="preserve">, </w:t>
      </w:r>
      <w:r w:rsidRPr="007D29E8">
        <w:rPr>
          <w:i/>
        </w:rPr>
        <w:t>HR Analysis: Child Protection Register Staffing Review</w:t>
      </w:r>
      <w:r w:rsidRPr="007D29E8">
        <w:t xml:space="preserve">, 20 July 2017, D/2017/630614, </w:t>
      </w:r>
      <w:r>
        <w:t>NSW Police Force response</w:t>
      </w:r>
      <w:r w:rsidRPr="007D29E8">
        <w:t xml:space="preserve"> to item 1 of </w:t>
      </w:r>
      <w:r>
        <w:t>Law Enforcement Conduct Commission Notice</w:t>
      </w:r>
      <w:r w:rsidRPr="007D29E8">
        <w:t xml:space="preserve"> 929 of 2017, p 37.</w:t>
      </w:r>
      <w:r w:rsidRPr="009A2F8F">
        <w:t xml:space="preserve"> </w:t>
      </w:r>
    </w:p>
  </w:footnote>
  <w:footnote w:id="351">
    <w:p w14:paraId="25E243BB" w14:textId="06CA3A41" w:rsidR="0042789D" w:rsidRPr="00AC6D2F" w:rsidRDefault="0042789D" w:rsidP="00AC6D2F">
      <w:pPr>
        <w:pStyle w:val="FootnoteText"/>
        <w:spacing w:before="60" w:after="60"/>
      </w:pPr>
      <w:r w:rsidRPr="00AC6D2F">
        <w:rPr>
          <w:rStyle w:val="FootnoteReference"/>
        </w:rPr>
        <w:footnoteRef/>
      </w:r>
      <w:r>
        <w:t xml:space="preserve"> Ibid</w:t>
      </w:r>
      <w:r w:rsidRPr="00AC6D2F">
        <w:t>.</w:t>
      </w:r>
    </w:p>
  </w:footnote>
  <w:footnote w:id="352">
    <w:p w14:paraId="1093900A" w14:textId="137F4C2D" w:rsidR="0042789D" w:rsidRPr="000834CA" w:rsidRDefault="0042789D" w:rsidP="00E74704">
      <w:pPr>
        <w:pStyle w:val="FootnoteText"/>
      </w:pPr>
      <w:r w:rsidRPr="000834CA">
        <w:rPr>
          <w:rStyle w:val="FootnoteReference"/>
        </w:rPr>
        <w:footnoteRef/>
      </w:r>
      <w:r w:rsidRPr="000834CA">
        <w:t xml:space="preserve"> </w:t>
      </w:r>
      <w:r>
        <w:t>Ibid</w:t>
      </w:r>
      <w:r w:rsidRPr="000834CA">
        <w:t>.</w:t>
      </w:r>
    </w:p>
  </w:footnote>
  <w:footnote w:id="353">
    <w:p w14:paraId="4DD58749" w14:textId="057D3B94" w:rsidR="0042789D" w:rsidRPr="00AC6D2F" w:rsidRDefault="0042789D" w:rsidP="00AC6D2F">
      <w:pPr>
        <w:spacing w:before="60" w:after="60" w:line="240" w:lineRule="auto"/>
        <w:rPr>
          <w:sz w:val="20"/>
          <w:szCs w:val="20"/>
        </w:rPr>
      </w:pPr>
      <w:r w:rsidRPr="00AC6D2F">
        <w:rPr>
          <w:rStyle w:val="FootnoteReference"/>
          <w:sz w:val="20"/>
          <w:szCs w:val="20"/>
        </w:rPr>
        <w:footnoteRef/>
      </w:r>
      <w:r w:rsidRPr="00AC6D2F">
        <w:rPr>
          <w:sz w:val="20"/>
          <w:szCs w:val="20"/>
        </w:rPr>
        <w:t xml:space="preserve"> </w:t>
      </w:r>
      <w:r>
        <w:rPr>
          <w:i/>
          <w:sz w:val="20"/>
          <w:szCs w:val="20"/>
        </w:rPr>
        <w:t>NSW Police Force r</w:t>
      </w:r>
      <w:r w:rsidRPr="00AC6D2F">
        <w:rPr>
          <w:i/>
          <w:sz w:val="20"/>
          <w:szCs w:val="20"/>
        </w:rPr>
        <w:t xml:space="preserve">esponse to the interim report of Operation Tusket, </w:t>
      </w:r>
      <w:r w:rsidRPr="00AC6D2F">
        <w:rPr>
          <w:sz w:val="20"/>
          <w:szCs w:val="20"/>
        </w:rPr>
        <w:t>23 October 2018,</w:t>
      </w:r>
      <w:r w:rsidRPr="00AC6D2F">
        <w:rPr>
          <w:i/>
          <w:sz w:val="20"/>
          <w:szCs w:val="20"/>
        </w:rPr>
        <w:t xml:space="preserve"> </w:t>
      </w:r>
      <w:r w:rsidRPr="00AC6D2F">
        <w:rPr>
          <w:sz w:val="20"/>
          <w:szCs w:val="20"/>
        </w:rPr>
        <w:t xml:space="preserve">F/2018/94374; D/2018/851613, p 4; Governance, Risk &amp; Compliance, </w:t>
      </w:r>
      <w:r>
        <w:rPr>
          <w:sz w:val="20"/>
          <w:szCs w:val="20"/>
        </w:rPr>
        <w:t>NSW Police Force</w:t>
      </w:r>
      <w:r w:rsidRPr="00AC6D2F">
        <w:rPr>
          <w:sz w:val="20"/>
          <w:szCs w:val="20"/>
        </w:rPr>
        <w:t xml:space="preserve">, </w:t>
      </w:r>
      <w:r w:rsidRPr="00AC6D2F">
        <w:rPr>
          <w:i/>
          <w:sz w:val="20"/>
          <w:szCs w:val="20"/>
        </w:rPr>
        <w:t>Child Protection Register – Governance and Accountability Arrangements for the NSW Police Force</w:t>
      </w:r>
      <w:r w:rsidRPr="00AC6D2F">
        <w:rPr>
          <w:sz w:val="20"/>
          <w:szCs w:val="20"/>
        </w:rPr>
        <w:t xml:space="preserve">, 12 December 2018, D/2018/1013232, </w:t>
      </w:r>
      <w:r>
        <w:rPr>
          <w:sz w:val="20"/>
          <w:szCs w:val="20"/>
        </w:rPr>
        <w:t>NSW Police Force response</w:t>
      </w:r>
      <w:r w:rsidRPr="00AC6D2F">
        <w:rPr>
          <w:sz w:val="20"/>
          <w:szCs w:val="20"/>
        </w:rPr>
        <w:t xml:space="preserve"> to </w:t>
      </w:r>
      <w:r>
        <w:rPr>
          <w:sz w:val="20"/>
          <w:szCs w:val="20"/>
        </w:rPr>
        <w:t>Law Enforcement Conduct Commission Notice</w:t>
      </w:r>
      <w:r w:rsidRPr="00AC6D2F">
        <w:rPr>
          <w:sz w:val="20"/>
          <w:szCs w:val="20"/>
        </w:rPr>
        <w:t xml:space="preserve"> 978 of 2018, p 7.</w:t>
      </w:r>
    </w:p>
  </w:footnote>
  <w:footnote w:id="354">
    <w:p w14:paraId="5B1C438F" w14:textId="5783E644" w:rsidR="0042789D" w:rsidRPr="00E7006D" w:rsidRDefault="0042789D" w:rsidP="00271794">
      <w:pPr>
        <w:pStyle w:val="FootnoteText"/>
        <w:spacing w:before="60" w:after="60"/>
      </w:pPr>
      <w:r w:rsidRPr="00E7006D">
        <w:rPr>
          <w:rStyle w:val="FootnoteReference"/>
        </w:rPr>
        <w:footnoteRef/>
      </w:r>
      <w:r w:rsidRPr="00E7006D">
        <w:t xml:space="preserve"> </w:t>
      </w:r>
      <w:r>
        <w:rPr>
          <w:i/>
        </w:rPr>
        <w:t>NSW Police Force r</w:t>
      </w:r>
      <w:r w:rsidRPr="00E7006D">
        <w:rPr>
          <w:i/>
        </w:rPr>
        <w:t xml:space="preserve">esponse to the interim report of Operation Tusket, </w:t>
      </w:r>
      <w:r w:rsidRPr="00E7006D">
        <w:t>23 October 2018, F/2018/94374; D/2018/851613, p 4.</w:t>
      </w:r>
    </w:p>
  </w:footnote>
  <w:footnote w:id="355">
    <w:p w14:paraId="13B3D224" w14:textId="3AC70F8C" w:rsidR="0042789D" w:rsidRPr="00E7006D" w:rsidRDefault="0042789D" w:rsidP="00AC6D2F">
      <w:pPr>
        <w:pStyle w:val="FootnoteText"/>
        <w:spacing w:before="60" w:after="60"/>
      </w:pPr>
      <w:r w:rsidRPr="00E7006D">
        <w:rPr>
          <w:rStyle w:val="FootnoteReference"/>
        </w:rPr>
        <w:footnoteRef/>
      </w:r>
      <w:r w:rsidRPr="00E7006D">
        <w:t xml:space="preserve"> Governance, Risk &amp; Compliance, </w:t>
      </w:r>
      <w:r>
        <w:t>NSW Police Force</w:t>
      </w:r>
      <w:r w:rsidRPr="00E7006D">
        <w:t xml:space="preserve">, </w:t>
      </w:r>
      <w:r w:rsidRPr="00E7006D">
        <w:rPr>
          <w:i/>
        </w:rPr>
        <w:t>Child Protection Register – Governance and Accountability Arrangements for the NSW Police Force</w:t>
      </w:r>
      <w:r w:rsidRPr="00E7006D">
        <w:t xml:space="preserve">, 12 December 2018, D/2018/1013232, </w:t>
      </w:r>
      <w:r>
        <w:t>NSW Police Force</w:t>
      </w:r>
      <w:r w:rsidRPr="00E7006D">
        <w:t xml:space="preserve"> response to </w:t>
      </w:r>
      <w:r>
        <w:t>Law Enforcement Conduct Commission</w:t>
      </w:r>
      <w:r w:rsidRPr="00E7006D">
        <w:t xml:space="preserve"> </w:t>
      </w:r>
      <w:r w:rsidRPr="001C2B75">
        <w:t xml:space="preserve">Notice 978 of 2018, p 7, </w:t>
      </w:r>
      <w:r>
        <w:t>Law Enforcement Conduct Commission</w:t>
      </w:r>
      <w:r w:rsidRPr="001C2B75">
        <w:t xml:space="preserve"> consultation with NSW Police Force, Sydney, 20 December 2018.</w:t>
      </w:r>
    </w:p>
  </w:footnote>
  <w:footnote w:id="356">
    <w:p w14:paraId="085C34D0" w14:textId="4B249A3B" w:rsidR="0042789D" w:rsidRPr="00E7006D" w:rsidRDefault="0042789D" w:rsidP="00AC6D2F">
      <w:pPr>
        <w:pStyle w:val="FootnoteText"/>
        <w:spacing w:before="60" w:after="60"/>
      </w:pPr>
      <w:r w:rsidRPr="00E7006D">
        <w:rPr>
          <w:rStyle w:val="FootnoteReference"/>
        </w:rPr>
        <w:footnoteRef/>
      </w:r>
      <w:r w:rsidRPr="00E7006D">
        <w:t xml:space="preserve"> Governance, Risk &amp; Compliance, </w:t>
      </w:r>
      <w:r>
        <w:t>NSW Police Force</w:t>
      </w:r>
      <w:r w:rsidRPr="00E7006D">
        <w:t xml:space="preserve">, </w:t>
      </w:r>
      <w:r w:rsidRPr="00E7006D">
        <w:rPr>
          <w:i/>
        </w:rPr>
        <w:t>Child Protection Register – Governance and Accountability Arrangements for the NSW Police Force</w:t>
      </w:r>
      <w:r w:rsidRPr="00E7006D">
        <w:t xml:space="preserve">, 12 December 2018, D/2018/1013232, </w:t>
      </w:r>
      <w:r>
        <w:t>NSW Police Force</w:t>
      </w:r>
      <w:r w:rsidRPr="00E7006D">
        <w:t xml:space="preserve"> response to </w:t>
      </w:r>
      <w:r>
        <w:t>Law Enforcement Conduct Commission</w:t>
      </w:r>
      <w:r w:rsidRPr="00E7006D">
        <w:t xml:space="preserve"> Notice 978 of 2018, p 8.</w:t>
      </w:r>
    </w:p>
  </w:footnote>
  <w:footnote w:id="357">
    <w:p w14:paraId="0DFA8F55" w14:textId="169392C3" w:rsidR="0042789D" w:rsidRPr="00E7006D" w:rsidRDefault="0042789D">
      <w:pPr>
        <w:pStyle w:val="FootnoteText"/>
      </w:pPr>
      <w:r w:rsidRPr="00E7006D">
        <w:rPr>
          <w:rStyle w:val="FootnoteReference"/>
        </w:rPr>
        <w:footnoteRef/>
      </w:r>
      <w:r w:rsidRPr="00E7006D">
        <w:t xml:space="preserve"> Letter from Commissioner of Police, </w:t>
      </w:r>
      <w:r>
        <w:t>NSW Police Force</w:t>
      </w:r>
      <w:r w:rsidRPr="00E7006D">
        <w:t>, to Chief Commis</w:t>
      </w:r>
      <w:r>
        <w:t>sioner, Law Enforcement Conduct Commission, 30 September 2019</w:t>
      </w:r>
      <w:r w:rsidRPr="00E7006D">
        <w:t xml:space="preserve"> </w:t>
      </w:r>
      <w:r>
        <w:t>(</w:t>
      </w:r>
      <w:r w:rsidRPr="00E7006D">
        <w:t>Annexure B – Submissions on Proposed Recommendations</w:t>
      </w:r>
      <w:r>
        <w:t>)</w:t>
      </w:r>
      <w:r w:rsidRPr="00E7006D">
        <w:t>.</w:t>
      </w:r>
    </w:p>
  </w:footnote>
  <w:footnote w:id="358">
    <w:p w14:paraId="528A2D5E" w14:textId="4DEC289F" w:rsidR="0042789D" w:rsidRPr="00E7006D" w:rsidRDefault="0042789D">
      <w:pPr>
        <w:pStyle w:val="FootnoteText"/>
      </w:pPr>
      <w:r w:rsidRPr="00E7006D">
        <w:rPr>
          <w:rStyle w:val="FootnoteReference"/>
        </w:rPr>
        <w:footnoteRef/>
      </w:r>
      <w:r w:rsidRPr="00E7006D">
        <w:t xml:space="preserve"> Letter from Commissioner of Police, </w:t>
      </w:r>
      <w:r>
        <w:t>NSW Police Force</w:t>
      </w:r>
      <w:r w:rsidRPr="00E7006D">
        <w:t>, to Chief Commis</w:t>
      </w:r>
      <w:r>
        <w:t>sioner, Law Enforcement Conduct Commission, 30 September 2019</w:t>
      </w:r>
      <w:r w:rsidRPr="00E7006D">
        <w:t xml:space="preserve"> </w:t>
      </w:r>
      <w:r>
        <w:t>(</w:t>
      </w:r>
      <w:r w:rsidRPr="00E7006D">
        <w:t>Annexure B – Submissions on Proposed Recommendations</w:t>
      </w:r>
      <w:r>
        <w:t>)</w:t>
      </w:r>
      <w:r w:rsidRPr="00E7006D">
        <w:t>.</w:t>
      </w:r>
    </w:p>
  </w:footnote>
  <w:footnote w:id="359">
    <w:p w14:paraId="102A387E" w14:textId="4ABEB39B" w:rsidR="0042789D" w:rsidRDefault="0042789D">
      <w:pPr>
        <w:pStyle w:val="FootnoteText"/>
      </w:pPr>
      <w:r w:rsidRPr="004C1776">
        <w:rPr>
          <w:rStyle w:val="FootnoteReference"/>
        </w:rPr>
        <w:footnoteRef/>
      </w:r>
      <w:r w:rsidRPr="004C1776">
        <w:t xml:space="preserve"> </w:t>
      </w:r>
      <w:r w:rsidRPr="00E7006D">
        <w:t xml:space="preserve">Letter from Commissioner of Police, </w:t>
      </w:r>
      <w:r>
        <w:t>NSW Police Force</w:t>
      </w:r>
      <w:r w:rsidRPr="00E7006D">
        <w:t>, to Chief Commis</w:t>
      </w:r>
      <w:r>
        <w:t>sioner, Law Enforcement Conduct Commission, 30 September 2019</w:t>
      </w:r>
      <w:r w:rsidRPr="00E7006D">
        <w:t xml:space="preserve"> </w:t>
      </w:r>
      <w:r>
        <w:t>(</w:t>
      </w:r>
      <w:r w:rsidRPr="00E7006D">
        <w:t>Annexure B – Submissions on Proposed Recommendations</w:t>
      </w:r>
      <w:r>
        <w:t>)</w:t>
      </w:r>
      <w:r w:rsidRPr="00E7006D">
        <w:t>.</w:t>
      </w:r>
    </w:p>
  </w:footnote>
  <w:footnote w:id="360">
    <w:p w14:paraId="4B87A2B9" w14:textId="5A2C8549" w:rsidR="0042789D" w:rsidRPr="00AC6D2F" w:rsidRDefault="0042789D" w:rsidP="00AC6D2F">
      <w:pPr>
        <w:pStyle w:val="FootnoteText"/>
        <w:spacing w:before="60" w:after="60"/>
      </w:pPr>
      <w:r w:rsidRPr="00AC6D2F">
        <w:rPr>
          <w:rStyle w:val="FootnoteReference"/>
        </w:rPr>
        <w:footnoteRef/>
      </w:r>
      <w:r w:rsidRPr="00AC6D2F">
        <w:t xml:space="preserve"> Manager, Child Protection Registry,</w:t>
      </w:r>
      <w:r>
        <w:t xml:space="preserve"> NSW Police Force,</w:t>
      </w:r>
      <w:r w:rsidRPr="00AC6D2F">
        <w:t xml:space="preserve"> </w:t>
      </w:r>
      <w:r w:rsidRPr="00AC6D2F">
        <w:rPr>
          <w:i/>
        </w:rPr>
        <w:t>Management of the Child Protection Register in New South Wales: Michael O’Brien Scholarship 2017</w:t>
      </w:r>
      <w:r w:rsidRPr="00AC6D2F">
        <w:t xml:space="preserve"> (2018) </w:t>
      </w:r>
      <w:r>
        <w:t>NSW Police Force response</w:t>
      </w:r>
      <w:r w:rsidRPr="00AC6D2F">
        <w:t xml:space="preserve"> to item 1 of </w:t>
      </w:r>
      <w:r>
        <w:t>Law Enforcement Conduct Commission Notice</w:t>
      </w:r>
      <w:r w:rsidRPr="00AC6D2F">
        <w:t xml:space="preserve"> 929 of 2018, p 27.</w:t>
      </w:r>
    </w:p>
  </w:footnote>
  <w:footnote w:id="361">
    <w:p w14:paraId="2D7A76B7" w14:textId="4D343FE3" w:rsidR="0042789D" w:rsidRPr="00EA797A" w:rsidRDefault="0042789D" w:rsidP="00AC6D2F">
      <w:pPr>
        <w:pStyle w:val="FootnoteText"/>
        <w:spacing w:before="60" w:after="60"/>
      </w:pPr>
      <w:r w:rsidRPr="00AC6D2F">
        <w:rPr>
          <w:rStyle w:val="FootnoteReference"/>
        </w:rPr>
        <w:footnoteRef/>
      </w:r>
      <w:r>
        <w:t xml:space="preserve"> Ibid</w:t>
      </w:r>
      <w:r w:rsidRPr="00AC6D2F">
        <w:t>.</w:t>
      </w:r>
    </w:p>
  </w:footnote>
  <w:footnote w:id="362">
    <w:p w14:paraId="4E290659" w14:textId="1CE28F4A" w:rsidR="0042789D" w:rsidRPr="00EA797A" w:rsidRDefault="0042789D" w:rsidP="003A5835">
      <w:pPr>
        <w:pStyle w:val="FootnoteText"/>
        <w:spacing w:before="60" w:after="60"/>
      </w:pPr>
      <w:r w:rsidRPr="00EA797A">
        <w:rPr>
          <w:rStyle w:val="FootnoteReference"/>
        </w:rPr>
        <w:footnoteRef/>
      </w:r>
      <w:r w:rsidRPr="00EA797A">
        <w:t xml:space="preserve"> </w:t>
      </w:r>
      <w:r>
        <w:t>Ibid</w:t>
      </w:r>
      <w:r w:rsidRPr="00EA797A">
        <w:t>.</w:t>
      </w:r>
    </w:p>
  </w:footnote>
  <w:footnote w:id="363">
    <w:p w14:paraId="1F680912" w14:textId="6A366761" w:rsidR="0042789D" w:rsidRPr="00EA797A" w:rsidRDefault="0042789D" w:rsidP="001B0D9C">
      <w:pPr>
        <w:pStyle w:val="FootnoteText"/>
        <w:spacing w:before="60" w:after="60"/>
      </w:pPr>
      <w:r w:rsidRPr="00EA797A">
        <w:rPr>
          <w:rStyle w:val="FootnoteReference"/>
        </w:rPr>
        <w:footnoteRef/>
      </w:r>
      <w:r w:rsidRPr="00EA797A">
        <w:t xml:space="preserve"> Child Protection Registry,</w:t>
      </w:r>
      <w:r>
        <w:t xml:space="preserve"> NSW Police Force,</w:t>
      </w:r>
      <w:r w:rsidRPr="00EA797A">
        <w:t xml:space="preserve"> </w:t>
      </w:r>
      <w:r w:rsidRPr="00EA797A">
        <w:rPr>
          <w:rFonts w:cs="Arial"/>
          <w:i/>
        </w:rPr>
        <w:t>Recommendations of the Child Protection Registry Working Party regarding creation of dedicated SAP positions to manage registrable persons at Local Area Commands</w:t>
      </w:r>
      <w:r w:rsidRPr="00EA797A">
        <w:rPr>
          <w:rFonts w:cs="Arial"/>
        </w:rPr>
        <w:t xml:space="preserve">, 18 February 2010, D/2010/26013, </w:t>
      </w:r>
      <w:r>
        <w:rPr>
          <w:rFonts w:cs="Arial"/>
        </w:rPr>
        <w:t>NSW Police Force response</w:t>
      </w:r>
      <w:r w:rsidRPr="00EA797A">
        <w:rPr>
          <w:rFonts w:cs="Arial"/>
        </w:rPr>
        <w:t xml:space="preserve"> to item 13(c) of </w:t>
      </w:r>
      <w:r>
        <w:rPr>
          <w:rFonts w:cs="Arial"/>
        </w:rPr>
        <w:t>Law Enforcement Conduct Commission Notice</w:t>
      </w:r>
      <w:r w:rsidRPr="00EA797A">
        <w:rPr>
          <w:rFonts w:cs="Arial"/>
        </w:rPr>
        <w:t xml:space="preserve"> 929 of 2017; </w:t>
      </w:r>
      <w:r w:rsidRPr="00EA797A">
        <w:rPr>
          <w:i/>
        </w:rPr>
        <w:t>Child Protection Register: Dedicated positions in CPR Management</w:t>
      </w:r>
      <w:r w:rsidRPr="00EA797A">
        <w:t>, pp 28-29, attachment to</w:t>
      </w:r>
      <w:r>
        <w:t xml:space="preserve"> </w:t>
      </w:r>
      <w:r w:rsidRPr="00EA797A">
        <w:t>Child Protection Registry,</w:t>
      </w:r>
      <w:r>
        <w:t xml:space="preserve"> NSW Police Force,</w:t>
      </w:r>
      <w:r w:rsidRPr="00EA797A">
        <w:t xml:space="preserve"> </w:t>
      </w:r>
      <w:r w:rsidRPr="00EA797A">
        <w:rPr>
          <w:rFonts w:cs="Arial"/>
          <w:i/>
        </w:rPr>
        <w:t>Submission of report to address the prospect of Dedicated Positions at Local Area Commands (LAC) to manage the Child Protection Register</w:t>
      </w:r>
      <w:r w:rsidRPr="00EA797A">
        <w:rPr>
          <w:rFonts w:cs="Arial"/>
        </w:rPr>
        <w:t xml:space="preserve">, 29 January 2016, D/2016/46805, </w:t>
      </w:r>
      <w:r>
        <w:rPr>
          <w:rFonts w:cs="Arial"/>
        </w:rPr>
        <w:t>NSW Police Force response</w:t>
      </w:r>
      <w:r w:rsidRPr="00EA797A">
        <w:rPr>
          <w:rFonts w:cs="Arial"/>
        </w:rPr>
        <w:t xml:space="preserve"> to item 13(d) of </w:t>
      </w:r>
      <w:r>
        <w:rPr>
          <w:rFonts w:cs="Arial"/>
        </w:rPr>
        <w:t>Law Enforcement Conduct Commission Notice 929 of 2017.</w:t>
      </w:r>
    </w:p>
  </w:footnote>
  <w:footnote w:id="364">
    <w:p w14:paraId="402B0B04" w14:textId="71EBB38C" w:rsidR="0042789D" w:rsidRPr="00EA797A" w:rsidRDefault="0042789D" w:rsidP="00B524CE">
      <w:pPr>
        <w:pStyle w:val="FootnoteText"/>
        <w:spacing w:before="60" w:after="60"/>
      </w:pPr>
      <w:r w:rsidRPr="00EA797A">
        <w:rPr>
          <w:rStyle w:val="FootnoteReference"/>
        </w:rPr>
        <w:footnoteRef/>
      </w:r>
      <w:r>
        <w:t xml:space="preserve"> Workforce Intelligence Unit, Human Resources Command, NSW Police Force, </w:t>
      </w:r>
      <w:r w:rsidRPr="00ED7C7D">
        <w:rPr>
          <w:i/>
        </w:rPr>
        <w:t>HR Analysis: Child Protection Register Staffing Review</w:t>
      </w:r>
      <w:r>
        <w:t>, 20 July 2017, D/2017/630614, NSW Police Force response to item 1 of Law Enforcement Conduct Commission Notice 929 of 2017</w:t>
      </w:r>
      <w:r w:rsidRPr="00EA797A">
        <w:t>, p 8.</w:t>
      </w:r>
    </w:p>
  </w:footnote>
  <w:footnote w:id="365">
    <w:p w14:paraId="49B243B1" w14:textId="016A6DD0" w:rsidR="0042789D" w:rsidRPr="001B0D9C" w:rsidRDefault="0042789D" w:rsidP="001A2EF9">
      <w:pPr>
        <w:pStyle w:val="FootnoteText"/>
      </w:pPr>
      <w:r w:rsidRPr="001B0D9C">
        <w:rPr>
          <w:rStyle w:val="FootnoteReference"/>
        </w:rPr>
        <w:footnoteRef/>
      </w:r>
      <w:r w:rsidRPr="001B0D9C">
        <w:t xml:space="preserve"> Manager, Child Protection Registry, </w:t>
      </w:r>
      <w:r>
        <w:t>NSW Police Force</w:t>
      </w:r>
      <w:r w:rsidRPr="001B0D9C">
        <w:t xml:space="preserve">, </w:t>
      </w:r>
      <w:r w:rsidRPr="001B0D9C">
        <w:rPr>
          <w:i/>
        </w:rPr>
        <w:t>Management of the Child Protection Register in New South Wales: Michael O’Brien Scholarship 2017</w:t>
      </w:r>
      <w:r w:rsidRPr="001B0D9C">
        <w:t xml:space="preserve"> (2018) </w:t>
      </w:r>
      <w:r>
        <w:t>NSW Police Force</w:t>
      </w:r>
      <w:r w:rsidRPr="001B0D9C">
        <w:t xml:space="preserve"> response to item 1 of </w:t>
      </w:r>
      <w:r>
        <w:t>Law Enforcement Conduct Commission</w:t>
      </w:r>
      <w:r w:rsidRPr="001B0D9C">
        <w:t xml:space="preserve"> Notice 929 of 2018, p 47.</w:t>
      </w:r>
    </w:p>
  </w:footnote>
  <w:footnote w:id="366">
    <w:p w14:paraId="16E56332" w14:textId="5A5FDA3B" w:rsidR="0042789D" w:rsidRPr="00EA797A" w:rsidRDefault="0042789D" w:rsidP="003A5835">
      <w:pPr>
        <w:pStyle w:val="FootnoteText"/>
        <w:spacing w:before="60" w:after="60"/>
      </w:pPr>
      <w:r w:rsidRPr="00EA797A">
        <w:rPr>
          <w:rStyle w:val="FootnoteReference"/>
        </w:rPr>
        <w:footnoteRef/>
      </w:r>
      <w:r w:rsidRPr="00EA797A">
        <w:t xml:space="preserve"> Premier of New South Wales, ‘1500 new police to keep the community safe’ (Media Release, 20 November 2018) &lt;https://www.nsw.gov.au/your-government/the-premier/media-releases-from-the-premier/1500-new-police-to-keep-the-community-safe/&gt;.</w:t>
      </w:r>
    </w:p>
  </w:footnote>
  <w:footnote w:id="367">
    <w:p w14:paraId="791B26FD" w14:textId="449D43CD" w:rsidR="0042789D" w:rsidRPr="00EA797A" w:rsidRDefault="0042789D" w:rsidP="003A5835">
      <w:pPr>
        <w:pStyle w:val="FootnoteText"/>
        <w:spacing w:before="60" w:after="60"/>
      </w:pPr>
      <w:r w:rsidRPr="00EA797A">
        <w:rPr>
          <w:rStyle w:val="FootnoteReference"/>
        </w:rPr>
        <w:footnoteRef/>
      </w:r>
      <w:r>
        <w:t xml:space="preserve"> Ibid.</w:t>
      </w:r>
    </w:p>
  </w:footnote>
  <w:footnote w:id="368">
    <w:p w14:paraId="5E71623B" w14:textId="7C580960" w:rsidR="0042789D" w:rsidRPr="005D491F" w:rsidRDefault="0042789D">
      <w:pPr>
        <w:pStyle w:val="FootnoteText"/>
      </w:pPr>
      <w:r w:rsidRPr="005D491F">
        <w:rPr>
          <w:rStyle w:val="FootnoteReference"/>
        </w:rPr>
        <w:footnoteRef/>
      </w:r>
      <w:r w:rsidRPr="005D491F">
        <w:t xml:space="preserve"> Letter from Commissioner of Police, </w:t>
      </w:r>
      <w:r>
        <w:t>NSW Police Force</w:t>
      </w:r>
      <w:r w:rsidRPr="005D491F">
        <w:t xml:space="preserve">, to Chief Commissioner, </w:t>
      </w:r>
      <w:r>
        <w:t>Law Enforcement Conduct Commission</w:t>
      </w:r>
      <w:r w:rsidRPr="005D491F">
        <w:t>, 30 September 2019, p 2.</w:t>
      </w:r>
    </w:p>
  </w:footnote>
  <w:footnote w:id="369">
    <w:p w14:paraId="21B3B019" w14:textId="5B115DAB" w:rsidR="0042789D" w:rsidRPr="00EA797A" w:rsidRDefault="0042789D" w:rsidP="003A5835">
      <w:pPr>
        <w:pStyle w:val="FootnoteText"/>
        <w:spacing w:before="60" w:after="60"/>
      </w:pPr>
      <w:r w:rsidRPr="00EA797A">
        <w:rPr>
          <w:rStyle w:val="FootnoteReference"/>
        </w:rPr>
        <w:footnoteRef/>
      </w:r>
      <w:r w:rsidRPr="00EA797A">
        <w:t xml:space="preserve"> </w:t>
      </w:r>
      <w:r>
        <w:t xml:space="preserve">Workforce Intelligence Unit, Human Resources Command, NSW Police Force, </w:t>
      </w:r>
      <w:r w:rsidRPr="00A533AC">
        <w:rPr>
          <w:i/>
        </w:rPr>
        <w:t>HR Analysis: Child Protection Register Staffing Review</w:t>
      </w:r>
      <w:r>
        <w:t>, 20 July 2017, D/2017/630614, NSW Police Force response to item 1 of Law Enforcement Conduct Commission Notice 929 of 2017</w:t>
      </w:r>
      <w:r w:rsidRPr="00EA797A">
        <w:t>, p 74.</w:t>
      </w:r>
    </w:p>
  </w:footnote>
  <w:footnote w:id="370">
    <w:p w14:paraId="0577700C" w14:textId="63A34694" w:rsidR="0042789D" w:rsidRPr="00EA797A" w:rsidRDefault="0042789D" w:rsidP="003A5835">
      <w:pPr>
        <w:pStyle w:val="FootnoteText"/>
        <w:spacing w:before="60" w:after="60"/>
      </w:pPr>
      <w:r w:rsidRPr="00EA797A">
        <w:rPr>
          <w:rStyle w:val="FootnoteReference"/>
        </w:rPr>
        <w:footnoteRef/>
      </w:r>
      <w:r w:rsidRPr="00EA797A">
        <w:t xml:space="preserve"> </w:t>
      </w:r>
      <w:r w:rsidRPr="00EA797A">
        <w:rPr>
          <w:i/>
        </w:rPr>
        <w:t>Child Protection Register: Dedicated positions in CPR Management</w:t>
      </w:r>
      <w:r w:rsidRPr="00EA797A">
        <w:t xml:space="preserve">, p 17, attachment to </w:t>
      </w:r>
      <w:r>
        <w:t>Child Protection</w:t>
      </w:r>
      <w:r w:rsidRPr="00EA797A">
        <w:t xml:space="preserve"> Registry,</w:t>
      </w:r>
      <w:r>
        <w:t xml:space="preserve"> NSW Police Force,</w:t>
      </w:r>
      <w:r w:rsidRPr="00EA797A">
        <w:t xml:space="preserve"> </w:t>
      </w:r>
      <w:r w:rsidRPr="00EA797A">
        <w:rPr>
          <w:rFonts w:cs="Arial"/>
          <w:i/>
        </w:rPr>
        <w:t>Submission of report to address the prospect of Dedicated Positions at Local Area Commands (LAC) to manage the Child Protection Register</w:t>
      </w:r>
      <w:r w:rsidRPr="00EA797A">
        <w:rPr>
          <w:rFonts w:cs="Arial"/>
        </w:rPr>
        <w:t xml:space="preserve">, 29 January 2016, D/2016/46805, </w:t>
      </w:r>
      <w:r>
        <w:rPr>
          <w:rFonts w:cs="Arial"/>
        </w:rPr>
        <w:t>NSW Police Force response</w:t>
      </w:r>
      <w:r w:rsidRPr="00EA797A">
        <w:rPr>
          <w:rFonts w:cs="Arial"/>
        </w:rPr>
        <w:t xml:space="preserve"> to item 13(d) of </w:t>
      </w:r>
      <w:r>
        <w:rPr>
          <w:rFonts w:cs="Arial"/>
        </w:rPr>
        <w:t>Law Enforcement Conduct Commission Notice</w:t>
      </w:r>
      <w:r w:rsidRPr="00EA797A">
        <w:rPr>
          <w:rFonts w:cs="Arial"/>
        </w:rPr>
        <w:t xml:space="preserve"> 929 of 2017.</w:t>
      </w:r>
    </w:p>
  </w:footnote>
  <w:footnote w:id="371">
    <w:p w14:paraId="780744E3" w14:textId="2F39AE42" w:rsidR="0042789D" w:rsidRPr="00EA797A" w:rsidRDefault="0042789D" w:rsidP="00071D97">
      <w:pPr>
        <w:pStyle w:val="FootnoteText"/>
        <w:spacing w:before="60" w:after="60"/>
      </w:pPr>
      <w:r w:rsidRPr="00EA797A">
        <w:rPr>
          <w:rStyle w:val="FootnoteReference"/>
        </w:rPr>
        <w:footnoteRef/>
      </w:r>
      <w:r w:rsidRPr="00EA797A">
        <w:t xml:space="preserve"> </w:t>
      </w:r>
      <w:r>
        <w:t xml:space="preserve">Workforce Intelligence Unit, Human Resources Command, NSW Police Force, </w:t>
      </w:r>
      <w:r w:rsidRPr="00ED7C7D">
        <w:rPr>
          <w:i/>
        </w:rPr>
        <w:t>HR Analysis: Child Protection Register Staffing Review</w:t>
      </w:r>
      <w:r>
        <w:t>, 20 July 2017, D/2017/630614, NSW Police Force response to item 1 of Law Enforcement Conduct Commission Notice 929 of 2017</w:t>
      </w:r>
      <w:r w:rsidRPr="00EA797A">
        <w:t>, p 27.</w:t>
      </w:r>
    </w:p>
  </w:footnote>
  <w:footnote w:id="372">
    <w:p w14:paraId="49EABCDD" w14:textId="4D9891F8" w:rsidR="0042789D" w:rsidRPr="00EA797A" w:rsidRDefault="0042789D" w:rsidP="00071D97">
      <w:pPr>
        <w:pStyle w:val="FootnoteText"/>
        <w:spacing w:before="60" w:after="60"/>
      </w:pPr>
      <w:r w:rsidRPr="00EA797A">
        <w:rPr>
          <w:rStyle w:val="FootnoteReference"/>
        </w:rPr>
        <w:footnoteRef/>
      </w:r>
      <w:r>
        <w:t xml:space="preserve"> Ibid </w:t>
      </w:r>
      <w:r w:rsidRPr="00EA797A">
        <w:t xml:space="preserve">p 27 and p 59. These predictions are supported by the findings of the 2016 Working Party regarding increased proactive investigation activities being reported in those local commands that had </w:t>
      </w:r>
      <w:r>
        <w:t xml:space="preserve">(unauthorised) </w:t>
      </w:r>
      <w:r w:rsidRPr="00EA797A">
        <w:t xml:space="preserve">dedicated officers: </w:t>
      </w:r>
      <w:r w:rsidRPr="00EA797A">
        <w:rPr>
          <w:i/>
        </w:rPr>
        <w:t>Child Protection Register: Dedicated positions in CPR Management</w:t>
      </w:r>
      <w:r w:rsidRPr="00EA797A">
        <w:t>, p 20, attachment to</w:t>
      </w:r>
      <w:r>
        <w:t xml:space="preserve"> </w:t>
      </w:r>
      <w:r w:rsidRPr="00EA797A">
        <w:t>Child Protection Registry,</w:t>
      </w:r>
      <w:r>
        <w:t xml:space="preserve"> NSW Police Force,</w:t>
      </w:r>
      <w:r w:rsidRPr="00EA797A">
        <w:t xml:space="preserve"> </w:t>
      </w:r>
      <w:r w:rsidRPr="00EA797A">
        <w:rPr>
          <w:rFonts w:cs="Arial"/>
          <w:i/>
        </w:rPr>
        <w:t>Submission of report to address the prospect of Dedicated Positions at Local Area Commands (LAC) to manage the Child Protection Register</w:t>
      </w:r>
      <w:r w:rsidRPr="00EA797A">
        <w:rPr>
          <w:rFonts w:cs="Arial"/>
        </w:rPr>
        <w:t xml:space="preserve">, 29 January 2016, D/2016/46805, </w:t>
      </w:r>
      <w:r>
        <w:rPr>
          <w:rFonts w:cs="Arial"/>
        </w:rPr>
        <w:t>NSW Police Force response</w:t>
      </w:r>
      <w:r w:rsidRPr="00EA797A">
        <w:rPr>
          <w:rFonts w:cs="Arial"/>
        </w:rPr>
        <w:t xml:space="preserve"> to item 13(d) of </w:t>
      </w:r>
      <w:r>
        <w:rPr>
          <w:rFonts w:cs="Arial"/>
        </w:rPr>
        <w:t>Law Enforcement Conduct Commission Notice</w:t>
      </w:r>
      <w:r w:rsidRPr="00EA797A">
        <w:rPr>
          <w:rFonts w:cs="Arial"/>
        </w:rPr>
        <w:t xml:space="preserve"> 929 of 2017.</w:t>
      </w:r>
    </w:p>
  </w:footnote>
  <w:footnote w:id="373">
    <w:p w14:paraId="4D5C42A0" w14:textId="28486B20" w:rsidR="0042789D" w:rsidRPr="00EA797A" w:rsidRDefault="0042789D" w:rsidP="00071D97">
      <w:pPr>
        <w:pStyle w:val="Footnote"/>
      </w:pPr>
      <w:r w:rsidRPr="00EA797A">
        <w:rPr>
          <w:rStyle w:val="FootnoteReference"/>
          <w:rFonts w:ascii="Gotham Book" w:hAnsi="Gotham Book"/>
          <w:szCs w:val="20"/>
        </w:rPr>
        <w:footnoteRef/>
      </w:r>
      <w:r w:rsidRPr="00EA797A">
        <w:t xml:space="preserve"> State Intelligence Command, </w:t>
      </w:r>
      <w:r>
        <w:t xml:space="preserve">NSW Police Force, </w:t>
      </w:r>
      <w:r w:rsidRPr="00EA797A">
        <w:rPr>
          <w:i/>
        </w:rPr>
        <w:t>Child Protection Register Monthly Report</w:t>
      </w:r>
      <w:r w:rsidRPr="00EA797A">
        <w:t xml:space="preserve">, December 2018, </w:t>
      </w:r>
      <w:r>
        <w:t>NSW Police Force response</w:t>
      </w:r>
      <w:r w:rsidRPr="00EA797A">
        <w:t xml:space="preserve"> to item 3 of </w:t>
      </w:r>
      <w:r>
        <w:t>Law Enforcement Conduct Commission Notice</w:t>
      </w:r>
      <w:r w:rsidRPr="00EA797A">
        <w:t xml:space="preserve"> 988 of 2018, pp 4-8.</w:t>
      </w:r>
    </w:p>
  </w:footnote>
  <w:footnote w:id="374">
    <w:p w14:paraId="6774D3E2" w14:textId="7B1D23B1" w:rsidR="0042789D" w:rsidRPr="00EA797A" w:rsidRDefault="0042789D" w:rsidP="00071D97">
      <w:pPr>
        <w:pStyle w:val="Footnote"/>
      </w:pPr>
      <w:r w:rsidRPr="00EA797A">
        <w:rPr>
          <w:rStyle w:val="FootnoteReference"/>
          <w:rFonts w:ascii="Gotham Book" w:hAnsi="Gotham Book"/>
          <w:szCs w:val="20"/>
        </w:rPr>
        <w:footnoteRef/>
      </w:r>
      <w:r w:rsidRPr="00EA797A">
        <w:t xml:space="preserve"> </w:t>
      </w:r>
      <w:r>
        <w:t>Manager, Child Protection Registry</w:t>
      </w:r>
      <w:r w:rsidRPr="00EA797A">
        <w:t>,</w:t>
      </w:r>
      <w:r>
        <w:t xml:space="preserve"> NSW Police Force,</w:t>
      </w:r>
      <w:r w:rsidRPr="00EA797A">
        <w:t xml:space="preserve"> </w:t>
      </w:r>
      <w:r w:rsidRPr="00EA797A">
        <w:rPr>
          <w:i/>
        </w:rPr>
        <w:t>Management of the Child Protect</w:t>
      </w:r>
      <w:r>
        <w:rPr>
          <w:i/>
        </w:rPr>
        <w:t>ion Register in New South Wales:</w:t>
      </w:r>
      <w:r w:rsidRPr="00EA797A">
        <w:rPr>
          <w:i/>
        </w:rPr>
        <w:t xml:space="preserve"> </w:t>
      </w:r>
      <w:r w:rsidRPr="003A5835">
        <w:rPr>
          <w:i/>
        </w:rPr>
        <w:t>Michael O’Brien Scholarship 2017</w:t>
      </w:r>
      <w:r w:rsidRPr="00EA797A">
        <w:t xml:space="preserve"> (2018) </w:t>
      </w:r>
      <w:r>
        <w:t>NSW Police Force response</w:t>
      </w:r>
      <w:r w:rsidRPr="00EA797A">
        <w:t xml:space="preserve"> to item 1 of </w:t>
      </w:r>
      <w:r>
        <w:t>Law Enforcement Conduct Commission Notice</w:t>
      </w:r>
      <w:r w:rsidRPr="00EA797A">
        <w:t xml:space="preserve"> 929 </w:t>
      </w:r>
      <w:r>
        <w:t>of 2018</w:t>
      </w:r>
      <w:r w:rsidRPr="00EA797A">
        <w:t>, p 47.</w:t>
      </w:r>
    </w:p>
  </w:footnote>
  <w:footnote w:id="375">
    <w:p w14:paraId="7BBDFC6D" w14:textId="61C296A7" w:rsidR="0042789D" w:rsidRPr="000834CA" w:rsidRDefault="0042789D" w:rsidP="006763DA">
      <w:pPr>
        <w:pStyle w:val="FootnoteText"/>
        <w:spacing w:before="60" w:after="60"/>
        <w:rPr>
          <w:rFonts w:cs="Source Sans Pro Light"/>
          <w:color w:val="000000" w:themeColor="text2"/>
        </w:rPr>
      </w:pPr>
      <w:r w:rsidRPr="00591AF7">
        <w:rPr>
          <w:rStyle w:val="FootnoteReference"/>
        </w:rPr>
        <w:footnoteRef/>
      </w:r>
      <w:r w:rsidRPr="00591AF7">
        <w:t xml:space="preserve"> Workforce Intelligence Unit, Human Resources Command, </w:t>
      </w:r>
      <w:r>
        <w:t>NSW Police Force</w:t>
      </w:r>
      <w:r w:rsidRPr="00591AF7">
        <w:t xml:space="preserve">, </w:t>
      </w:r>
      <w:r w:rsidRPr="00591AF7">
        <w:rPr>
          <w:i/>
        </w:rPr>
        <w:t>HR Analysis: Child Protection Register Staffing Review</w:t>
      </w:r>
      <w:r w:rsidRPr="00591AF7">
        <w:t xml:space="preserve">, 20 July 2017, D/2017/630614, </w:t>
      </w:r>
      <w:r>
        <w:t>NSW Police Force response</w:t>
      </w:r>
      <w:r w:rsidRPr="00591AF7">
        <w:t xml:space="preserve"> to item 1 of </w:t>
      </w:r>
      <w:r>
        <w:t>Law Enforcement Conduct Commission Notice</w:t>
      </w:r>
      <w:r w:rsidRPr="00591AF7">
        <w:t xml:space="preserve"> 929 o</w:t>
      </w:r>
      <w:r>
        <w:t xml:space="preserve">f 2017, p 50; </w:t>
      </w:r>
      <w:r w:rsidRPr="00A303BF">
        <w:rPr>
          <w:i/>
        </w:rPr>
        <w:t xml:space="preserve">NSW Police Force </w:t>
      </w:r>
      <w:r>
        <w:rPr>
          <w:i/>
        </w:rPr>
        <w:t>r</w:t>
      </w:r>
      <w:r w:rsidRPr="00591AF7">
        <w:rPr>
          <w:i/>
        </w:rPr>
        <w:t>esponse to the interim report of Operation Tusket</w:t>
      </w:r>
      <w:r w:rsidRPr="00591AF7">
        <w:t>, 23 October 2018, F/2018/94374; D/2018/851674, p 7; Manager, Child Protection Registry,</w:t>
      </w:r>
      <w:r>
        <w:t xml:space="preserve"> NSW Police Force,</w:t>
      </w:r>
      <w:r w:rsidRPr="00591AF7">
        <w:t xml:space="preserve"> </w:t>
      </w:r>
      <w:r w:rsidRPr="00591AF7">
        <w:rPr>
          <w:i/>
        </w:rPr>
        <w:t>Management of the Child Protection Register in New South Wales: Michael O’Brien Scholarship 2017</w:t>
      </w:r>
      <w:r w:rsidRPr="00591AF7">
        <w:t xml:space="preserve"> (2018) </w:t>
      </w:r>
      <w:r>
        <w:t>NSW Police Force response</w:t>
      </w:r>
      <w:r w:rsidRPr="00591AF7">
        <w:t xml:space="preserve"> to item 1 of </w:t>
      </w:r>
      <w:r>
        <w:t>Law Enforcement Conduct Commission Notice</w:t>
      </w:r>
      <w:r w:rsidRPr="00591AF7">
        <w:t xml:space="preserve"> 929 of 2018, p 114.</w:t>
      </w:r>
    </w:p>
  </w:footnote>
  <w:footnote w:id="376">
    <w:p w14:paraId="4289E7CB" w14:textId="4C3276AE" w:rsidR="0042789D" w:rsidRPr="000834CA" w:rsidRDefault="0042789D" w:rsidP="006763DA">
      <w:pPr>
        <w:pStyle w:val="FootnoteText"/>
      </w:pPr>
      <w:r w:rsidRPr="000834CA">
        <w:rPr>
          <w:rStyle w:val="FootnoteReference"/>
        </w:rPr>
        <w:footnoteRef/>
      </w:r>
      <w:r>
        <w:t xml:space="preserve"> See Recommendation 5 </w:t>
      </w:r>
      <w:r w:rsidRPr="000834CA">
        <w:t xml:space="preserve">in </w:t>
      </w:r>
      <w:r>
        <w:t xml:space="preserve">Chapter 6 </w:t>
      </w:r>
      <w:r w:rsidRPr="008436F6">
        <w:t xml:space="preserve">section </w:t>
      </w:r>
      <w:r w:rsidRPr="008436F6">
        <w:fldChar w:fldCharType="begin"/>
      </w:r>
      <w:r w:rsidRPr="008436F6">
        <w:instrText xml:space="preserve"> REF _Ref9612666 \r \h </w:instrText>
      </w:r>
      <w:r>
        <w:instrText xml:space="preserve"> \* MERGEFORMAT </w:instrText>
      </w:r>
      <w:r w:rsidRPr="008436F6">
        <w:fldChar w:fldCharType="separate"/>
      </w:r>
      <w:r w:rsidR="00022664">
        <w:rPr>
          <w:rFonts w:hint="cs"/>
          <w:cs/>
        </w:rPr>
        <w:t>‎</w:t>
      </w:r>
      <w:r w:rsidR="00022664">
        <w:t>6.5</w:t>
      </w:r>
      <w:r w:rsidRPr="008436F6">
        <w:fldChar w:fldCharType="end"/>
      </w:r>
      <w:r w:rsidRPr="008436F6">
        <w:t>.</w:t>
      </w:r>
    </w:p>
  </w:footnote>
  <w:footnote w:id="377">
    <w:p w14:paraId="6E7D792D" w14:textId="19093295" w:rsidR="0042789D" w:rsidRPr="00591AF7" w:rsidRDefault="0042789D" w:rsidP="00591AF7">
      <w:pPr>
        <w:pStyle w:val="Footnote"/>
        <w:rPr>
          <w:szCs w:val="20"/>
        </w:rPr>
      </w:pPr>
      <w:r w:rsidRPr="00591AF7">
        <w:rPr>
          <w:rStyle w:val="FootnoteReference"/>
          <w:szCs w:val="20"/>
        </w:rPr>
        <w:footnoteRef/>
      </w:r>
      <w:r w:rsidRPr="00591AF7">
        <w:rPr>
          <w:szCs w:val="20"/>
        </w:rPr>
        <w:t xml:space="preserve"> Workforce Intelligence Unit, Human Resources Command, </w:t>
      </w:r>
      <w:r>
        <w:rPr>
          <w:szCs w:val="20"/>
        </w:rPr>
        <w:t>NSW Police Force</w:t>
      </w:r>
      <w:r w:rsidRPr="00591AF7">
        <w:rPr>
          <w:szCs w:val="20"/>
        </w:rPr>
        <w:t xml:space="preserve">, </w:t>
      </w:r>
      <w:r w:rsidRPr="00591AF7">
        <w:rPr>
          <w:i/>
          <w:szCs w:val="20"/>
        </w:rPr>
        <w:t>HR Analysis: Child Protection Register Staffing Review</w:t>
      </w:r>
      <w:r w:rsidRPr="00591AF7">
        <w:rPr>
          <w:szCs w:val="20"/>
        </w:rPr>
        <w:t xml:space="preserve">, 20 July 2017, D/2017/630614, </w:t>
      </w:r>
      <w:r>
        <w:rPr>
          <w:szCs w:val="20"/>
        </w:rPr>
        <w:t>NSW Police Force response</w:t>
      </w:r>
      <w:r w:rsidRPr="00591AF7">
        <w:rPr>
          <w:szCs w:val="20"/>
        </w:rPr>
        <w:t xml:space="preserve"> to item 1 of </w:t>
      </w:r>
      <w:r>
        <w:rPr>
          <w:szCs w:val="20"/>
        </w:rPr>
        <w:t>Law Enforcement Conduct Commission Notice</w:t>
      </w:r>
      <w:r w:rsidRPr="00591AF7">
        <w:rPr>
          <w:szCs w:val="20"/>
        </w:rPr>
        <w:t xml:space="preserve"> 929 of 2017, p 5.</w:t>
      </w:r>
    </w:p>
  </w:footnote>
  <w:footnote w:id="378">
    <w:p w14:paraId="5E9EB7BF" w14:textId="6A715453" w:rsidR="0042789D" w:rsidRPr="00591AF7" w:rsidRDefault="0042789D" w:rsidP="00591AF7">
      <w:pPr>
        <w:pStyle w:val="Footnote"/>
        <w:rPr>
          <w:szCs w:val="20"/>
        </w:rPr>
      </w:pPr>
      <w:r w:rsidRPr="00591AF7">
        <w:rPr>
          <w:rStyle w:val="FootnoteReference"/>
          <w:szCs w:val="20"/>
        </w:rPr>
        <w:footnoteRef/>
      </w:r>
      <w:r>
        <w:rPr>
          <w:szCs w:val="20"/>
        </w:rPr>
        <w:t xml:space="preserve"> </w:t>
      </w:r>
      <w:r w:rsidRPr="003E6EC9">
        <w:t xml:space="preserve">Letter from Commissioner of Police, </w:t>
      </w:r>
      <w:r>
        <w:t>NSW Police Force</w:t>
      </w:r>
      <w:r w:rsidRPr="003E6EC9">
        <w:t>, to Chief Commis</w:t>
      </w:r>
      <w:r>
        <w:t>sioner, Law Enforcement Conduct Commission, 30 September 2019 (Annexure D – Updated Statistics from the CPR Monthly Report and about Travel Requests).</w:t>
      </w:r>
    </w:p>
  </w:footnote>
  <w:footnote w:id="379">
    <w:p w14:paraId="09FBF2BB" w14:textId="75200F83" w:rsidR="0042789D" w:rsidRPr="003018D6" w:rsidRDefault="0042789D" w:rsidP="00591AF7">
      <w:pPr>
        <w:pStyle w:val="FootnoteText"/>
        <w:spacing w:before="60" w:after="60"/>
      </w:pPr>
      <w:r w:rsidRPr="00591AF7">
        <w:rPr>
          <w:rStyle w:val="FootnoteReference"/>
        </w:rPr>
        <w:footnoteRef/>
      </w:r>
      <w:r w:rsidRPr="00591AF7">
        <w:t xml:space="preserve"> </w:t>
      </w:r>
      <w:r w:rsidRPr="00591AF7">
        <w:rPr>
          <w:i/>
        </w:rPr>
        <w:t xml:space="preserve">Passports Legislation Amendment (Overseas Travel by Child Sex Offenders) Act 2017; </w:t>
      </w:r>
      <w:r w:rsidRPr="003018D6">
        <w:rPr>
          <w:i/>
        </w:rPr>
        <w:t>Criminal Code Act 1995</w:t>
      </w:r>
      <w:r w:rsidRPr="003018D6">
        <w:t xml:space="preserve"> (Cth) s 271A.1.</w:t>
      </w:r>
    </w:p>
  </w:footnote>
  <w:footnote w:id="380">
    <w:p w14:paraId="6058BD71" w14:textId="1EE992EE" w:rsidR="0042789D" w:rsidRDefault="0042789D">
      <w:pPr>
        <w:pStyle w:val="FootnoteText"/>
      </w:pPr>
      <w:r w:rsidRPr="003018D6">
        <w:rPr>
          <w:rStyle w:val="FootnoteReference"/>
        </w:rPr>
        <w:footnoteRef/>
      </w:r>
      <w:r w:rsidRPr="003018D6">
        <w:t xml:space="preserve"> Workforce Intelligence Unit, Human Resources Command, NSW Police Force, </w:t>
      </w:r>
      <w:r w:rsidRPr="003018D6">
        <w:rPr>
          <w:i/>
        </w:rPr>
        <w:t>HR Analysis: Child Protection Register Staffing Review</w:t>
      </w:r>
      <w:r w:rsidRPr="003018D6">
        <w:t>, 20 July 2017, D/2017/630614, NSW Police Force response to item 1</w:t>
      </w:r>
      <w:r>
        <w:t xml:space="preserve"> of Law Enforcement Conduct Commission Notice 929 of 2017, p 44.</w:t>
      </w:r>
    </w:p>
  </w:footnote>
  <w:footnote w:id="381">
    <w:p w14:paraId="6817555C" w14:textId="2CA69DAC" w:rsidR="0042789D" w:rsidRPr="000834CA" w:rsidRDefault="0042789D" w:rsidP="00244E02">
      <w:pPr>
        <w:pStyle w:val="FootnoteText"/>
      </w:pPr>
      <w:r w:rsidRPr="000834CA">
        <w:rPr>
          <w:rStyle w:val="FootnoteReference"/>
        </w:rPr>
        <w:footnoteRef/>
      </w:r>
      <w:r w:rsidRPr="000834CA">
        <w:t xml:space="preserve"> </w:t>
      </w:r>
      <w:r>
        <w:t xml:space="preserve">Ibid </w:t>
      </w:r>
      <w:r w:rsidRPr="000834CA">
        <w:t>pp 42-46.</w:t>
      </w:r>
    </w:p>
  </w:footnote>
  <w:footnote w:id="382">
    <w:p w14:paraId="755511B1" w14:textId="3BFA9D56" w:rsidR="0042789D" w:rsidRPr="003B7DD8" w:rsidRDefault="0042789D">
      <w:pPr>
        <w:pStyle w:val="FootnoteText"/>
      </w:pPr>
      <w:r w:rsidRPr="003B7DD8">
        <w:rPr>
          <w:rStyle w:val="FootnoteReference"/>
        </w:rPr>
        <w:footnoteRef/>
      </w:r>
      <w:r>
        <w:t xml:space="preserve"> Ibid </w:t>
      </w:r>
      <w:r w:rsidRPr="003B7DD8">
        <w:t>p 43.</w:t>
      </w:r>
    </w:p>
  </w:footnote>
  <w:footnote w:id="383">
    <w:p w14:paraId="207AEE48" w14:textId="462143C0" w:rsidR="0042789D" w:rsidRPr="00B73EB8" w:rsidRDefault="0042789D" w:rsidP="00E7006D">
      <w:pPr>
        <w:pStyle w:val="FootnoteText"/>
      </w:pPr>
      <w:r w:rsidRPr="00E7006D">
        <w:rPr>
          <w:rStyle w:val="FootnoteReference"/>
        </w:rPr>
        <w:footnoteRef/>
      </w:r>
      <w:r w:rsidRPr="00E7006D">
        <w:t xml:space="preserve"> </w:t>
      </w:r>
      <w:r>
        <w:t>Ibid</w:t>
      </w:r>
      <w:r w:rsidRPr="00E7006D">
        <w:t xml:space="preserve"> p 17.</w:t>
      </w:r>
    </w:p>
  </w:footnote>
  <w:footnote w:id="384">
    <w:p w14:paraId="2713F38F" w14:textId="14FB0562" w:rsidR="0042789D" w:rsidRPr="00FD5B04" w:rsidRDefault="0042789D" w:rsidP="00E7006D">
      <w:pPr>
        <w:pStyle w:val="FootnoteText"/>
      </w:pPr>
      <w:r w:rsidRPr="00B73EB8">
        <w:rPr>
          <w:rStyle w:val="FootnoteReference"/>
        </w:rPr>
        <w:footnoteRef/>
      </w:r>
      <w:r w:rsidRPr="00B73EB8">
        <w:t xml:space="preserve"> </w:t>
      </w:r>
      <w:r>
        <w:t>Ibid</w:t>
      </w:r>
      <w:r w:rsidRPr="00FD5B04">
        <w:t>.</w:t>
      </w:r>
    </w:p>
  </w:footnote>
  <w:footnote w:id="385">
    <w:p w14:paraId="5FAF8E77" w14:textId="4FA11E22" w:rsidR="0042789D" w:rsidRDefault="0042789D">
      <w:pPr>
        <w:pStyle w:val="FootnoteText"/>
      </w:pPr>
      <w:r w:rsidRPr="00FD5B04">
        <w:rPr>
          <w:rStyle w:val="FootnoteReference"/>
        </w:rPr>
        <w:footnoteRef/>
      </w:r>
      <w:r w:rsidRPr="00FD5B04">
        <w:t xml:space="preserve"> Letter from Commissioner of Police, </w:t>
      </w:r>
      <w:r>
        <w:t>NSW Police Force</w:t>
      </w:r>
      <w:r w:rsidRPr="00FD5B04">
        <w:t>, to Chief Commis</w:t>
      </w:r>
      <w:r>
        <w:t>sioner, Law Enforcement Conduct Commission, 30 September 2019</w:t>
      </w:r>
      <w:r w:rsidRPr="00FD5B04">
        <w:t xml:space="preserve"> </w:t>
      </w:r>
      <w:r>
        <w:t>(</w:t>
      </w:r>
      <w:r w:rsidRPr="00FD5B04">
        <w:t>Annexure B – Submissions on Proposed Recommendations</w:t>
      </w:r>
      <w:r>
        <w:t>)</w:t>
      </w:r>
      <w:r w:rsidRPr="00FD5B04">
        <w:t>.</w:t>
      </w:r>
    </w:p>
  </w:footnote>
  <w:footnote w:id="386">
    <w:p w14:paraId="7E913A2A" w14:textId="6778C399" w:rsidR="0042789D" w:rsidRPr="005D4B5D" w:rsidRDefault="0042789D" w:rsidP="005D4B5D">
      <w:pPr>
        <w:pStyle w:val="FootnoteText"/>
        <w:spacing w:before="60" w:after="60"/>
      </w:pPr>
      <w:r w:rsidRPr="005D4B5D">
        <w:rPr>
          <w:rStyle w:val="FootnoteReference"/>
        </w:rPr>
        <w:footnoteRef/>
      </w:r>
      <w:r w:rsidRPr="005D4B5D">
        <w:t xml:space="preserve"> </w:t>
      </w:r>
      <w:r>
        <w:rPr>
          <w:i/>
        </w:rPr>
        <w:t>NSW Police Force r</w:t>
      </w:r>
      <w:r w:rsidRPr="005D4B5D">
        <w:rPr>
          <w:i/>
        </w:rPr>
        <w:t xml:space="preserve">esponse to the interim report of Operation Tusket, </w:t>
      </w:r>
      <w:r w:rsidRPr="005D4B5D">
        <w:t>23 October 2018,</w:t>
      </w:r>
      <w:r w:rsidRPr="005D4B5D">
        <w:rPr>
          <w:i/>
        </w:rPr>
        <w:t xml:space="preserve"> </w:t>
      </w:r>
      <w:r w:rsidRPr="005D4B5D">
        <w:t>F/2018/94374; D/2018/851613, p 1</w:t>
      </w:r>
    </w:p>
  </w:footnote>
  <w:footnote w:id="387">
    <w:p w14:paraId="031BEDE7" w14:textId="2D442DC1" w:rsidR="0042789D" w:rsidRPr="005D4B5D" w:rsidRDefault="0042789D" w:rsidP="005D4B5D">
      <w:pPr>
        <w:pStyle w:val="FootnoteText"/>
        <w:spacing w:before="60" w:after="60"/>
      </w:pPr>
      <w:r w:rsidRPr="005D4B5D">
        <w:rPr>
          <w:rStyle w:val="FootnoteReference"/>
        </w:rPr>
        <w:footnoteRef/>
      </w:r>
      <w:r w:rsidRPr="005D4B5D">
        <w:t xml:space="preserve"> </w:t>
      </w:r>
      <w:r w:rsidRPr="005A04B8">
        <w:t>Ibid pp 1-2.</w:t>
      </w:r>
    </w:p>
  </w:footnote>
  <w:footnote w:id="388">
    <w:p w14:paraId="618279FA" w14:textId="5E7B02AA" w:rsidR="0042789D" w:rsidRPr="005D4B5D" w:rsidRDefault="0042789D" w:rsidP="005D4B5D">
      <w:pPr>
        <w:pStyle w:val="FootnoteText"/>
        <w:spacing w:before="60" w:after="60"/>
      </w:pPr>
      <w:r w:rsidRPr="005D4B5D">
        <w:rPr>
          <w:rStyle w:val="FootnoteReference"/>
        </w:rPr>
        <w:footnoteRef/>
      </w:r>
      <w:r w:rsidRPr="005D4B5D">
        <w:t xml:space="preserve"> Victorian Law Reform Commission, </w:t>
      </w:r>
      <w:r w:rsidRPr="005D4B5D">
        <w:rPr>
          <w:i/>
        </w:rPr>
        <w:t>Sex Offenders Registration</w:t>
      </w:r>
      <w:r w:rsidRPr="005D4B5D">
        <w:t xml:space="preserve"> (201</w:t>
      </w:r>
      <w:r>
        <w:t>2) para 1.10</w:t>
      </w:r>
      <w:r w:rsidRPr="005D4B5D">
        <w:t xml:space="preserve">. </w:t>
      </w:r>
    </w:p>
  </w:footnote>
  <w:footnote w:id="389">
    <w:p w14:paraId="699F7257" w14:textId="74D57C5A" w:rsidR="0042789D" w:rsidRPr="00AE7B10" w:rsidRDefault="0042789D">
      <w:pPr>
        <w:pStyle w:val="FootnoteText"/>
      </w:pPr>
      <w:r w:rsidRPr="00AE7B10">
        <w:rPr>
          <w:rStyle w:val="FootnoteReference"/>
        </w:rPr>
        <w:footnoteRef/>
      </w:r>
      <w:r w:rsidRPr="00AE7B10">
        <w:t xml:space="preserve"> Letter from Commissioner of Police, </w:t>
      </w:r>
      <w:r>
        <w:t>NSW Police Force</w:t>
      </w:r>
      <w:r w:rsidRPr="00AE7B10">
        <w:t xml:space="preserve">, to Chief Commissioner, </w:t>
      </w:r>
      <w:r>
        <w:t>Law Enforcement Conduct Commission</w:t>
      </w:r>
      <w:r w:rsidRPr="00AE7B10">
        <w:t>, 30 September 2019, p 1.</w:t>
      </w:r>
    </w:p>
  </w:footnote>
  <w:footnote w:id="390">
    <w:p w14:paraId="658E5B77" w14:textId="31B77F3F" w:rsidR="0042789D" w:rsidRPr="005D4B5D" w:rsidRDefault="0042789D" w:rsidP="005D4B5D">
      <w:pPr>
        <w:pStyle w:val="FootnoteText"/>
        <w:spacing w:before="60" w:after="60"/>
      </w:pPr>
      <w:r w:rsidRPr="005D4B5D">
        <w:rPr>
          <w:rStyle w:val="FootnoteReference"/>
        </w:rPr>
        <w:footnoteRef/>
      </w:r>
      <w:r w:rsidRPr="005D4B5D">
        <w:t xml:space="preserve"> </w:t>
      </w:r>
      <w:r w:rsidRPr="005D4B5D">
        <w:rPr>
          <w:i/>
        </w:rPr>
        <w:t xml:space="preserve">NSW Police </w:t>
      </w:r>
      <w:r>
        <w:rPr>
          <w:i/>
        </w:rPr>
        <w:t>Force r</w:t>
      </w:r>
      <w:r w:rsidRPr="005D4B5D">
        <w:rPr>
          <w:i/>
        </w:rPr>
        <w:t xml:space="preserve">esponse to the interim report of Operation Tusket, </w:t>
      </w:r>
      <w:r w:rsidRPr="005D4B5D">
        <w:t>23 October 2018,</w:t>
      </w:r>
      <w:r w:rsidRPr="005D4B5D">
        <w:rPr>
          <w:i/>
        </w:rPr>
        <w:t xml:space="preserve"> </w:t>
      </w:r>
      <w:r w:rsidRPr="005D4B5D">
        <w:t>F/2018/94374; D/2018/851613, p 2.</w:t>
      </w:r>
    </w:p>
  </w:footnote>
  <w:footnote w:id="391">
    <w:p w14:paraId="2157C770" w14:textId="10C1760E" w:rsidR="0042789D" w:rsidRPr="00BF5CB9" w:rsidRDefault="0042789D" w:rsidP="005D4B5D">
      <w:pPr>
        <w:pStyle w:val="FootnoteText"/>
        <w:spacing w:before="60" w:after="60"/>
      </w:pPr>
      <w:r w:rsidRPr="005D4B5D">
        <w:rPr>
          <w:rStyle w:val="FootnoteReference"/>
        </w:rPr>
        <w:footnoteRef/>
      </w:r>
      <w:r w:rsidRPr="005D4B5D">
        <w:t xml:space="preserve"> </w:t>
      </w:r>
      <w:r w:rsidRPr="005A04B8">
        <w:t>Ibid.</w:t>
      </w:r>
    </w:p>
  </w:footnote>
  <w:footnote w:id="392">
    <w:p w14:paraId="3E5DDCDF" w14:textId="7A3B7769" w:rsidR="0042789D" w:rsidRPr="00BF5CB9" w:rsidRDefault="0042789D" w:rsidP="00F90F1C">
      <w:pPr>
        <w:pStyle w:val="FootnoteText"/>
        <w:spacing w:before="60" w:after="60"/>
      </w:pPr>
      <w:r w:rsidRPr="00BF5CB9">
        <w:rPr>
          <w:rStyle w:val="FootnoteReference"/>
        </w:rPr>
        <w:footnoteRef/>
      </w:r>
      <w:r w:rsidRPr="00BF5CB9">
        <w:t xml:space="preserve"> </w:t>
      </w:r>
      <w:r w:rsidRPr="004E28DC">
        <w:rPr>
          <w:i/>
        </w:rPr>
        <w:t>NSW Police Force response to the interim report of Operation Tusket</w:t>
      </w:r>
      <w:r w:rsidRPr="004E28DC">
        <w:t>, 23 October 2018, F/2018/94374; D/2018/851613, p 6.</w:t>
      </w:r>
      <w:r w:rsidRPr="00BF5CB9">
        <w:t xml:space="preserve"> </w:t>
      </w:r>
    </w:p>
  </w:footnote>
  <w:footnote w:id="393">
    <w:p w14:paraId="31EF1C79" w14:textId="77777777" w:rsidR="0042789D" w:rsidRPr="00BF5CB9" w:rsidRDefault="0042789D" w:rsidP="00F90F1C">
      <w:pPr>
        <w:pStyle w:val="FootnoteText"/>
        <w:spacing w:before="60" w:after="60"/>
      </w:pPr>
      <w:r w:rsidRPr="00BF5CB9">
        <w:rPr>
          <w:rStyle w:val="FootnoteReference"/>
        </w:rPr>
        <w:footnoteRef/>
      </w:r>
      <w:r w:rsidRPr="00BF5CB9">
        <w:t xml:space="preserve"> </w:t>
      </w:r>
      <w:r w:rsidRPr="00BF5CB9">
        <w:rPr>
          <w:i/>
        </w:rPr>
        <w:t>Child Protection (Offenders Registration) Act 2000</w:t>
      </w:r>
      <w:r w:rsidRPr="00BF5CB9">
        <w:t xml:space="preserve"> (NSW) s 3(1) (definitions of ‘Class 1 offence’, para (g) and ‘Class 2 offence’, para (l)).</w:t>
      </w:r>
    </w:p>
  </w:footnote>
  <w:footnote w:id="394">
    <w:p w14:paraId="3D24100B" w14:textId="3E3E32DB" w:rsidR="0042789D" w:rsidRPr="00BF5CB9" w:rsidRDefault="0042789D" w:rsidP="00F90F1C">
      <w:pPr>
        <w:pStyle w:val="FootnoteText"/>
        <w:spacing w:before="60" w:after="60"/>
      </w:pPr>
      <w:r w:rsidRPr="00BF5CB9">
        <w:rPr>
          <w:rStyle w:val="FootnoteReference"/>
        </w:rPr>
        <w:footnoteRef/>
      </w:r>
      <w:r w:rsidRPr="00BF5CB9">
        <w:t xml:space="preserve"> </w:t>
      </w:r>
      <w:r>
        <w:t>NSW Police Force response</w:t>
      </w:r>
      <w:r w:rsidRPr="00BF5CB9">
        <w:t xml:space="preserve"> to item 3 of </w:t>
      </w:r>
      <w:r>
        <w:t>Law Enforcement Conduct Commission Notice</w:t>
      </w:r>
      <w:r w:rsidRPr="00BF5CB9">
        <w:t xml:space="preserve"> 929 of 2017. This number does not include offences that persons commit in other jurisdictions that are picked up by the CPOR Act through the </w:t>
      </w:r>
      <w:r>
        <w:t>‘</w:t>
      </w:r>
      <w:r w:rsidRPr="00BF5CB9">
        <w:t>corresponding registrable offender provisions</w:t>
      </w:r>
      <w:r>
        <w:t>’</w:t>
      </w:r>
      <w:r w:rsidRPr="00BF5CB9">
        <w:t xml:space="preserve"> in Part 3, Division 10 of the Act.</w:t>
      </w:r>
    </w:p>
  </w:footnote>
  <w:footnote w:id="395">
    <w:p w14:paraId="2B8857C7" w14:textId="1E602E4D" w:rsidR="0042789D" w:rsidRPr="00BF5CB9" w:rsidRDefault="0042789D" w:rsidP="00F90F1C">
      <w:pPr>
        <w:spacing w:before="60" w:after="60" w:line="240" w:lineRule="auto"/>
        <w:rPr>
          <w:rFonts w:ascii="Gotham Book" w:hAnsi="Gotham Book"/>
          <w:sz w:val="20"/>
          <w:szCs w:val="20"/>
        </w:rPr>
      </w:pPr>
      <w:r w:rsidRPr="00BF5CB9">
        <w:rPr>
          <w:rStyle w:val="FootnoteReference"/>
          <w:rFonts w:ascii="Gotham Book" w:hAnsi="Gotham Book"/>
          <w:sz w:val="20"/>
          <w:szCs w:val="20"/>
        </w:rPr>
        <w:footnoteRef/>
      </w:r>
      <w:r>
        <w:rPr>
          <w:rFonts w:ascii="Gotham Book" w:hAnsi="Gotham Book"/>
          <w:sz w:val="20"/>
          <w:szCs w:val="20"/>
        </w:rPr>
        <w:t xml:space="preserve"> Emails from Law Enforcement Conduct Commission to Child Protection Registry, NSW Police Force, 16 March 2018 </w:t>
      </w:r>
      <w:r w:rsidRPr="00BF5CB9">
        <w:rPr>
          <w:rFonts w:ascii="Gotham Book" w:hAnsi="Gotham Book"/>
          <w:sz w:val="20"/>
          <w:szCs w:val="20"/>
        </w:rPr>
        <w:t>and 22 May 2018; Email</w:t>
      </w:r>
      <w:r>
        <w:rPr>
          <w:rFonts w:ascii="Gotham Book" w:hAnsi="Gotham Book"/>
          <w:sz w:val="20"/>
          <w:szCs w:val="20"/>
        </w:rPr>
        <w:t xml:space="preserve"> from Child Protection Registry, NSW Police Force, to Law Enforcement Conduct Commission, 19</w:t>
      </w:r>
      <w:r w:rsidRPr="00BF5CB9">
        <w:rPr>
          <w:rFonts w:ascii="Gotham Book" w:hAnsi="Gotham Book"/>
          <w:sz w:val="20"/>
          <w:szCs w:val="20"/>
        </w:rPr>
        <w:t xml:space="preserve"> June 2018.</w:t>
      </w:r>
    </w:p>
  </w:footnote>
  <w:footnote w:id="396">
    <w:p w14:paraId="37ED4507" w14:textId="77777777" w:rsidR="0042789D" w:rsidRPr="00BF5CB9" w:rsidRDefault="0042789D" w:rsidP="00F90F1C">
      <w:pPr>
        <w:pStyle w:val="FootnoteText"/>
        <w:spacing w:before="60" w:after="60"/>
      </w:pPr>
      <w:r w:rsidRPr="00BF5CB9">
        <w:rPr>
          <w:rStyle w:val="FootnoteReference"/>
        </w:rPr>
        <w:footnoteRef/>
      </w:r>
      <w:r w:rsidRPr="00BF5CB9">
        <w:t xml:space="preserve"> </w:t>
      </w:r>
      <w:r w:rsidRPr="00BF5CB9">
        <w:rPr>
          <w:i/>
        </w:rPr>
        <w:t>Child Protection (Offenders Registration) Act 2000</w:t>
      </w:r>
      <w:r w:rsidRPr="00BF5CB9">
        <w:t xml:space="preserve"> (NSW) s 3(3) and s 3A(2)(c) and (5).</w:t>
      </w:r>
    </w:p>
  </w:footnote>
  <w:footnote w:id="397">
    <w:p w14:paraId="247DEB0F" w14:textId="77777777" w:rsidR="0042789D" w:rsidRPr="00BF5CB9" w:rsidRDefault="0042789D" w:rsidP="001F36D4">
      <w:pPr>
        <w:pStyle w:val="FootnoteText"/>
        <w:spacing w:before="60" w:after="60"/>
      </w:pPr>
      <w:r w:rsidRPr="00BF5CB9">
        <w:rPr>
          <w:rStyle w:val="FootnoteReference"/>
        </w:rPr>
        <w:footnoteRef/>
      </w:r>
      <w:r w:rsidRPr="00BF5CB9">
        <w:t xml:space="preserve"> </w:t>
      </w:r>
      <w:r w:rsidRPr="00BF5CB9">
        <w:rPr>
          <w:i/>
        </w:rPr>
        <w:t>Crimes Act 1900</w:t>
      </w:r>
      <w:r w:rsidRPr="00BF5CB9">
        <w:t xml:space="preserve"> (NSW) s 91H.</w:t>
      </w:r>
    </w:p>
  </w:footnote>
  <w:footnote w:id="398">
    <w:p w14:paraId="304F6E8D" w14:textId="392F578E" w:rsidR="0042789D" w:rsidRPr="00BF5CB9" w:rsidRDefault="0042789D" w:rsidP="001F36D4">
      <w:pPr>
        <w:pStyle w:val="FootnoteText"/>
        <w:spacing w:before="60" w:after="60"/>
      </w:pPr>
      <w:r w:rsidRPr="00BF5CB9">
        <w:rPr>
          <w:rStyle w:val="FootnoteReference"/>
        </w:rPr>
        <w:footnoteRef/>
      </w:r>
      <w:r w:rsidRPr="00BF5CB9">
        <w:t xml:space="preserve"> </w:t>
      </w:r>
      <w:r>
        <w:t xml:space="preserve">Workforce Intelligence Unit, Human Resources Command, NSW Police Force, </w:t>
      </w:r>
      <w:r w:rsidRPr="001F36D4">
        <w:rPr>
          <w:i/>
        </w:rPr>
        <w:t>HR Analysis: Child Protection Register Staffing Review</w:t>
      </w:r>
      <w:r>
        <w:t>, 20 July 2017, D/2017/630614, NSW Police Force response to item 1 of Law Enforcement Conduct Commission Notice 929 of 2017</w:t>
      </w:r>
      <w:r w:rsidRPr="00BF5CB9">
        <w:t>, p 50.</w:t>
      </w:r>
    </w:p>
  </w:footnote>
  <w:footnote w:id="399">
    <w:p w14:paraId="7250D530" w14:textId="77777777" w:rsidR="0042789D" w:rsidRPr="00BF5CB9" w:rsidRDefault="0042789D" w:rsidP="001F36D4">
      <w:pPr>
        <w:pStyle w:val="FootnoteText"/>
        <w:spacing w:before="60" w:after="60"/>
      </w:pPr>
      <w:r w:rsidRPr="00BF5CB9">
        <w:rPr>
          <w:rStyle w:val="FootnoteReference"/>
        </w:rPr>
        <w:footnoteRef/>
      </w:r>
      <w:r w:rsidRPr="00BF5CB9">
        <w:t xml:space="preserve"> </w:t>
      </w:r>
      <w:r w:rsidRPr="00BF5CB9">
        <w:rPr>
          <w:i/>
        </w:rPr>
        <w:t>Child Protection (Offenders Registration) Act 2000</w:t>
      </w:r>
      <w:r w:rsidRPr="00BF5CB9">
        <w:t xml:space="preserve"> (NSW) s 14A(1)(c) and (2).</w:t>
      </w:r>
    </w:p>
  </w:footnote>
  <w:footnote w:id="400">
    <w:p w14:paraId="220F7499" w14:textId="47570FB9" w:rsidR="0042789D" w:rsidRPr="00BF5CB9" w:rsidRDefault="0042789D" w:rsidP="00A33170">
      <w:pPr>
        <w:pStyle w:val="FootnoteText"/>
        <w:spacing w:before="60" w:after="60"/>
      </w:pPr>
      <w:r w:rsidRPr="00BF5CB9">
        <w:rPr>
          <w:rStyle w:val="FootnoteReference"/>
        </w:rPr>
        <w:footnoteRef/>
      </w:r>
      <w:r w:rsidRPr="00BF5CB9">
        <w:t xml:space="preserve"> </w:t>
      </w:r>
      <w:r>
        <w:t xml:space="preserve">Workforce Intelligence Unit, Human Resources Command, NSW Police Force, </w:t>
      </w:r>
      <w:r w:rsidRPr="00A24F36">
        <w:rPr>
          <w:i/>
        </w:rPr>
        <w:t>HR Analysis: Child Protection Register Staffing Review</w:t>
      </w:r>
      <w:r>
        <w:t>, 20 July 2017, D/2017/630614, NSW Police Force response to item 1 of Law Enforcement Conduct Commission Notice 929 of 2017</w:t>
      </w:r>
      <w:r w:rsidRPr="00BF5CB9">
        <w:t>, p 64.</w:t>
      </w:r>
    </w:p>
  </w:footnote>
  <w:footnote w:id="401">
    <w:p w14:paraId="45F8C342" w14:textId="76DE251E" w:rsidR="0042789D" w:rsidRPr="00BF5CB9" w:rsidRDefault="0042789D" w:rsidP="00A33170">
      <w:pPr>
        <w:pStyle w:val="FootnoteText"/>
        <w:spacing w:before="60" w:after="60"/>
      </w:pPr>
      <w:r w:rsidRPr="00BF5CB9">
        <w:rPr>
          <w:rStyle w:val="FootnoteReference"/>
        </w:rPr>
        <w:footnoteRef/>
      </w:r>
      <w:r w:rsidRPr="00BF5CB9">
        <w:t xml:space="preserve"> </w:t>
      </w:r>
      <w:r>
        <w:t xml:space="preserve">Ibid </w:t>
      </w:r>
      <w:r w:rsidRPr="00BF5CB9">
        <w:t>p 52; Child Protection Registry,</w:t>
      </w:r>
      <w:r>
        <w:t xml:space="preserve"> NSW Police Force,</w:t>
      </w:r>
      <w:r w:rsidRPr="00BF5CB9">
        <w:t xml:space="preserve"> </w:t>
      </w:r>
      <w:r w:rsidRPr="00BF5CB9">
        <w:rPr>
          <w:i/>
        </w:rPr>
        <w:t>Serious concerns raised regarding the Child Protection Register (CPR) reporting period timeframes and the lack of review of matters prior to case finalisation</w:t>
      </w:r>
      <w:r w:rsidRPr="00BF5CB9">
        <w:t xml:space="preserve">, 26 May 2016, D/2016/277899, </w:t>
      </w:r>
      <w:r>
        <w:t>NSW Police Force response</w:t>
      </w:r>
      <w:r w:rsidRPr="00BF5CB9">
        <w:t xml:space="preserve"> to </w:t>
      </w:r>
      <w:r>
        <w:t>item 7 of Law Enforcement Conduct Commission Notice</w:t>
      </w:r>
      <w:r w:rsidRPr="00BF5CB9">
        <w:t xml:space="preserve"> 914 of 2017, p 2.</w:t>
      </w:r>
    </w:p>
  </w:footnote>
  <w:footnote w:id="402">
    <w:p w14:paraId="7367A539" w14:textId="7904F292" w:rsidR="0042789D" w:rsidRPr="00BF5CB9" w:rsidRDefault="0042789D" w:rsidP="00A33170">
      <w:pPr>
        <w:pStyle w:val="FootnoteText"/>
        <w:spacing w:before="60" w:after="60"/>
      </w:pPr>
      <w:r w:rsidRPr="00BF5CB9">
        <w:rPr>
          <w:rStyle w:val="FootnoteReference"/>
        </w:rPr>
        <w:footnoteRef/>
      </w:r>
      <w:r w:rsidRPr="00BF5CB9">
        <w:t xml:space="preserve"> </w:t>
      </w:r>
      <w:r w:rsidRPr="00BF5CB9">
        <w:rPr>
          <w:i/>
        </w:rPr>
        <w:t>Grand totals year to date 2018</w:t>
      </w:r>
      <w:r w:rsidRPr="00BF5CB9">
        <w:t xml:space="preserve">, </w:t>
      </w:r>
      <w:r>
        <w:t>NSW Police Force response</w:t>
      </w:r>
      <w:r w:rsidRPr="00BF5CB9">
        <w:t xml:space="preserve"> to item 1 of </w:t>
      </w:r>
      <w:r>
        <w:t>Law Enforcement Conduct Commission Notice</w:t>
      </w:r>
      <w:r w:rsidRPr="00BF5CB9">
        <w:t xml:space="preserve"> 988 of 2018. </w:t>
      </w:r>
    </w:p>
  </w:footnote>
  <w:footnote w:id="403">
    <w:p w14:paraId="5E32481A" w14:textId="77777777" w:rsidR="0042789D" w:rsidRPr="00BF5CB9" w:rsidRDefault="0042789D" w:rsidP="00A33170">
      <w:pPr>
        <w:pStyle w:val="FootnoteText"/>
        <w:spacing w:before="60" w:after="60"/>
      </w:pPr>
      <w:r w:rsidRPr="00BF5CB9">
        <w:rPr>
          <w:rStyle w:val="FootnoteReference"/>
        </w:rPr>
        <w:footnoteRef/>
      </w:r>
      <w:r w:rsidRPr="00BF5CB9">
        <w:t xml:space="preserve"> </w:t>
      </w:r>
      <w:r w:rsidRPr="00BF5CB9">
        <w:rPr>
          <w:i/>
        </w:rPr>
        <w:t>Child Protection (Offenders Registration) Act 2000</w:t>
      </w:r>
      <w:r w:rsidRPr="00BF5CB9">
        <w:t xml:space="preserve"> (NSW) s 14A(4).</w:t>
      </w:r>
    </w:p>
  </w:footnote>
  <w:footnote w:id="404">
    <w:p w14:paraId="4A04E7F5" w14:textId="77777777" w:rsidR="0042789D" w:rsidRPr="00BF5CB9" w:rsidRDefault="0042789D" w:rsidP="00A33170">
      <w:pPr>
        <w:pStyle w:val="FootnoteText"/>
        <w:spacing w:before="60" w:after="60"/>
      </w:pPr>
      <w:r w:rsidRPr="00BF5CB9">
        <w:rPr>
          <w:rStyle w:val="FootnoteReference"/>
        </w:rPr>
        <w:footnoteRef/>
      </w:r>
      <w:r w:rsidRPr="00BF5CB9">
        <w:t xml:space="preserve"> </w:t>
      </w:r>
      <w:r w:rsidRPr="00BF5CB9">
        <w:rPr>
          <w:i/>
        </w:rPr>
        <w:t>Crimes Act 1900</w:t>
      </w:r>
      <w:r w:rsidRPr="00BF5CB9">
        <w:t xml:space="preserve"> (NSW) s 91H.</w:t>
      </w:r>
    </w:p>
  </w:footnote>
  <w:footnote w:id="405">
    <w:p w14:paraId="39438C07" w14:textId="77777777" w:rsidR="0042789D" w:rsidRPr="00BF5CB9" w:rsidRDefault="0042789D" w:rsidP="00A33170">
      <w:pPr>
        <w:pStyle w:val="FootnoteText"/>
        <w:spacing w:before="60" w:after="60"/>
      </w:pPr>
      <w:r w:rsidRPr="00BF5CB9">
        <w:rPr>
          <w:rStyle w:val="FootnoteReference"/>
        </w:rPr>
        <w:footnoteRef/>
      </w:r>
      <w:r w:rsidRPr="00BF5CB9">
        <w:t xml:space="preserve"> </w:t>
      </w:r>
      <w:r w:rsidRPr="00BF5CB9">
        <w:rPr>
          <w:i/>
        </w:rPr>
        <w:t>Child Protection (Offenders Registration) Amendment Act 2001</w:t>
      </w:r>
      <w:r w:rsidRPr="00BF5CB9">
        <w:t xml:space="preserve"> (NSW) sch 1 cl 8. </w:t>
      </w:r>
    </w:p>
  </w:footnote>
  <w:footnote w:id="406">
    <w:p w14:paraId="6F5FC334" w14:textId="5B89144E" w:rsidR="0042789D" w:rsidRPr="00BF5CB9" w:rsidRDefault="0042789D" w:rsidP="005252A4">
      <w:pPr>
        <w:pStyle w:val="FootnoteText"/>
        <w:spacing w:before="60" w:after="60"/>
      </w:pPr>
      <w:r w:rsidRPr="00BF5CB9">
        <w:rPr>
          <w:rStyle w:val="FootnoteReference"/>
        </w:rPr>
        <w:footnoteRef/>
      </w:r>
      <w:r w:rsidRPr="00BF5CB9">
        <w:t xml:space="preserve"> </w:t>
      </w:r>
      <w:r w:rsidRPr="00BF5CB9">
        <w:rPr>
          <w:i/>
        </w:rPr>
        <w:t>Child Protection Register</w:t>
      </w:r>
      <w:r w:rsidRPr="00BF5CB9">
        <w:t xml:space="preserve"> - </w:t>
      </w:r>
      <w:r w:rsidRPr="00BF5CB9">
        <w:rPr>
          <w:i/>
        </w:rPr>
        <w:t>Business Risk Committee – December 2017</w:t>
      </w:r>
      <w:r>
        <w:t>,</w:t>
      </w:r>
      <w:r w:rsidRPr="00BF5CB9">
        <w:t xml:space="preserve"> </w:t>
      </w:r>
      <w:r>
        <w:t>NSW Police Force response</w:t>
      </w:r>
      <w:r w:rsidRPr="00BF5CB9">
        <w:t xml:space="preserve"> to item 19(a) of </w:t>
      </w:r>
      <w:r>
        <w:t>Law Enforcement Conduct Commission Notice</w:t>
      </w:r>
      <w:r w:rsidRPr="00BF5CB9">
        <w:t xml:space="preserve"> 929 of 2017, p 3.</w:t>
      </w:r>
    </w:p>
  </w:footnote>
  <w:footnote w:id="407">
    <w:p w14:paraId="47D099DA" w14:textId="165A0076" w:rsidR="0042789D" w:rsidRPr="00BF5CB9" w:rsidRDefault="0042789D" w:rsidP="005252A4">
      <w:pPr>
        <w:pStyle w:val="FootnoteText"/>
        <w:spacing w:before="60" w:after="60"/>
      </w:pPr>
      <w:r w:rsidRPr="00BF5CB9">
        <w:rPr>
          <w:rStyle w:val="FootnoteReference"/>
        </w:rPr>
        <w:footnoteRef/>
      </w:r>
      <w:r w:rsidRPr="00BF5CB9">
        <w:t xml:space="preserve"> </w:t>
      </w:r>
      <w:r w:rsidRPr="00BF5CB9">
        <w:rPr>
          <w:i/>
        </w:rPr>
        <w:t>Child Protection Register</w:t>
      </w:r>
      <w:r w:rsidRPr="00BF5CB9">
        <w:t xml:space="preserve"> - </w:t>
      </w:r>
      <w:r w:rsidRPr="00BF5CB9">
        <w:rPr>
          <w:i/>
        </w:rPr>
        <w:t>Business Risk Committee – December 2017</w:t>
      </w:r>
      <w:r w:rsidRPr="00BF5CB9">
        <w:t xml:space="preserve">, </w:t>
      </w:r>
      <w:r>
        <w:t>NSW Police Force response</w:t>
      </w:r>
      <w:r w:rsidRPr="00BF5CB9">
        <w:t xml:space="preserve"> to item 19(a) of </w:t>
      </w:r>
      <w:r>
        <w:t>Law Enforcement Conduct Commission Notice</w:t>
      </w:r>
      <w:r w:rsidRPr="00BF5CB9">
        <w:t xml:space="preserve"> 929 of 2017, p 3.</w:t>
      </w:r>
    </w:p>
  </w:footnote>
  <w:footnote w:id="408">
    <w:p w14:paraId="55420B48" w14:textId="77777777" w:rsidR="0042789D" w:rsidRPr="00BF5CB9" w:rsidRDefault="0042789D" w:rsidP="005252A4">
      <w:pPr>
        <w:pStyle w:val="FootnoteText"/>
        <w:spacing w:before="60" w:after="60"/>
      </w:pPr>
      <w:r w:rsidRPr="00BF5CB9">
        <w:rPr>
          <w:rStyle w:val="FootnoteReference"/>
        </w:rPr>
        <w:footnoteRef/>
      </w:r>
      <w:r w:rsidRPr="00BF5CB9">
        <w:t xml:space="preserve"> </w:t>
      </w:r>
      <w:r w:rsidRPr="00BF5CB9">
        <w:rPr>
          <w:i/>
        </w:rPr>
        <w:t>Child Protection (Offenders Registration) Act 2000</w:t>
      </w:r>
      <w:r w:rsidRPr="00BF5CB9">
        <w:t xml:space="preserve"> (NSW) s 17.</w:t>
      </w:r>
    </w:p>
  </w:footnote>
  <w:footnote w:id="409">
    <w:p w14:paraId="61B7A158" w14:textId="77777777" w:rsidR="0042789D" w:rsidRPr="00BF5CB9" w:rsidRDefault="0042789D" w:rsidP="005252A4">
      <w:pPr>
        <w:pStyle w:val="FootnoteText"/>
        <w:spacing w:before="60" w:after="60"/>
      </w:pPr>
      <w:r w:rsidRPr="00BF5CB9">
        <w:rPr>
          <w:rStyle w:val="FootnoteReference"/>
        </w:rPr>
        <w:footnoteRef/>
      </w:r>
      <w:r w:rsidRPr="00BF5CB9">
        <w:t xml:space="preserve"> </w:t>
      </w:r>
      <w:r w:rsidRPr="00BF5CB9">
        <w:rPr>
          <w:i/>
        </w:rPr>
        <w:t>Child Protection (Offenders Registration) Act 2000</w:t>
      </w:r>
      <w:r w:rsidRPr="00BF5CB9">
        <w:t xml:space="preserve"> (NSW) s 9(1)(f) and s 11(1).</w:t>
      </w:r>
    </w:p>
  </w:footnote>
  <w:footnote w:id="410">
    <w:p w14:paraId="5CB5A527" w14:textId="234EA91A" w:rsidR="0042789D" w:rsidRPr="00BF5CB9" w:rsidRDefault="0042789D" w:rsidP="005252A4">
      <w:pPr>
        <w:pStyle w:val="FootnoteText"/>
        <w:spacing w:before="60" w:after="60"/>
      </w:pPr>
      <w:r w:rsidRPr="00BF5CB9">
        <w:rPr>
          <w:rStyle w:val="FootnoteReference"/>
        </w:rPr>
        <w:footnoteRef/>
      </w:r>
      <w:r>
        <w:t xml:space="preserve"> The phrase ‘generally employed’ </w:t>
      </w:r>
      <w:r w:rsidRPr="00BF5CB9">
        <w:t>should have been updated to ‘generally works’</w:t>
      </w:r>
      <w:r>
        <w:t xml:space="preserve"> when other amendments were made to the CPOR Act in 2013</w:t>
      </w:r>
      <w:r w:rsidRPr="00BF5CB9">
        <w:t xml:space="preserve">: see </w:t>
      </w:r>
      <w:r w:rsidRPr="00BF5CB9">
        <w:rPr>
          <w:i/>
        </w:rPr>
        <w:t>Child Protection Legislation Amendment (Children’s Guardian) Act 2013</w:t>
      </w:r>
      <w:r w:rsidRPr="00BF5CB9">
        <w:t xml:space="preserve"> (NSW).</w:t>
      </w:r>
    </w:p>
  </w:footnote>
  <w:footnote w:id="411">
    <w:p w14:paraId="216F75F8" w14:textId="7C08CF01" w:rsidR="0042789D" w:rsidRPr="00BF5CB9" w:rsidRDefault="0042789D" w:rsidP="005252A4">
      <w:pPr>
        <w:pStyle w:val="FootnoteText"/>
        <w:spacing w:before="60" w:after="60"/>
      </w:pPr>
      <w:r w:rsidRPr="00BF5CB9">
        <w:rPr>
          <w:rStyle w:val="FootnoteReference"/>
        </w:rPr>
        <w:footnoteRef/>
      </w:r>
      <w:r w:rsidRPr="00BF5CB9">
        <w:t xml:space="preserve"> </w:t>
      </w:r>
      <w:r w:rsidRPr="00BF5CB9">
        <w:rPr>
          <w:i/>
        </w:rPr>
        <w:t>Child Protection (Offenders Registration) Act 2000</w:t>
      </w:r>
      <w:r w:rsidRPr="00BF5CB9">
        <w:t xml:space="preserve"> (NSW) s 3 (para (e) of the definition of</w:t>
      </w:r>
      <w:r>
        <w:t> </w:t>
      </w:r>
      <w:r w:rsidRPr="00BF5CB9">
        <w:t>‘Class 1 offence’ and para (j) of the definition of ‘Class 2 offence’).</w:t>
      </w:r>
    </w:p>
  </w:footnote>
  <w:footnote w:id="412">
    <w:p w14:paraId="6202A1ED" w14:textId="0B75938C" w:rsidR="0042789D" w:rsidRDefault="0042789D" w:rsidP="00177244">
      <w:pPr>
        <w:pStyle w:val="FootnoteText"/>
        <w:spacing w:before="60" w:after="60"/>
      </w:pPr>
      <w:r>
        <w:rPr>
          <w:rStyle w:val="FootnoteReference"/>
        </w:rPr>
        <w:footnoteRef/>
      </w:r>
      <w:r>
        <w:t xml:space="preserve"> </w:t>
      </w:r>
      <w:r>
        <w:rPr>
          <w:i/>
        </w:rPr>
        <w:t>Child Protection (Offenders Registration) Act 2000</w:t>
      </w:r>
      <w:r>
        <w:t xml:space="preserve"> (NSW) s 3 (definition of ‘foreign jurisdiction’).</w:t>
      </w:r>
    </w:p>
  </w:footnote>
  <w:footnote w:id="413">
    <w:p w14:paraId="4E04F909" w14:textId="77777777" w:rsidR="0042789D" w:rsidRPr="00BF5CB9" w:rsidRDefault="0042789D" w:rsidP="000E4679">
      <w:pPr>
        <w:pStyle w:val="FootnoteText"/>
        <w:spacing w:before="60" w:after="60"/>
      </w:pPr>
      <w:r w:rsidRPr="00BF5CB9">
        <w:rPr>
          <w:rStyle w:val="FootnoteReference"/>
        </w:rPr>
        <w:footnoteRef/>
      </w:r>
      <w:r w:rsidRPr="00BF5CB9">
        <w:t xml:space="preserve"> </w:t>
      </w:r>
      <w:r w:rsidRPr="00BF5CB9">
        <w:rPr>
          <w:i/>
        </w:rPr>
        <w:t>Child Protection (Offenders Registration) Act 2000</w:t>
      </w:r>
      <w:r w:rsidRPr="00BF5CB9">
        <w:t xml:space="preserve"> (NSW) s 3 (definition of ‘sentence’).</w:t>
      </w:r>
    </w:p>
  </w:footnote>
  <w:footnote w:id="414">
    <w:p w14:paraId="2FD2BAFE" w14:textId="77777777" w:rsidR="0042789D" w:rsidRPr="00BF5CB9" w:rsidRDefault="0042789D" w:rsidP="000E4679">
      <w:pPr>
        <w:pStyle w:val="FootnoteText"/>
        <w:spacing w:before="60" w:after="60"/>
      </w:pPr>
      <w:r w:rsidRPr="00BF5CB9">
        <w:rPr>
          <w:rStyle w:val="FootnoteReference"/>
        </w:rPr>
        <w:footnoteRef/>
      </w:r>
      <w:r w:rsidRPr="00BF5CB9">
        <w:t xml:space="preserve"> </w:t>
      </w:r>
      <w:r w:rsidRPr="00BF5CB9">
        <w:rPr>
          <w:i/>
        </w:rPr>
        <w:t>Child Protection (Offenders Registration) Act 2000</w:t>
      </w:r>
      <w:r w:rsidRPr="00BF5CB9">
        <w:t xml:space="preserve"> (NSW) s 19BB and 19BC.</w:t>
      </w:r>
    </w:p>
  </w:footnote>
  <w:footnote w:id="415">
    <w:p w14:paraId="6E8B734E" w14:textId="1207F54E" w:rsidR="0042789D" w:rsidRPr="00BF5CB9" w:rsidRDefault="0042789D" w:rsidP="00661D6E">
      <w:pPr>
        <w:pStyle w:val="FootnoteText"/>
        <w:spacing w:before="60" w:after="60"/>
      </w:pPr>
      <w:r w:rsidRPr="00BF5CB9">
        <w:rPr>
          <w:rStyle w:val="FootnoteReference"/>
        </w:rPr>
        <w:footnoteRef/>
      </w:r>
      <w:r>
        <w:t xml:space="preserve"> For example, manslaughter of a child (other than as a result of a motor vehicle accident) is a regist</w:t>
      </w:r>
      <w:r w:rsidRPr="009974C4">
        <w:t xml:space="preserve">rable offence </w:t>
      </w:r>
      <w:r>
        <w:t>in New South Wales</w:t>
      </w:r>
      <w:r w:rsidRPr="009974C4">
        <w:t>, but not in the A</w:t>
      </w:r>
      <w:r>
        <w:t xml:space="preserve">ustralian </w:t>
      </w:r>
      <w:r w:rsidRPr="009974C4">
        <w:t>C</w:t>
      </w:r>
      <w:r>
        <w:t xml:space="preserve">apital </w:t>
      </w:r>
      <w:r w:rsidRPr="009974C4">
        <w:t>T</w:t>
      </w:r>
      <w:r>
        <w:t xml:space="preserve">erritory (unless a specific child sex offender registration order is made): </w:t>
      </w:r>
      <w:r w:rsidRPr="00BF5CB9">
        <w:rPr>
          <w:i/>
        </w:rPr>
        <w:t>Child Protection (Offenders Registration) Act 2000</w:t>
      </w:r>
      <w:r w:rsidRPr="00BF5CB9">
        <w:t xml:space="preserve"> (NSW) </w:t>
      </w:r>
      <w:r>
        <w:t xml:space="preserve">s 3 (para (a) of the definition of ‘Class 2 offence’) and </w:t>
      </w:r>
      <w:r w:rsidRPr="00BF5CB9">
        <w:rPr>
          <w:i/>
        </w:rPr>
        <w:t>Crimes (Child Sex Offenders) Act 2005</w:t>
      </w:r>
      <w:r>
        <w:t xml:space="preserve"> (ACT) s 10 and schs 1 and 2. Also, in the Australian Capital Territory </w:t>
      </w:r>
      <w:r w:rsidRPr="00BF5CB9">
        <w:t xml:space="preserve">an ‘act of indecency in the first degree’ is a Class 1 offence which results in a 15 year reporting period, </w:t>
      </w:r>
      <w:r>
        <w:t>but</w:t>
      </w:r>
      <w:r w:rsidRPr="00BF5CB9">
        <w:t xml:space="preserve"> in N</w:t>
      </w:r>
      <w:r>
        <w:t xml:space="preserve">ew </w:t>
      </w:r>
      <w:r w:rsidRPr="00BF5CB9">
        <w:t>S</w:t>
      </w:r>
      <w:r>
        <w:t xml:space="preserve">outh </w:t>
      </w:r>
      <w:r w:rsidRPr="00BF5CB9">
        <w:t>W</w:t>
      </w:r>
      <w:r>
        <w:t>ales</w:t>
      </w:r>
      <w:r w:rsidRPr="00BF5CB9">
        <w:t>, under the CPOR Act that same offence would be a Cla</w:t>
      </w:r>
      <w:r>
        <w:t>ss 2 offence resulting in only eight</w:t>
      </w:r>
      <w:r w:rsidRPr="00BF5CB9">
        <w:t xml:space="preserve"> years of reporting: </w:t>
      </w:r>
      <w:r w:rsidRPr="00BF5CB9">
        <w:rPr>
          <w:i/>
        </w:rPr>
        <w:t>Crimes (Child Sex Offenders) Act 2005</w:t>
      </w:r>
      <w:r>
        <w:t xml:space="preserve"> (ACT) s 84 and s</w:t>
      </w:r>
      <w:r w:rsidRPr="00BF5CB9">
        <w:t xml:space="preserve">ch 1; </w:t>
      </w:r>
      <w:r w:rsidRPr="00BF5CB9">
        <w:rPr>
          <w:i/>
        </w:rPr>
        <w:t>Crimes Act 1900</w:t>
      </w:r>
      <w:r w:rsidRPr="00BF5CB9">
        <w:t xml:space="preserve"> (ACT) s 57; </w:t>
      </w:r>
      <w:r w:rsidRPr="00BF5CB9">
        <w:rPr>
          <w:i/>
        </w:rPr>
        <w:t>Child Protection (Offenders Registration) Act 2000</w:t>
      </w:r>
      <w:r w:rsidRPr="00BF5CB9">
        <w:t xml:space="preserve"> (NSW) s 3 (para</w:t>
      </w:r>
      <w:r>
        <w:t>s</w:t>
      </w:r>
      <w:r w:rsidRPr="00BF5CB9">
        <w:t xml:space="preserve"> (a2) or (l) and (a1) of the definition of a ‘Class 2 offence’).</w:t>
      </w:r>
    </w:p>
  </w:footnote>
  <w:footnote w:id="416">
    <w:p w14:paraId="76D3573E" w14:textId="0074AEB4" w:rsidR="0042789D" w:rsidRPr="00BF5CB9" w:rsidRDefault="0042789D" w:rsidP="00661D6E">
      <w:pPr>
        <w:pStyle w:val="FootnoteText"/>
        <w:spacing w:before="60" w:after="60"/>
      </w:pPr>
      <w:r w:rsidRPr="00BF5CB9">
        <w:rPr>
          <w:rStyle w:val="FootnoteReference"/>
        </w:rPr>
        <w:footnoteRef/>
      </w:r>
      <w:r w:rsidRPr="00BF5CB9">
        <w:t xml:space="preserve"> </w:t>
      </w:r>
      <w:r w:rsidRPr="00BF5CB9">
        <w:rPr>
          <w:i/>
        </w:rPr>
        <w:t xml:space="preserve">Child Protection (Offender Reporting) and Other Legislation Amendment Act 2014 </w:t>
      </w:r>
      <w:r w:rsidRPr="00BF5CB9">
        <w:t xml:space="preserve">(Qld); Explanatory Notes, </w:t>
      </w:r>
      <w:r w:rsidRPr="0032677E">
        <w:t>Child Protection (Offender Reporting) and Other Legislation Amendment Bill 2014</w:t>
      </w:r>
      <w:r>
        <w:t xml:space="preserve"> (Qld)</w:t>
      </w:r>
      <w:r w:rsidRPr="00BF5CB9">
        <w:t xml:space="preserve"> p 13.</w:t>
      </w:r>
    </w:p>
  </w:footnote>
  <w:footnote w:id="417">
    <w:p w14:paraId="24C6D28C" w14:textId="7878E332" w:rsidR="0042789D" w:rsidRPr="00BF5CB9" w:rsidRDefault="0042789D" w:rsidP="00661D6E">
      <w:pPr>
        <w:pStyle w:val="FootnoteText"/>
        <w:spacing w:before="60" w:after="60"/>
      </w:pPr>
      <w:r w:rsidRPr="00BF5CB9">
        <w:rPr>
          <w:rStyle w:val="FootnoteReference"/>
        </w:rPr>
        <w:footnoteRef/>
      </w:r>
      <w:r w:rsidRPr="00BF5CB9">
        <w:t xml:space="preserve"> </w:t>
      </w:r>
      <w:r w:rsidRPr="00BF5CB9">
        <w:rPr>
          <w:i/>
        </w:rPr>
        <w:t>Business Risk Committee – August 2016: CPR Case Review</w:t>
      </w:r>
      <w:r w:rsidRPr="00BF5CB9">
        <w:t xml:space="preserve">, </w:t>
      </w:r>
      <w:r>
        <w:t>NSW Police Force response</w:t>
      </w:r>
      <w:r w:rsidRPr="00BF5CB9">
        <w:t xml:space="preserve"> to item 19(a) of </w:t>
      </w:r>
      <w:r>
        <w:t>Law Enforcement Conduct Commission Notice</w:t>
      </w:r>
      <w:r w:rsidRPr="00BF5CB9">
        <w:t xml:space="preserve"> 929 of 2017.</w:t>
      </w:r>
    </w:p>
  </w:footnote>
  <w:footnote w:id="418">
    <w:p w14:paraId="7A88036C" w14:textId="0EDBE52D" w:rsidR="0042789D" w:rsidRPr="00BF5CB9" w:rsidRDefault="0042789D" w:rsidP="00661D6E">
      <w:pPr>
        <w:pStyle w:val="FootnoteText"/>
        <w:spacing w:before="60" w:after="60"/>
      </w:pPr>
      <w:r w:rsidRPr="00BF5CB9">
        <w:rPr>
          <w:rStyle w:val="FootnoteReference"/>
        </w:rPr>
        <w:footnoteRef/>
      </w:r>
      <w:r>
        <w:t xml:space="preserve"> Ibid</w:t>
      </w:r>
      <w:r w:rsidRPr="00BF5CB9">
        <w:t>.</w:t>
      </w:r>
    </w:p>
  </w:footnote>
  <w:footnote w:id="419">
    <w:p w14:paraId="1D876F6A" w14:textId="21D24BBD" w:rsidR="0042789D" w:rsidRPr="00226B04" w:rsidRDefault="0042789D">
      <w:pPr>
        <w:pStyle w:val="FootnoteText"/>
      </w:pPr>
      <w:r w:rsidRPr="00DA2DBC">
        <w:rPr>
          <w:rStyle w:val="FootnoteReference"/>
        </w:rPr>
        <w:footnoteRef/>
      </w:r>
      <w:r w:rsidRPr="00DA2DBC">
        <w:t xml:space="preserve"> See the category ‘Interstate (QLD) Error in reporting period notification’ in the table in </w:t>
      </w:r>
      <w:r w:rsidRPr="00FF3B51">
        <w:t>Appendix 1.</w:t>
      </w:r>
    </w:p>
  </w:footnote>
  <w:footnote w:id="420">
    <w:p w14:paraId="4EF839C6" w14:textId="2E35BFD5" w:rsidR="0042789D" w:rsidRPr="00BF5CB9" w:rsidRDefault="0042789D" w:rsidP="00661D6E">
      <w:pPr>
        <w:pStyle w:val="FootnoteText"/>
        <w:spacing w:before="60" w:after="60"/>
      </w:pPr>
      <w:r w:rsidRPr="00C56FF7">
        <w:rPr>
          <w:rStyle w:val="FootnoteReference"/>
        </w:rPr>
        <w:footnoteRef/>
      </w:r>
      <w:r w:rsidRPr="00C56FF7">
        <w:t xml:space="preserve"> Mr HH – see Child Protection Registry, </w:t>
      </w:r>
      <w:r w:rsidRPr="00C56FF7">
        <w:rPr>
          <w:i/>
        </w:rPr>
        <w:t>Application to the Local Court</w:t>
      </w:r>
      <w:r w:rsidRPr="00C56FF7">
        <w:t xml:space="preserve">, 12 December 2016, </w:t>
      </w:r>
      <w:r>
        <w:t>NSW Police Force</w:t>
      </w:r>
      <w:r w:rsidRPr="00C56FF7">
        <w:t xml:space="preserve"> response to item 2(j) of </w:t>
      </w:r>
      <w:r>
        <w:t>Law Enforcement Conduct Commission</w:t>
      </w:r>
      <w:r w:rsidRPr="00C56FF7">
        <w:t xml:space="preserve"> Notice 929 of 2017; Mr JJ – see CPR case file produced by </w:t>
      </w:r>
      <w:r>
        <w:t>NSW Police Force</w:t>
      </w:r>
      <w:r w:rsidRPr="00C56FF7">
        <w:t xml:space="preserve"> in response to item 2(k) of </w:t>
      </w:r>
      <w:r>
        <w:t>Law Enforcement Conduct Commission</w:t>
      </w:r>
      <w:r w:rsidRPr="00C56FF7">
        <w:t xml:space="preserve"> Notice 929 of 2018, and see</w:t>
      </w:r>
      <w:r w:rsidRPr="00C56FF7">
        <w:rPr>
          <w:b/>
        </w:rPr>
        <w:t xml:space="preserve"> </w:t>
      </w:r>
      <w:r w:rsidRPr="00C56FF7">
        <w:t>Child Protection Registry</w:t>
      </w:r>
      <w:r w:rsidRPr="00C56FF7">
        <w:rPr>
          <w:i/>
        </w:rPr>
        <w:t xml:space="preserve">, </w:t>
      </w:r>
      <w:r>
        <w:t>NSW Police Force</w:t>
      </w:r>
      <w:r w:rsidRPr="00C56FF7">
        <w:t>,</w:t>
      </w:r>
      <w:r w:rsidRPr="00C56FF7">
        <w:rPr>
          <w:i/>
        </w:rPr>
        <w:t xml:space="preserve"> Application to the Local Court</w:t>
      </w:r>
      <w:r>
        <w:rPr>
          <w:i/>
        </w:rPr>
        <w:t xml:space="preserve"> </w:t>
      </w:r>
      <w:r w:rsidRPr="00050B7D">
        <w:t>[re Mr JJ],</w:t>
      </w:r>
      <w:r w:rsidRPr="00C56FF7">
        <w:t xml:space="preserve"> </w:t>
      </w:r>
      <w:r>
        <w:t>NSW Police Force</w:t>
      </w:r>
      <w:r w:rsidRPr="00C56FF7">
        <w:t xml:space="preserve"> response to item 6 of </w:t>
      </w:r>
      <w:r>
        <w:t>Law Enforcement Conduct Commission</w:t>
      </w:r>
      <w:r w:rsidRPr="00C56FF7">
        <w:t xml:space="preserve"> Notice 929 of 2017.</w:t>
      </w:r>
    </w:p>
  </w:footnote>
  <w:footnote w:id="421">
    <w:p w14:paraId="019714A9" w14:textId="127A0FCF" w:rsidR="0042789D" w:rsidRPr="00642AF5" w:rsidRDefault="0042789D">
      <w:pPr>
        <w:pStyle w:val="FootnoteText"/>
      </w:pPr>
      <w:r w:rsidRPr="00642AF5">
        <w:rPr>
          <w:rStyle w:val="FootnoteReference"/>
        </w:rPr>
        <w:footnoteRef/>
      </w:r>
      <w:r w:rsidRPr="00642AF5">
        <w:t xml:space="preserve"> </w:t>
      </w:r>
      <w:r>
        <w:t>The CPR case file of Mr GG was produced by the NSW Police Force in response to item 2(6) of Law Enforcement Conduct Commission Notice 929 of 2018.</w:t>
      </w:r>
    </w:p>
  </w:footnote>
  <w:footnote w:id="422">
    <w:p w14:paraId="13DE6309" w14:textId="325B91BE" w:rsidR="0042789D" w:rsidRPr="0041509F" w:rsidRDefault="0042789D" w:rsidP="0041509F">
      <w:pPr>
        <w:pStyle w:val="FootnoteText"/>
        <w:spacing w:before="60" w:after="60"/>
      </w:pPr>
      <w:r w:rsidRPr="0041509F">
        <w:rPr>
          <w:rStyle w:val="FootnoteReference"/>
        </w:rPr>
        <w:footnoteRef/>
      </w:r>
      <w:r>
        <w:t xml:space="preserve"> </w:t>
      </w:r>
      <w:r w:rsidRPr="0041509F">
        <w:t>Child Protection Registry,</w:t>
      </w:r>
      <w:r>
        <w:t xml:space="preserve"> NSW Police Force,</w:t>
      </w:r>
      <w:r w:rsidRPr="0041509F">
        <w:t xml:space="preserve"> </w:t>
      </w:r>
      <w:r w:rsidRPr="0041509F">
        <w:rPr>
          <w:i/>
        </w:rPr>
        <w:t>Application to the Local Court</w:t>
      </w:r>
      <w:r w:rsidRPr="0041509F">
        <w:t xml:space="preserve">, 10 January 2017, </w:t>
      </w:r>
      <w:r>
        <w:t>NSW Police Force response</w:t>
      </w:r>
      <w:r w:rsidRPr="0041509F">
        <w:t xml:space="preserve"> to item 2(g) of </w:t>
      </w:r>
      <w:r>
        <w:t>Law Enforcement Conduct Commission Notice</w:t>
      </w:r>
      <w:r w:rsidRPr="0041509F">
        <w:t xml:space="preserve"> 929 of 2018; </w:t>
      </w:r>
      <w:r>
        <w:t>Law Enforcement Conduct Commission</w:t>
      </w:r>
      <w:r w:rsidRPr="0041509F">
        <w:t xml:space="preserve"> review of JusticeLink.</w:t>
      </w:r>
    </w:p>
  </w:footnote>
  <w:footnote w:id="423">
    <w:p w14:paraId="3366A54B" w14:textId="068B8C4E" w:rsidR="0042789D" w:rsidRPr="0041509F" w:rsidRDefault="0042789D" w:rsidP="0041509F">
      <w:pPr>
        <w:pStyle w:val="FootnoteText"/>
        <w:spacing w:before="60" w:after="60"/>
      </w:pPr>
      <w:r w:rsidRPr="0041509F">
        <w:rPr>
          <w:rStyle w:val="FootnoteReference"/>
        </w:rPr>
        <w:footnoteRef/>
      </w:r>
      <w:r w:rsidRPr="0041509F">
        <w:t xml:space="preserve"> </w:t>
      </w:r>
      <w:r>
        <w:rPr>
          <w:i/>
        </w:rPr>
        <w:t>NSW Police Force r</w:t>
      </w:r>
      <w:r w:rsidRPr="0041509F">
        <w:rPr>
          <w:i/>
        </w:rPr>
        <w:t xml:space="preserve">esponse to the interim report of Operation Tusket, </w:t>
      </w:r>
      <w:r w:rsidRPr="0041509F">
        <w:t>23 October 2018,</w:t>
      </w:r>
      <w:r w:rsidRPr="0041509F">
        <w:rPr>
          <w:i/>
        </w:rPr>
        <w:t xml:space="preserve"> </w:t>
      </w:r>
      <w:r w:rsidRPr="0041509F">
        <w:t xml:space="preserve">F/2018/94374; D/2018/851613, pp 2 and 3. </w:t>
      </w:r>
    </w:p>
  </w:footnote>
  <w:footnote w:id="424">
    <w:p w14:paraId="2A8C24D7" w14:textId="46D9F3A9" w:rsidR="0042789D" w:rsidRPr="00BF5CB9" w:rsidRDefault="0042789D" w:rsidP="00F108A1">
      <w:pPr>
        <w:pStyle w:val="FootnoteText"/>
        <w:spacing w:before="60" w:after="60"/>
      </w:pPr>
      <w:r w:rsidRPr="00BF5CB9">
        <w:rPr>
          <w:rStyle w:val="FootnoteReference"/>
        </w:rPr>
        <w:footnoteRef/>
      </w:r>
      <w:r w:rsidRPr="00BF5CB9">
        <w:t xml:space="preserve"> </w:t>
      </w:r>
      <w:r w:rsidRPr="00FF58B1">
        <w:t xml:space="preserve">See </w:t>
      </w:r>
      <w:r>
        <w:t xml:space="preserve">Chapter 7, in particular </w:t>
      </w:r>
      <w:r w:rsidRPr="00FF58B1">
        <w:t xml:space="preserve">section </w:t>
      </w:r>
      <w:r w:rsidRPr="00FF58B1">
        <w:fldChar w:fldCharType="begin"/>
      </w:r>
      <w:r w:rsidRPr="00FF58B1">
        <w:instrText xml:space="preserve"> REF _Ref9429432 \r \h </w:instrText>
      </w:r>
      <w:r>
        <w:instrText xml:space="preserve"> \* MERGEFORMAT </w:instrText>
      </w:r>
      <w:r w:rsidRPr="00FF58B1">
        <w:fldChar w:fldCharType="separate"/>
      </w:r>
      <w:r w:rsidR="00022664">
        <w:rPr>
          <w:rFonts w:hint="cs"/>
          <w:cs/>
        </w:rPr>
        <w:t>‎</w:t>
      </w:r>
      <w:r w:rsidR="00022664">
        <w:t>7.7</w:t>
      </w:r>
      <w:r w:rsidRPr="00FF58B1">
        <w:fldChar w:fldCharType="end"/>
      </w:r>
      <w:r w:rsidRPr="00FF58B1">
        <w:t>.</w:t>
      </w:r>
    </w:p>
  </w:footnote>
  <w:footnote w:id="425">
    <w:p w14:paraId="37C92787" w14:textId="6A2CC28C" w:rsidR="0042789D" w:rsidRPr="00A877F2" w:rsidRDefault="0042789D" w:rsidP="00235DE6">
      <w:pPr>
        <w:pStyle w:val="FootnoteText"/>
      </w:pPr>
      <w:r w:rsidRPr="00A877F2">
        <w:rPr>
          <w:rStyle w:val="FootnoteReference"/>
        </w:rPr>
        <w:footnoteRef/>
      </w:r>
      <w:r w:rsidRPr="00A877F2">
        <w:t xml:space="preserve"> Letter from Commissioner of Police, </w:t>
      </w:r>
      <w:r>
        <w:t>NSW Police Force</w:t>
      </w:r>
      <w:r w:rsidRPr="00A877F2">
        <w:t xml:space="preserve">, to Chief Commissioner, </w:t>
      </w:r>
      <w:r>
        <w:t>Law Enforcement Conduct Commission</w:t>
      </w:r>
      <w:r w:rsidRPr="00A877F2">
        <w:t>, 30 September 2019, p</w:t>
      </w:r>
      <w:r>
        <w:t xml:space="preserve"> </w:t>
      </w:r>
      <w:r w:rsidRPr="00A877F2">
        <w:t>2 and Annexure B – Submissions on Proposed Recommendations.</w:t>
      </w:r>
    </w:p>
  </w:footnote>
  <w:footnote w:id="426">
    <w:p w14:paraId="7CC1B876" w14:textId="254A580B" w:rsidR="0042789D" w:rsidRPr="00A877F2" w:rsidRDefault="0042789D">
      <w:pPr>
        <w:pStyle w:val="FootnoteText"/>
      </w:pPr>
      <w:r w:rsidRPr="00A877F2">
        <w:rPr>
          <w:rStyle w:val="FootnoteReference"/>
        </w:rPr>
        <w:footnoteRef/>
      </w:r>
      <w:r w:rsidRPr="00A877F2">
        <w:t xml:space="preserve"> Letter from Commissioner of Police, </w:t>
      </w:r>
      <w:r>
        <w:t>NSW Police Force</w:t>
      </w:r>
      <w:r w:rsidRPr="00A877F2">
        <w:t xml:space="preserve">, to Chief Commissioner, </w:t>
      </w:r>
      <w:r>
        <w:t>Law Enforcement Conduct Commission</w:t>
      </w:r>
      <w:r w:rsidRPr="00A877F2">
        <w:t>, 30 September 2019, pp 1-2 and Annexure B – Submissions on Proposed Recommendations.</w:t>
      </w:r>
    </w:p>
  </w:footnote>
  <w:footnote w:id="427">
    <w:p w14:paraId="32E07A2D" w14:textId="6A87731E" w:rsidR="0042789D" w:rsidRPr="00BF5CB9" w:rsidRDefault="0042789D" w:rsidP="00737DBE">
      <w:pPr>
        <w:pStyle w:val="FootnoteText"/>
        <w:spacing w:before="60" w:after="60"/>
      </w:pPr>
      <w:r w:rsidRPr="00BF5CB9">
        <w:rPr>
          <w:rStyle w:val="FootnoteReference"/>
        </w:rPr>
        <w:footnoteRef/>
      </w:r>
      <w:r w:rsidRPr="00BF5CB9">
        <w:t xml:space="preserve"> Under s 19B a registrable person can request a copy of their reportable information that is on the Register, and ask the Commissioner of Police to amend any information they state is incorrect.  If the Commissioner is satisfied the information is incorrect, he or she must amend it. However, only ‘reportable information’ can be corrected under this sec</w:t>
      </w:r>
      <w:r>
        <w:t>tion, and the NSW Police Force</w:t>
      </w:r>
      <w:r w:rsidRPr="00BF5CB9">
        <w:t xml:space="preserve"> decision that a person is registrable, and its determination of the person’s reporting period is not ‘reportable information’: </w:t>
      </w:r>
      <w:r w:rsidRPr="00BF5CB9">
        <w:rPr>
          <w:i/>
        </w:rPr>
        <w:t xml:space="preserve">Child Protection (Offenders Registration) Act 2000 </w:t>
      </w:r>
      <w:r w:rsidRPr="00BF5CB9">
        <w:t>s 19B(5).</w:t>
      </w:r>
    </w:p>
  </w:footnote>
  <w:footnote w:id="428">
    <w:p w14:paraId="68BBF01B" w14:textId="556CDB68" w:rsidR="0042789D" w:rsidRPr="00BF5CB9" w:rsidRDefault="0042789D" w:rsidP="00042C9A">
      <w:pPr>
        <w:pStyle w:val="FootnoteText"/>
        <w:spacing w:before="60" w:after="60"/>
      </w:pPr>
      <w:r w:rsidRPr="00BF5CB9">
        <w:rPr>
          <w:rStyle w:val="FootnoteReference"/>
        </w:rPr>
        <w:footnoteRef/>
      </w:r>
      <w:r w:rsidRPr="00BF5CB9">
        <w:t xml:space="preserve"> The ‘Form 3’ that is given to a registrable person invites them to write to the Registry ‘if you believe there has been a mistake in identifying you as a registrable person or in calculating your reporting period, or you have successfully appealed a conviction for a registra</w:t>
      </w:r>
      <w:r w:rsidRPr="00F960B6">
        <w:t xml:space="preserve">ble offence’: </w:t>
      </w:r>
      <w:r w:rsidRPr="00F960B6">
        <w:rPr>
          <w:i/>
        </w:rPr>
        <w:t>Form 3</w:t>
      </w:r>
      <w:r w:rsidRPr="00BF5CB9">
        <w:rPr>
          <w:i/>
        </w:rPr>
        <w:t>: Child Protection (Offenders Registration) Act 2000: Notice Issued to Registrable Person</w:t>
      </w:r>
      <w:r w:rsidRPr="00BF5CB9">
        <w:t xml:space="preserve">, April 2016, </w:t>
      </w:r>
      <w:r>
        <w:t>NSW Police Force response</w:t>
      </w:r>
      <w:r w:rsidRPr="00BF5CB9">
        <w:t xml:space="preserve"> to item 22 of </w:t>
      </w:r>
      <w:r>
        <w:t xml:space="preserve">Law Enforcement Conduct Commission </w:t>
      </w:r>
      <w:r w:rsidRPr="00BF5CB9">
        <w:t>Notice 929 of 2017.</w:t>
      </w:r>
    </w:p>
  </w:footnote>
  <w:footnote w:id="429">
    <w:p w14:paraId="0CF71AE5" w14:textId="0E88BEFD" w:rsidR="0042789D" w:rsidRPr="00BF5CB9" w:rsidRDefault="0042789D" w:rsidP="00042C9A">
      <w:pPr>
        <w:pStyle w:val="FootnoteText"/>
        <w:spacing w:before="60" w:after="60"/>
      </w:pPr>
      <w:r w:rsidRPr="00BF5CB9">
        <w:rPr>
          <w:rStyle w:val="FootnoteReference"/>
        </w:rPr>
        <w:footnoteRef/>
      </w:r>
      <w:r w:rsidRPr="00BF5CB9">
        <w:t xml:space="preserve"> </w:t>
      </w:r>
      <w:r w:rsidRPr="00BF5CB9">
        <w:rPr>
          <w:i/>
        </w:rPr>
        <w:t xml:space="preserve">Child Protection (Offender Reporting and Offender Prohibition Order) Act 2004 </w:t>
      </w:r>
      <w:r>
        <w:t>(Qld) s </w:t>
      </w:r>
      <w:r w:rsidRPr="00BF5CB9">
        <w:t>74(1) and (2).</w:t>
      </w:r>
    </w:p>
  </w:footnote>
  <w:footnote w:id="430">
    <w:p w14:paraId="7ECF89EC" w14:textId="6F9F7405" w:rsidR="0042789D" w:rsidRPr="00BF5CB9" w:rsidRDefault="0042789D" w:rsidP="00042C9A">
      <w:pPr>
        <w:pStyle w:val="FootnoteText"/>
        <w:spacing w:before="60" w:after="60"/>
      </w:pPr>
      <w:r w:rsidRPr="00BF5CB9">
        <w:rPr>
          <w:rStyle w:val="FootnoteReference"/>
        </w:rPr>
        <w:footnoteRef/>
      </w:r>
      <w:r w:rsidRPr="00BF5CB9">
        <w:t xml:space="preserve"> </w:t>
      </w:r>
      <w:r w:rsidRPr="00BF5CB9">
        <w:rPr>
          <w:i/>
        </w:rPr>
        <w:t xml:space="preserve">Child Protection (Offender Reporting and Offender Prohibition Order) Act 2004 </w:t>
      </w:r>
      <w:r>
        <w:t>(Qld) s </w:t>
      </w:r>
      <w:r w:rsidRPr="00BF5CB9">
        <w:t>74(3).</w:t>
      </w:r>
    </w:p>
  </w:footnote>
  <w:footnote w:id="431">
    <w:p w14:paraId="7AEB0E8E" w14:textId="1391A3C6" w:rsidR="0042789D" w:rsidRPr="00BF5CB9" w:rsidRDefault="0042789D" w:rsidP="00042C9A">
      <w:pPr>
        <w:pStyle w:val="FootnoteText"/>
        <w:spacing w:before="60" w:after="60"/>
      </w:pPr>
      <w:r w:rsidRPr="00BF5CB9">
        <w:rPr>
          <w:rStyle w:val="FootnoteReference"/>
        </w:rPr>
        <w:footnoteRef/>
      </w:r>
      <w:r w:rsidRPr="00BF5CB9">
        <w:t xml:space="preserve"> </w:t>
      </w:r>
      <w:r w:rsidRPr="00BF5CB9">
        <w:rPr>
          <w:i/>
        </w:rPr>
        <w:t xml:space="preserve">Child Protection (Offender Reporting and Offender Prohibition Order) Act 2004 </w:t>
      </w:r>
      <w:r>
        <w:t>(Qld) s </w:t>
      </w:r>
      <w:r w:rsidRPr="00BF5CB9">
        <w:t>74(5).</w:t>
      </w:r>
    </w:p>
  </w:footnote>
  <w:footnote w:id="432">
    <w:p w14:paraId="269A461D" w14:textId="309CAD4C" w:rsidR="0042789D" w:rsidRPr="00BF5CB9" w:rsidRDefault="0042789D" w:rsidP="00042C9A">
      <w:pPr>
        <w:pStyle w:val="FootnoteText"/>
        <w:spacing w:before="60" w:after="60"/>
      </w:pPr>
      <w:r w:rsidRPr="00BF5CB9">
        <w:rPr>
          <w:rStyle w:val="FootnoteReference"/>
        </w:rPr>
        <w:footnoteRef/>
      </w:r>
      <w:r w:rsidRPr="00BF5CB9">
        <w:t xml:space="preserve"> </w:t>
      </w:r>
      <w:r w:rsidRPr="00BF5CB9">
        <w:rPr>
          <w:i/>
        </w:rPr>
        <w:t xml:space="preserve">Child Protection (Child Sex Offender Government Agency Registration) Act 2016 </w:t>
      </w:r>
      <w:r>
        <w:t>(NZ) s </w:t>
      </w:r>
      <w:r w:rsidRPr="00BF5CB9">
        <w:t xml:space="preserve">49. </w:t>
      </w:r>
    </w:p>
  </w:footnote>
  <w:footnote w:id="433">
    <w:p w14:paraId="07808900" w14:textId="74BA16D4" w:rsidR="0042789D" w:rsidRPr="00BF5CB9" w:rsidRDefault="0042789D" w:rsidP="00042C9A">
      <w:pPr>
        <w:pStyle w:val="FootnoteText"/>
        <w:spacing w:before="60" w:after="60"/>
      </w:pPr>
      <w:r w:rsidRPr="00BF5CB9">
        <w:rPr>
          <w:rStyle w:val="FootnoteReference"/>
        </w:rPr>
        <w:footnoteRef/>
      </w:r>
      <w:r w:rsidRPr="00BF5CB9">
        <w:t xml:space="preserve"> </w:t>
      </w:r>
      <w:r w:rsidRPr="00BF5CB9">
        <w:rPr>
          <w:i/>
        </w:rPr>
        <w:t xml:space="preserve">Child Protection (Child Sex Offender Government Agency Registration) Act 2016 </w:t>
      </w:r>
      <w:r>
        <w:t>(NZ) s </w:t>
      </w:r>
      <w:r w:rsidRPr="00BF5CB9">
        <w:t>50.</w:t>
      </w:r>
    </w:p>
  </w:footnote>
  <w:footnote w:id="434">
    <w:p w14:paraId="6DA42F2A" w14:textId="29984FA6" w:rsidR="0042789D" w:rsidRPr="00C5588B" w:rsidRDefault="0042789D">
      <w:pPr>
        <w:pStyle w:val="FootnoteText"/>
      </w:pPr>
      <w:r w:rsidRPr="00C5588B">
        <w:rPr>
          <w:rStyle w:val="FootnoteReference"/>
        </w:rPr>
        <w:footnoteRef/>
      </w:r>
      <w:r w:rsidRPr="00C5588B">
        <w:t xml:space="preserve"> Letter from Commissioner of Police, </w:t>
      </w:r>
      <w:r>
        <w:t>NSW Police Force</w:t>
      </w:r>
      <w:r w:rsidRPr="00C5588B">
        <w:t>, to Chief Commiss</w:t>
      </w:r>
      <w:r>
        <w:t>ioner, Law Enforcement Conduct Commission, 30 September 2019 (</w:t>
      </w:r>
      <w:r w:rsidRPr="00C5588B">
        <w:t>Annexure B – Submissions on Proposed Recommendations</w:t>
      </w:r>
      <w:r>
        <w:t>)</w:t>
      </w:r>
      <w:r w:rsidRPr="00C5588B">
        <w:t>.</w:t>
      </w:r>
    </w:p>
  </w:footnote>
  <w:footnote w:id="435">
    <w:p w14:paraId="12B51C31" w14:textId="4E4BE752" w:rsidR="0042789D" w:rsidRPr="00C5588B" w:rsidRDefault="0042789D" w:rsidP="0084029D">
      <w:pPr>
        <w:pStyle w:val="Footnote"/>
        <w:rPr>
          <w:szCs w:val="20"/>
        </w:rPr>
      </w:pPr>
      <w:r w:rsidRPr="00C5588B">
        <w:rPr>
          <w:rStyle w:val="FootnoteReference"/>
          <w:szCs w:val="20"/>
        </w:rPr>
        <w:footnoteRef/>
      </w:r>
      <w:r>
        <w:rPr>
          <w:szCs w:val="20"/>
        </w:rPr>
        <w:t xml:space="preserve"> See R</w:t>
      </w:r>
      <w:r w:rsidRPr="00C5588B">
        <w:rPr>
          <w:szCs w:val="20"/>
        </w:rPr>
        <w:t xml:space="preserve">ecommendation 11 in </w:t>
      </w:r>
      <w:r>
        <w:rPr>
          <w:szCs w:val="20"/>
        </w:rPr>
        <w:t>Chapter 9 section 9.4</w:t>
      </w:r>
      <w:r w:rsidRPr="00C5588B">
        <w:rPr>
          <w:szCs w:val="20"/>
        </w:rPr>
        <w:t>.</w:t>
      </w:r>
    </w:p>
  </w:footnote>
  <w:footnote w:id="436">
    <w:p w14:paraId="607DB7B8" w14:textId="1918E67C" w:rsidR="0042789D" w:rsidRPr="00C5588B" w:rsidRDefault="0042789D">
      <w:pPr>
        <w:pStyle w:val="FootnoteText"/>
      </w:pPr>
      <w:r w:rsidRPr="00C5588B">
        <w:rPr>
          <w:rStyle w:val="FootnoteReference"/>
        </w:rPr>
        <w:footnoteRef/>
      </w:r>
      <w:r w:rsidRPr="00C5588B">
        <w:t xml:space="preserve"> Letter from Commissioner of Police, </w:t>
      </w:r>
      <w:r>
        <w:t>NSW Police Force</w:t>
      </w:r>
      <w:r w:rsidRPr="00C5588B">
        <w:t xml:space="preserve">, to Chief Commissioner, </w:t>
      </w:r>
      <w:r>
        <w:t>Law Enforcement Conduct Commission</w:t>
      </w:r>
      <w:r w:rsidRPr="00C5588B">
        <w:t>, 30 Septe</w:t>
      </w:r>
      <w:r>
        <w:t>mber 2019</w:t>
      </w:r>
      <w:r w:rsidRPr="00C5588B">
        <w:t xml:space="preserve"> </w:t>
      </w:r>
      <w:r>
        <w:t>(</w:t>
      </w:r>
      <w:r w:rsidRPr="00C5588B">
        <w:t>Annexure B – Submissions on Proposed Recommendations</w:t>
      </w:r>
      <w:r>
        <w:t>)</w:t>
      </w:r>
      <w:r w:rsidRPr="00C5588B">
        <w:t>.</w:t>
      </w:r>
    </w:p>
  </w:footnote>
  <w:footnote w:id="437">
    <w:p w14:paraId="19B02B96" w14:textId="6E34F7D3" w:rsidR="0042789D" w:rsidRPr="00C5588B" w:rsidRDefault="0042789D" w:rsidP="00E6662B">
      <w:pPr>
        <w:pStyle w:val="FootnoteText"/>
        <w:spacing w:before="60" w:after="60"/>
        <w:rPr>
          <w:rFonts w:cs="Source Sans Pro Light"/>
          <w:color w:val="000000" w:themeColor="text2"/>
        </w:rPr>
      </w:pPr>
      <w:r w:rsidRPr="00C5588B">
        <w:rPr>
          <w:rStyle w:val="FootnoteReference"/>
        </w:rPr>
        <w:footnoteRef/>
      </w:r>
      <w:r w:rsidRPr="00C5588B">
        <w:t xml:space="preserve"> Workforce Intelligence Unit, Human Resources Command, </w:t>
      </w:r>
      <w:r>
        <w:t>NSW Police Force</w:t>
      </w:r>
      <w:r w:rsidRPr="00C5588B">
        <w:t xml:space="preserve">, </w:t>
      </w:r>
      <w:r w:rsidRPr="00C5588B">
        <w:rPr>
          <w:i/>
        </w:rPr>
        <w:t>HR Analysis: Child Protection Register Staffing Review</w:t>
      </w:r>
      <w:r w:rsidRPr="00C5588B">
        <w:t xml:space="preserve">, 20 July 2017, D/2017/630614, </w:t>
      </w:r>
      <w:r>
        <w:t>NSW Police Force</w:t>
      </w:r>
      <w:r w:rsidRPr="00C5588B">
        <w:t xml:space="preserve"> response to item 1 of </w:t>
      </w:r>
      <w:r>
        <w:t>Law Enforcement Conduct Commission</w:t>
      </w:r>
      <w:r w:rsidRPr="00C5588B">
        <w:t xml:space="preserve"> Notice 929 of 2017, p 50; NSW Police Force, </w:t>
      </w:r>
      <w:r>
        <w:rPr>
          <w:i/>
        </w:rPr>
        <w:t>r</w:t>
      </w:r>
      <w:r w:rsidRPr="00C5588B">
        <w:rPr>
          <w:i/>
        </w:rPr>
        <w:t>esponse to the interim report of Operation Tusket</w:t>
      </w:r>
      <w:r w:rsidRPr="00C5588B">
        <w:t xml:space="preserve">, 23 October 2018, F/2018/94374; D/2018/851674, p 7; Manager, Child Protection Registry, </w:t>
      </w:r>
      <w:r>
        <w:t>NSW Police Force</w:t>
      </w:r>
      <w:r w:rsidRPr="00C5588B">
        <w:t xml:space="preserve">, </w:t>
      </w:r>
      <w:r w:rsidRPr="00C5588B">
        <w:rPr>
          <w:i/>
        </w:rPr>
        <w:t>Management of the Child Protection Register in New South Wales: Michael O’Brien Scholarship 2017</w:t>
      </w:r>
      <w:r w:rsidRPr="00C5588B">
        <w:t xml:space="preserve"> (2018) </w:t>
      </w:r>
      <w:r>
        <w:t>NSW Police Force</w:t>
      </w:r>
      <w:r w:rsidRPr="00C5588B">
        <w:t xml:space="preserve"> response to item 1 of </w:t>
      </w:r>
      <w:r>
        <w:t>Law Enforcement Conduct Commission</w:t>
      </w:r>
      <w:r w:rsidRPr="00C5588B">
        <w:t xml:space="preserve"> Notice 929 of 2018, p 114.</w:t>
      </w:r>
    </w:p>
  </w:footnote>
  <w:footnote w:id="438">
    <w:p w14:paraId="62C15731" w14:textId="381D8B9B" w:rsidR="0042789D" w:rsidRPr="00BF5CB9" w:rsidRDefault="0042789D" w:rsidP="0084029D">
      <w:pPr>
        <w:pStyle w:val="Footnote"/>
      </w:pPr>
      <w:r w:rsidRPr="00C5588B">
        <w:rPr>
          <w:rStyle w:val="FootnoteReference"/>
          <w:szCs w:val="20"/>
        </w:rPr>
        <w:footnoteRef/>
      </w:r>
      <w:r w:rsidRPr="00C5588B">
        <w:rPr>
          <w:szCs w:val="20"/>
        </w:rPr>
        <w:t xml:space="preserve"> Workforce Intelligence Unit, Human Resources Command, </w:t>
      </w:r>
      <w:r>
        <w:rPr>
          <w:szCs w:val="20"/>
        </w:rPr>
        <w:t>NSW Police Force</w:t>
      </w:r>
      <w:r w:rsidRPr="00C5588B">
        <w:rPr>
          <w:szCs w:val="20"/>
        </w:rPr>
        <w:t xml:space="preserve">, </w:t>
      </w:r>
      <w:r w:rsidRPr="00C5588B">
        <w:rPr>
          <w:i/>
          <w:szCs w:val="20"/>
        </w:rPr>
        <w:t>HR Analysis: Child Protection Register Staffing Review</w:t>
      </w:r>
      <w:r w:rsidRPr="00C5588B">
        <w:rPr>
          <w:szCs w:val="20"/>
        </w:rPr>
        <w:t xml:space="preserve">, 20 July 2017, D/2017/630614, </w:t>
      </w:r>
      <w:r>
        <w:rPr>
          <w:szCs w:val="20"/>
        </w:rPr>
        <w:t>NSW Police Force</w:t>
      </w:r>
      <w:r w:rsidRPr="00C5588B">
        <w:rPr>
          <w:szCs w:val="20"/>
        </w:rPr>
        <w:t xml:space="preserve"> response to item 1 of </w:t>
      </w:r>
      <w:r>
        <w:rPr>
          <w:szCs w:val="20"/>
        </w:rPr>
        <w:t>Law Enforcement Conduct Commission</w:t>
      </w:r>
      <w:r w:rsidRPr="00C5588B">
        <w:rPr>
          <w:szCs w:val="20"/>
        </w:rPr>
        <w:t xml:space="preserve"> Notice 929 of 2017, p 27.</w:t>
      </w:r>
    </w:p>
  </w:footnote>
  <w:footnote w:id="439">
    <w:p w14:paraId="7CBECC5A" w14:textId="709497B6" w:rsidR="0042789D" w:rsidRPr="00BB2602" w:rsidRDefault="0042789D">
      <w:pPr>
        <w:pStyle w:val="FootnoteText"/>
      </w:pPr>
      <w:r w:rsidRPr="00BB2602">
        <w:rPr>
          <w:rStyle w:val="FootnoteReference"/>
        </w:rPr>
        <w:footnoteRef/>
      </w:r>
      <w:r>
        <w:t xml:space="preserve"> Ibid</w:t>
      </w:r>
      <w:r w:rsidRPr="00BB2602">
        <w:t xml:space="preserve"> p 50.</w:t>
      </w:r>
    </w:p>
  </w:footnote>
  <w:footnote w:id="440">
    <w:p w14:paraId="5EE960A1" w14:textId="37482298" w:rsidR="0042789D" w:rsidRPr="00BB2602" w:rsidRDefault="0042789D">
      <w:pPr>
        <w:pStyle w:val="FootnoteText"/>
      </w:pPr>
      <w:r w:rsidRPr="00BB2602">
        <w:rPr>
          <w:rStyle w:val="FootnoteReference"/>
        </w:rPr>
        <w:footnoteRef/>
      </w:r>
      <w:r>
        <w:t xml:space="preserve"> Ibid </w:t>
      </w:r>
      <w:r w:rsidRPr="00BB2602">
        <w:t>p 9.</w:t>
      </w:r>
    </w:p>
  </w:footnote>
  <w:footnote w:id="441">
    <w:p w14:paraId="60E6E1AF" w14:textId="1E4F78D5" w:rsidR="0042789D" w:rsidRPr="00BB2602" w:rsidRDefault="0042789D">
      <w:pPr>
        <w:pStyle w:val="FootnoteText"/>
      </w:pPr>
      <w:r w:rsidRPr="00BB2602">
        <w:rPr>
          <w:rStyle w:val="FootnoteReference"/>
        </w:rPr>
        <w:footnoteRef/>
      </w:r>
      <w:r>
        <w:t xml:space="preserve"> Ibid </w:t>
      </w:r>
      <w:r w:rsidRPr="00BB2602">
        <w:t>p 15.</w:t>
      </w:r>
    </w:p>
  </w:footnote>
  <w:footnote w:id="442">
    <w:p w14:paraId="3A22C970" w14:textId="14CF07E0" w:rsidR="0042789D" w:rsidRPr="00BB2602" w:rsidRDefault="0042789D">
      <w:pPr>
        <w:pStyle w:val="FootnoteText"/>
      </w:pPr>
      <w:r w:rsidRPr="00BB2602">
        <w:rPr>
          <w:rStyle w:val="FootnoteReference"/>
        </w:rPr>
        <w:footnoteRef/>
      </w:r>
      <w:r>
        <w:t xml:space="preserve"> Ibid </w:t>
      </w:r>
      <w:r w:rsidRPr="00BB2602">
        <w:t>p 50.</w:t>
      </w:r>
    </w:p>
  </w:footnote>
  <w:footnote w:id="443">
    <w:p w14:paraId="0E7D71A1" w14:textId="0C92C4D6" w:rsidR="0042789D" w:rsidRDefault="0042789D" w:rsidP="00487F05">
      <w:pPr>
        <w:pStyle w:val="FootnoteText"/>
      </w:pPr>
      <w:r w:rsidRPr="00BB2602">
        <w:rPr>
          <w:rStyle w:val="FootnoteReference"/>
        </w:rPr>
        <w:footnoteRef/>
      </w:r>
      <w:r>
        <w:t xml:space="preserve"> Ibid</w:t>
      </w:r>
      <w:r w:rsidRPr="00BB2602">
        <w:t>.</w:t>
      </w:r>
    </w:p>
  </w:footnote>
  <w:footnote w:id="444">
    <w:p w14:paraId="34BFDAEE" w14:textId="0BA99FF0" w:rsidR="0042789D" w:rsidRPr="00BB2602" w:rsidRDefault="0042789D">
      <w:pPr>
        <w:pStyle w:val="FootnoteText"/>
      </w:pPr>
      <w:r w:rsidRPr="00BB2602">
        <w:rPr>
          <w:rStyle w:val="FootnoteReference"/>
        </w:rPr>
        <w:footnoteRef/>
      </w:r>
      <w:r>
        <w:t xml:space="preserve"> Ibid</w:t>
      </w:r>
      <w:r w:rsidRPr="00BB2602">
        <w:t>.</w:t>
      </w:r>
    </w:p>
  </w:footnote>
  <w:footnote w:id="445">
    <w:p w14:paraId="16DDC220" w14:textId="2F7D15E3" w:rsidR="0042789D" w:rsidRPr="003A24DC" w:rsidRDefault="0042789D">
      <w:pPr>
        <w:pStyle w:val="FootnoteText"/>
      </w:pPr>
      <w:r w:rsidRPr="003A24DC">
        <w:rPr>
          <w:rStyle w:val="FootnoteReference"/>
        </w:rPr>
        <w:footnoteRef/>
      </w:r>
      <w:r w:rsidRPr="003A24DC">
        <w:t xml:space="preserve"> Governance, Risk &amp; Compliance, </w:t>
      </w:r>
      <w:r>
        <w:t>NSW Police Force</w:t>
      </w:r>
      <w:r w:rsidRPr="003A24DC">
        <w:t xml:space="preserve">, </w:t>
      </w:r>
      <w:r w:rsidRPr="003A24DC">
        <w:rPr>
          <w:i/>
        </w:rPr>
        <w:t>Child Protection Register – Governance and Accountability Arrangements for the NSW Police Force</w:t>
      </w:r>
      <w:r w:rsidRPr="003A24DC">
        <w:t xml:space="preserve">, 12 December 2018, D/2018/1013232, </w:t>
      </w:r>
      <w:r>
        <w:t>NSW Police Force</w:t>
      </w:r>
      <w:r w:rsidRPr="003A24DC">
        <w:t xml:space="preserve"> response to </w:t>
      </w:r>
      <w:r>
        <w:t>Law Enforcement Conduct Commission</w:t>
      </w:r>
      <w:r w:rsidRPr="003A24DC">
        <w:t xml:space="preserve"> Notice 978 of 2018, p 7.</w:t>
      </w:r>
    </w:p>
  </w:footnote>
  <w:footnote w:id="446">
    <w:p w14:paraId="7649D691" w14:textId="3BFAAE52" w:rsidR="0042789D" w:rsidRPr="00030A52" w:rsidRDefault="0042789D" w:rsidP="00874D04">
      <w:pPr>
        <w:pStyle w:val="FootnoteText"/>
      </w:pPr>
      <w:r w:rsidRPr="00030A52">
        <w:rPr>
          <w:rStyle w:val="FootnoteReference"/>
        </w:rPr>
        <w:footnoteRef/>
      </w:r>
      <w:r w:rsidRPr="00030A52">
        <w:t xml:space="preserve"> Letter from Commissioner of Police, </w:t>
      </w:r>
      <w:r>
        <w:t>NSW Police Force</w:t>
      </w:r>
      <w:r w:rsidRPr="00030A52">
        <w:t>, to Chief Commis</w:t>
      </w:r>
      <w:r>
        <w:t>sioner, Law Enforcement Conduct Commission, 30 September 2019</w:t>
      </w:r>
      <w:r w:rsidRPr="00030A52">
        <w:t xml:space="preserve"> </w:t>
      </w:r>
      <w:r>
        <w:t>(</w:t>
      </w:r>
      <w:r w:rsidRPr="00030A52">
        <w:t>Annexure B – Submissions on Proposed Recommendations</w:t>
      </w:r>
      <w:r>
        <w:t>)</w:t>
      </w:r>
      <w:r w:rsidRPr="00030A52">
        <w:t>.</w:t>
      </w:r>
    </w:p>
  </w:footnote>
  <w:footnote w:id="447">
    <w:p w14:paraId="1EE104EA" w14:textId="5E489935" w:rsidR="0042789D" w:rsidRPr="0041509F" w:rsidRDefault="0042789D" w:rsidP="00874D04">
      <w:pPr>
        <w:pStyle w:val="FootnoteText"/>
        <w:spacing w:before="60" w:after="60"/>
      </w:pPr>
      <w:r w:rsidRPr="0041509F">
        <w:rPr>
          <w:rStyle w:val="FootnoteReference"/>
        </w:rPr>
        <w:footnoteRef/>
      </w:r>
      <w:r w:rsidRPr="0041509F">
        <w:t xml:space="preserve"> </w:t>
      </w:r>
      <w:r>
        <w:rPr>
          <w:i/>
        </w:rPr>
        <w:t>NSW Police Force r</w:t>
      </w:r>
      <w:r w:rsidRPr="0041509F">
        <w:rPr>
          <w:i/>
        </w:rPr>
        <w:t xml:space="preserve">esponse to the interim report of Operation Tusket, </w:t>
      </w:r>
      <w:r w:rsidRPr="0041509F">
        <w:t>23 October 2018,</w:t>
      </w:r>
      <w:r w:rsidRPr="0041509F">
        <w:rPr>
          <w:i/>
        </w:rPr>
        <w:t xml:space="preserve"> </w:t>
      </w:r>
      <w:r w:rsidRPr="0041509F">
        <w:t xml:space="preserve">F/2018/94374; D/2018/851613, pp 2 and 3. </w:t>
      </w:r>
    </w:p>
  </w:footnote>
  <w:footnote w:id="448">
    <w:p w14:paraId="398654EB" w14:textId="292ED944" w:rsidR="0042789D" w:rsidRPr="00BF5CB9" w:rsidRDefault="0042789D" w:rsidP="00874D04">
      <w:pPr>
        <w:pStyle w:val="FootnoteText"/>
        <w:spacing w:before="60" w:after="60"/>
      </w:pPr>
      <w:r w:rsidRPr="0041509F">
        <w:rPr>
          <w:rStyle w:val="FootnoteReference"/>
        </w:rPr>
        <w:footnoteRef/>
      </w:r>
      <w:r w:rsidRPr="0041509F">
        <w:t xml:space="preserve"> Letter from Commissioner of Police, </w:t>
      </w:r>
      <w:r>
        <w:t>NSW Police Force</w:t>
      </w:r>
      <w:r w:rsidRPr="0041509F">
        <w:t xml:space="preserve">, to Chief Commissioner, </w:t>
      </w:r>
      <w:r>
        <w:t>Law Enforcement Conduct Commission</w:t>
      </w:r>
      <w:r w:rsidRPr="0041509F">
        <w:t>, 23 October 2018, F/2018/94374, D/2018/851674.</w:t>
      </w:r>
    </w:p>
  </w:footnote>
  <w:footnote w:id="449">
    <w:p w14:paraId="136618A6" w14:textId="77777777" w:rsidR="0042789D" w:rsidRPr="00BF5CB9" w:rsidRDefault="0042789D" w:rsidP="0084029D">
      <w:pPr>
        <w:pStyle w:val="Footnote"/>
      </w:pPr>
      <w:r w:rsidRPr="00BF5CB9">
        <w:rPr>
          <w:rStyle w:val="FootnoteReference"/>
          <w:szCs w:val="20"/>
        </w:rPr>
        <w:footnoteRef/>
      </w:r>
      <w:r w:rsidRPr="00BF5CB9">
        <w:t xml:space="preserve"> The letter would need to acknowledge that the person’s reporting period would be subject to change if the person subsequently spent time in government custody, travelled overseas, or committed another registrable offence.</w:t>
      </w:r>
    </w:p>
  </w:footnote>
  <w:footnote w:id="450">
    <w:p w14:paraId="4ECC622F" w14:textId="7D59E5ED" w:rsidR="0042789D" w:rsidRPr="00BF5CB9" w:rsidRDefault="0042789D" w:rsidP="0084029D">
      <w:pPr>
        <w:pStyle w:val="Footnote"/>
        <w:rPr>
          <w:rFonts w:ascii="Gotham Book" w:hAnsi="Gotham Book"/>
        </w:rPr>
      </w:pPr>
      <w:r w:rsidRPr="00BF5CB9">
        <w:rPr>
          <w:rStyle w:val="FootnoteReference"/>
          <w:rFonts w:ascii="Gotham Book" w:hAnsi="Gotham Book"/>
          <w:szCs w:val="20"/>
        </w:rPr>
        <w:footnoteRef/>
      </w:r>
      <w:r w:rsidRPr="00BF5CB9">
        <w:rPr>
          <w:rFonts w:ascii="Gotham Book" w:hAnsi="Gotham Book"/>
        </w:rPr>
        <w:t xml:space="preserve"> New South Wales Ombudsman, </w:t>
      </w:r>
      <w:r w:rsidRPr="00BF5CB9">
        <w:rPr>
          <w:rFonts w:ascii="Gotham Book" w:hAnsi="Gotham Book"/>
          <w:i/>
        </w:rPr>
        <w:t>Review of the Child Prot</w:t>
      </w:r>
      <w:r>
        <w:rPr>
          <w:rFonts w:ascii="Gotham Book" w:hAnsi="Gotham Book"/>
          <w:i/>
        </w:rPr>
        <w:t>ection Register: Report under s </w:t>
      </w:r>
      <w:r w:rsidRPr="00BF5CB9">
        <w:rPr>
          <w:rFonts w:ascii="Gotham Book" w:hAnsi="Gotham Book"/>
          <w:i/>
        </w:rPr>
        <w:t>25(1) of the Child Protection (Offenders Registration) Act 2000</w:t>
      </w:r>
      <w:r w:rsidRPr="00BF5CB9">
        <w:rPr>
          <w:rFonts w:ascii="Gotham Book" w:hAnsi="Gotham Book"/>
        </w:rPr>
        <w:t xml:space="preserve"> (2005) p 92.</w:t>
      </w:r>
    </w:p>
  </w:footnote>
  <w:footnote w:id="451">
    <w:p w14:paraId="11DF82AA" w14:textId="787AEB60" w:rsidR="0042789D" w:rsidRDefault="0042789D" w:rsidP="0084029D">
      <w:pPr>
        <w:pStyle w:val="Footnote"/>
      </w:pPr>
      <w:r w:rsidRPr="00BF5CB9">
        <w:rPr>
          <w:rStyle w:val="FootnoteReference"/>
          <w:szCs w:val="20"/>
        </w:rPr>
        <w:footnoteRef/>
      </w:r>
      <w:r>
        <w:t xml:space="preserve"> Ibid </w:t>
      </w:r>
      <w:r w:rsidRPr="00BF5CB9">
        <w:t>p 111.</w:t>
      </w:r>
    </w:p>
  </w:footnote>
  <w:footnote w:id="452">
    <w:p w14:paraId="10537B82" w14:textId="77777777" w:rsidR="0042789D" w:rsidRPr="0032540F" w:rsidRDefault="0042789D" w:rsidP="000C42DA">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sidRPr="0032540F">
        <w:rPr>
          <w:rFonts w:ascii="Gotham Book" w:hAnsi="Gotham Book"/>
          <w:i/>
        </w:rPr>
        <w:t>Child Protection (Offenders Registration) Regulation 2015</w:t>
      </w:r>
      <w:r w:rsidRPr="0032540F">
        <w:rPr>
          <w:rFonts w:ascii="Gotham Book" w:hAnsi="Gotham Book"/>
        </w:rPr>
        <w:t xml:space="preserve"> (NSW) reg 4.</w:t>
      </w:r>
    </w:p>
  </w:footnote>
  <w:footnote w:id="453">
    <w:p w14:paraId="6DB5DADA" w14:textId="54477E7F" w:rsidR="0042789D" w:rsidRPr="0032540F" w:rsidRDefault="0042789D" w:rsidP="000C42DA">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sidRPr="002944AE">
        <w:rPr>
          <w:rFonts w:ascii="Gotham Book" w:hAnsi="Gotham Book"/>
        </w:rPr>
        <w:t xml:space="preserve">New South Wales Ombudsman, </w:t>
      </w:r>
      <w:r w:rsidRPr="002944AE">
        <w:rPr>
          <w:rFonts w:ascii="Gotham Book" w:hAnsi="Gotham Book"/>
          <w:i/>
        </w:rPr>
        <w:t>Review of the Child Prot</w:t>
      </w:r>
      <w:r>
        <w:rPr>
          <w:rFonts w:ascii="Gotham Book" w:hAnsi="Gotham Book"/>
          <w:i/>
        </w:rPr>
        <w:t>ection Register: Report under s </w:t>
      </w:r>
      <w:r w:rsidRPr="002944AE">
        <w:rPr>
          <w:rFonts w:ascii="Gotham Book" w:hAnsi="Gotham Book"/>
          <w:i/>
        </w:rPr>
        <w:t>25(1) of the</w:t>
      </w:r>
      <w:r w:rsidRPr="002944AE">
        <w:rPr>
          <w:rFonts w:ascii="Gotham Book" w:hAnsi="Gotham Book"/>
        </w:rPr>
        <w:t xml:space="preserve"> </w:t>
      </w:r>
      <w:r w:rsidRPr="002944AE">
        <w:rPr>
          <w:rFonts w:ascii="Gotham Book" w:hAnsi="Gotham Book"/>
          <w:i/>
        </w:rPr>
        <w:t>Child Protection (Offenders Registration) Act 2000</w:t>
      </w:r>
      <w:r w:rsidRPr="002944AE">
        <w:rPr>
          <w:rFonts w:ascii="Gotham Book" w:hAnsi="Gotham Book"/>
        </w:rPr>
        <w:t xml:space="preserve"> (2005); Ministry for</w:t>
      </w:r>
      <w:r>
        <w:rPr>
          <w:rFonts w:ascii="Gotham Book" w:hAnsi="Gotham Book"/>
        </w:rPr>
        <w:t xml:space="preserve"> Police and Emergency Services (NSW)</w:t>
      </w:r>
      <w:r w:rsidRPr="002944AE">
        <w:rPr>
          <w:rFonts w:ascii="Gotham Book" w:hAnsi="Gotham Book"/>
        </w:rPr>
        <w:t xml:space="preserve">, </w:t>
      </w:r>
      <w:r w:rsidRPr="005F42C4">
        <w:rPr>
          <w:rFonts w:ascii="Gotham Book" w:hAnsi="Gotham Book"/>
          <w:i/>
        </w:rPr>
        <w:t>Report:</w:t>
      </w:r>
      <w:r w:rsidRPr="002944AE">
        <w:rPr>
          <w:rFonts w:ascii="Gotham Book" w:hAnsi="Gotham Book"/>
        </w:rPr>
        <w:t xml:space="preserve"> </w:t>
      </w:r>
      <w:r w:rsidRPr="002944AE">
        <w:rPr>
          <w:rFonts w:ascii="Gotham Book" w:hAnsi="Gotham Book"/>
          <w:i/>
        </w:rPr>
        <w:t>Statutory review of the Child Protection (Offenders Registration) Act 2000</w:t>
      </w:r>
      <w:r w:rsidRPr="002944AE">
        <w:rPr>
          <w:rFonts w:ascii="Gotham Book" w:hAnsi="Gotham Book"/>
        </w:rPr>
        <w:t xml:space="preserve"> (2013).</w:t>
      </w:r>
    </w:p>
  </w:footnote>
  <w:footnote w:id="454">
    <w:p w14:paraId="133A688B" w14:textId="77777777" w:rsidR="0042789D" w:rsidRPr="0032540F" w:rsidRDefault="0042789D" w:rsidP="000C42DA">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sidRPr="0032540F">
        <w:rPr>
          <w:rFonts w:ascii="Gotham Book" w:hAnsi="Gotham Book"/>
          <w:i/>
        </w:rPr>
        <w:t>Child Protection (Offenders Registration) Act 2000</w:t>
      </w:r>
      <w:r w:rsidRPr="0032540F">
        <w:rPr>
          <w:rFonts w:ascii="Gotham Book" w:hAnsi="Gotham Book"/>
        </w:rPr>
        <w:t xml:space="preserve"> (NSW) s 4(2)(a).</w:t>
      </w:r>
    </w:p>
  </w:footnote>
  <w:footnote w:id="455">
    <w:p w14:paraId="42C95B4A" w14:textId="6E4FE1D2" w:rsidR="0042789D" w:rsidRPr="0032540F" w:rsidRDefault="0042789D" w:rsidP="000C42DA">
      <w:pPr>
        <w:pStyle w:val="FootnoteText"/>
        <w:spacing w:before="60" w:after="60"/>
        <w:rPr>
          <w:rFonts w:ascii="Gotham Book" w:hAnsi="Gotham Book"/>
        </w:rPr>
      </w:pPr>
      <w:r w:rsidRPr="0032540F">
        <w:rPr>
          <w:rStyle w:val="FootnoteReference"/>
          <w:rFonts w:ascii="Gotham Book" w:hAnsi="Gotham Book"/>
        </w:rPr>
        <w:footnoteRef/>
      </w:r>
      <w:r>
        <w:rPr>
          <w:rFonts w:ascii="Gotham Book" w:hAnsi="Gotham Book"/>
        </w:rPr>
        <w:t xml:space="preserve"> </w:t>
      </w:r>
      <w:r w:rsidRPr="00CB2668">
        <w:t xml:space="preserve">Under the CPOR Regulation this latter obligation, to notify the registrable person, has been removed from the sentencing courts in most cases and placed on supervising authorities and the NSW Police Force: see section </w:t>
      </w:r>
      <w:r w:rsidRPr="00CB2668">
        <w:fldChar w:fldCharType="begin"/>
      </w:r>
      <w:r w:rsidRPr="00CB2668">
        <w:instrText xml:space="preserve"> REF _Ref10650504 \r \h  \* MERGEFORMAT </w:instrText>
      </w:r>
      <w:r w:rsidRPr="00CB2668">
        <w:fldChar w:fldCharType="separate"/>
      </w:r>
      <w:r w:rsidR="00022664">
        <w:rPr>
          <w:rFonts w:hint="cs"/>
          <w:cs/>
        </w:rPr>
        <w:t>‎</w:t>
      </w:r>
      <w:r w:rsidR="00022664">
        <w:t>7.4</w:t>
      </w:r>
      <w:r w:rsidRPr="00CB2668">
        <w:fldChar w:fldCharType="end"/>
      </w:r>
      <w:r w:rsidRPr="00CB2668">
        <w:t xml:space="preserve"> below.</w:t>
      </w:r>
    </w:p>
  </w:footnote>
  <w:footnote w:id="456">
    <w:p w14:paraId="41BFF89B" w14:textId="77777777" w:rsidR="0042789D" w:rsidRPr="0032540F" w:rsidRDefault="0042789D" w:rsidP="00140451">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New South Wales, </w:t>
      </w:r>
      <w:r w:rsidRPr="0032540F">
        <w:rPr>
          <w:rFonts w:ascii="Gotham Book" w:hAnsi="Gotham Book"/>
          <w:i/>
        </w:rPr>
        <w:t>Parliamentary Debates</w:t>
      </w:r>
      <w:r w:rsidRPr="0032540F">
        <w:rPr>
          <w:rFonts w:ascii="Gotham Book" w:hAnsi="Gotham Book"/>
        </w:rPr>
        <w:t>, Legislative Assembly, 20 June 2001, p 14854 (Paul Whelan, Minister for Police).</w:t>
      </w:r>
    </w:p>
  </w:footnote>
  <w:footnote w:id="457">
    <w:p w14:paraId="7CB11A29" w14:textId="2533786C" w:rsidR="0042789D" w:rsidRPr="0032540F" w:rsidRDefault="0042789D" w:rsidP="00140451">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New South Wales Ombudsman, </w:t>
      </w:r>
      <w:r w:rsidRPr="0032540F">
        <w:rPr>
          <w:rFonts w:ascii="Gotham Book" w:hAnsi="Gotham Book"/>
          <w:i/>
        </w:rPr>
        <w:t xml:space="preserve">Review of the Child Protection </w:t>
      </w:r>
      <w:r>
        <w:rPr>
          <w:rFonts w:ascii="Gotham Book" w:hAnsi="Gotham Book"/>
          <w:i/>
        </w:rPr>
        <w:t>Register: Report under s </w:t>
      </w:r>
      <w:r w:rsidRPr="0032540F">
        <w:rPr>
          <w:rFonts w:ascii="Gotham Book" w:hAnsi="Gotham Book"/>
          <w:i/>
        </w:rPr>
        <w:t xml:space="preserve">25(1) of the </w:t>
      </w:r>
      <w:r w:rsidRPr="003B373C">
        <w:rPr>
          <w:rFonts w:ascii="Gotham Book" w:hAnsi="Gotham Book"/>
          <w:i/>
        </w:rPr>
        <w:t>Child Protection (Offenders Registration) Act 2000</w:t>
      </w:r>
      <w:r w:rsidRPr="0032540F">
        <w:rPr>
          <w:rFonts w:ascii="Gotham Book" w:hAnsi="Gotham Book"/>
        </w:rPr>
        <w:t xml:space="preserve"> (</w:t>
      </w:r>
      <w:r w:rsidRPr="00287B9D">
        <w:rPr>
          <w:rFonts w:ascii="Gotham Book" w:hAnsi="Gotham Book"/>
        </w:rPr>
        <w:t>2005).</w:t>
      </w:r>
    </w:p>
  </w:footnote>
  <w:footnote w:id="458">
    <w:p w14:paraId="31459E84" w14:textId="4D8A6F92" w:rsidR="0042789D" w:rsidRPr="0032540F" w:rsidRDefault="0042789D" w:rsidP="00140451">
      <w:pPr>
        <w:pStyle w:val="FootnoteText"/>
        <w:spacing w:before="60" w:after="60"/>
        <w:rPr>
          <w:rFonts w:ascii="Gotham Book" w:hAnsi="Gotham Book"/>
        </w:rPr>
      </w:pPr>
      <w:r w:rsidRPr="0032540F">
        <w:rPr>
          <w:rStyle w:val="FootnoteReference"/>
          <w:rFonts w:ascii="Gotham Book" w:hAnsi="Gotham Book"/>
        </w:rPr>
        <w:footnoteRef/>
      </w:r>
      <w:r>
        <w:rPr>
          <w:rFonts w:ascii="Gotham Book" w:hAnsi="Gotham Book"/>
        </w:rPr>
        <w:t xml:space="preserve"> Ibid </w:t>
      </w:r>
      <w:r w:rsidRPr="0032540F">
        <w:rPr>
          <w:rFonts w:ascii="Gotham Book" w:hAnsi="Gotham Book"/>
        </w:rPr>
        <w:t>p 54.</w:t>
      </w:r>
    </w:p>
  </w:footnote>
  <w:footnote w:id="459">
    <w:p w14:paraId="56DEFF19" w14:textId="012AE34B" w:rsidR="0042789D" w:rsidRPr="0032540F" w:rsidRDefault="0042789D" w:rsidP="00140451">
      <w:pPr>
        <w:pStyle w:val="FootnoteText"/>
        <w:spacing w:before="60" w:after="60"/>
        <w:rPr>
          <w:rFonts w:ascii="Gotham Book" w:hAnsi="Gotham Book"/>
        </w:rPr>
      </w:pPr>
      <w:r w:rsidRPr="0032540F">
        <w:rPr>
          <w:rStyle w:val="FootnoteReference"/>
          <w:rFonts w:ascii="Gotham Book" w:hAnsi="Gotham Book"/>
        </w:rPr>
        <w:footnoteRef/>
      </w:r>
      <w:r>
        <w:rPr>
          <w:rFonts w:ascii="Gotham Book" w:hAnsi="Gotham Book"/>
        </w:rPr>
        <w:t xml:space="preserve"> Ibid</w:t>
      </w:r>
      <w:r w:rsidRPr="0032540F">
        <w:rPr>
          <w:rFonts w:ascii="Gotham Book" w:hAnsi="Gotham Book"/>
        </w:rPr>
        <w:t>.</w:t>
      </w:r>
    </w:p>
  </w:footnote>
  <w:footnote w:id="460">
    <w:p w14:paraId="43ED576B" w14:textId="2CA09065" w:rsidR="0042789D" w:rsidRPr="0032540F" w:rsidRDefault="0042789D" w:rsidP="00140451">
      <w:pPr>
        <w:pStyle w:val="FootnoteText"/>
        <w:spacing w:before="60" w:after="60"/>
        <w:rPr>
          <w:rFonts w:ascii="Gotham Book" w:hAnsi="Gotham Book"/>
        </w:rPr>
      </w:pPr>
      <w:r w:rsidRPr="0032540F">
        <w:rPr>
          <w:rStyle w:val="FootnoteReference"/>
          <w:rFonts w:ascii="Gotham Book" w:hAnsi="Gotham Book"/>
        </w:rPr>
        <w:footnoteRef/>
      </w:r>
      <w:r>
        <w:rPr>
          <w:rFonts w:ascii="Gotham Book" w:hAnsi="Gotham Book"/>
        </w:rPr>
        <w:t xml:space="preserve"> Ibid </w:t>
      </w:r>
      <w:r w:rsidRPr="0032540F">
        <w:rPr>
          <w:rFonts w:ascii="Gotham Book" w:hAnsi="Gotham Book"/>
        </w:rPr>
        <w:t>p 55.</w:t>
      </w:r>
    </w:p>
  </w:footnote>
  <w:footnote w:id="461">
    <w:p w14:paraId="033F8EF3" w14:textId="4C1A398C" w:rsidR="0042789D" w:rsidRPr="0032540F" w:rsidRDefault="0042789D" w:rsidP="00140451">
      <w:pPr>
        <w:pStyle w:val="FootnoteText"/>
        <w:spacing w:before="60" w:after="60"/>
        <w:rPr>
          <w:rFonts w:ascii="Gotham Book" w:hAnsi="Gotham Book"/>
        </w:rPr>
      </w:pPr>
      <w:r w:rsidRPr="0032540F">
        <w:rPr>
          <w:rStyle w:val="FootnoteReference"/>
          <w:rFonts w:ascii="Gotham Book" w:hAnsi="Gotham Book"/>
        </w:rPr>
        <w:footnoteRef/>
      </w:r>
      <w:r>
        <w:rPr>
          <w:rFonts w:ascii="Gotham Book" w:hAnsi="Gotham Book"/>
        </w:rPr>
        <w:t xml:space="preserve"> Ibid</w:t>
      </w:r>
      <w:r w:rsidRPr="0032540F">
        <w:rPr>
          <w:rFonts w:ascii="Gotham Book" w:hAnsi="Gotham Book"/>
        </w:rPr>
        <w:t xml:space="preserve"> p 58.</w:t>
      </w:r>
    </w:p>
  </w:footnote>
  <w:footnote w:id="462">
    <w:p w14:paraId="385BA30B" w14:textId="20673088" w:rsidR="0042789D" w:rsidRPr="0032540F" w:rsidRDefault="0042789D" w:rsidP="00895238">
      <w:pPr>
        <w:pStyle w:val="FootnoteText"/>
        <w:spacing w:before="60" w:after="60"/>
        <w:rPr>
          <w:rFonts w:ascii="Gotham Book" w:hAnsi="Gotham Book"/>
        </w:rPr>
      </w:pPr>
      <w:r w:rsidRPr="0032540F">
        <w:rPr>
          <w:rStyle w:val="FootnoteReference"/>
          <w:rFonts w:ascii="Gotham Book" w:hAnsi="Gotham Book"/>
        </w:rPr>
        <w:footnoteRef/>
      </w:r>
      <w:r>
        <w:rPr>
          <w:rFonts w:ascii="Gotham Book" w:hAnsi="Gotham Book"/>
        </w:rPr>
        <w:t xml:space="preserve"> Ibid </w:t>
      </w:r>
      <w:r w:rsidRPr="0032540F">
        <w:rPr>
          <w:rFonts w:ascii="Gotham Book" w:hAnsi="Gotham Book"/>
        </w:rPr>
        <w:t>p 55 and p 198.</w:t>
      </w:r>
    </w:p>
  </w:footnote>
  <w:footnote w:id="463">
    <w:p w14:paraId="2E8AC1A1" w14:textId="4512AE45" w:rsidR="0042789D" w:rsidRPr="0032540F" w:rsidRDefault="0042789D" w:rsidP="00895238">
      <w:pPr>
        <w:pStyle w:val="FootnoteText"/>
        <w:spacing w:before="60" w:after="60"/>
        <w:rPr>
          <w:rFonts w:ascii="Gotham Book" w:hAnsi="Gotham Book"/>
        </w:rPr>
      </w:pPr>
      <w:r w:rsidRPr="0032540F">
        <w:rPr>
          <w:rStyle w:val="FootnoteReference"/>
          <w:rFonts w:ascii="Gotham Book" w:hAnsi="Gotham Book"/>
        </w:rPr>
        <w:footnoteRef/>
      </w:r>
      <w:r>
        <w:rPr>
          <w:rFonts w:ascii="Gotham Book" w:hAnsi="Gotham Book"/>
        </w:rPr>
        <w:t xml:space="preserve"> Ibid </w:t>
      </w:r>
      <w:r w:rsidRPr="0032540F">
        <w:rPr>
          <w:rFonts w:ascii="Gotham Book" w:hAnsi="Gotham Book"/>
        </w:rPr>
        <w:t>p 198.</w:t>
      </w:r>
    </w:p>
  </w:footnote>
  <w:footnote w:id="464">
    <w:p w14:paraId="4A77D4B1" w14:textId="7657A08E" w:rsidR="0042789D" w:rsidRDefault="0042789D">
      <w:pPr>
        <w:pStyle w:val="FootnoteText"/>
      </w:pPr>
      <w:r w:rsidRPr="00175CB7">
        <w:rPr>
          <w:rStyle w:val="FootnoteReference"/>
        </w:rPr>
        <w:footnoteRef/>
      </w:r>
      <w:r w:rsidRPr="00175CB7">
        <w:t xml:space="preserve"> </w:t>
      </w:r>
      <w:r w:rsidRPr="00175CB7">
        <w:rPr>
          <w:rFonts w:ascii="Gotham Book" w:hAnsi="Gotham Book"/>
        </w:rPr>
        <w:t xml:space="preserve">NSW Police Force, </w:t>
      </w:r>
      <w:r w:rsidRPr="00175CB7">
        <w:rPr>
          <w:rFonts w:ascii="Gotham Book" w:hAnsi="Gotham Book"/>
          <w:i/>
        </w:rPr>
        <w:t>Child Protection Register Standard Operating Procedures</w:t>
      </w:r>
      <w:r>
        <w:rPr>
          <w:rFonts w:ascii="Gotham Book" w:hAnsi="Gotham Book"/>
        </w:rPr>
        <w:t xml:space="preserve"> (2016)</w:t>
      </w:r>
      <w:r w:rsidRPr="00175CB7">
        <w:rPr>
          <w:rFonts w:ascii="Gotham Book" w:hAnsi="Gotham Book"/>
        </w:rPr>
        <w:t xml:space="preserve"> </w:t>
      </w:r>
      <w:r>
        <w:rPr>
          <w:rFonts w:ascii="Gotham Book" w:hAnsi="Gotham Book"/>
        </w:rPr>
        <w:t>NSW Police Force response</w:t>
      </w:r>
      <w:r w:rsidRPr="0032540F">
        <w:rPr>
          <w:rFonts w:ascii="Gotham Book" w:hAnsi="Gotham Book"/>
        </w:rPr>
        <w:t xml:space="preserve"> to item 7 of </w:t>
      </w:r>
      <w:r>
        <w:rPr>
          <w:rFonts w:ascii="Gotham Book" w:hAnsi="Gotham Book"/>
        </w:rPr>
        <w:t>Law Enforcement Conduct Commission Notice 929 of 2017, pp 16-17.</w:t>
      </w:r>
    </w:p>
  </w:footnote>
  <w:footnote w:id="465">
    <w:p w14:paraId="73B1DBBE" w14:textId="1D64C03A" w:rsidR="0042789D" w:rsidRPr="00850877" w:rsidRDefault="0042789D">
      <w:pPr>
        <w:pStyle w:val="FootnoteText"/>
      </w:pPr>
      <w:r w:rsidRPr="00850877">
        <w:rPr>
          <w:rStyle w:val="FootnoteReference"/>
        </w:rPr>
        <w:footnoteRef/>
      </w:r>
      <w:r w:rsidRPr="00850877">
        <w:t xml:space="preserve"> </w:t>
      </w:r>
      <w:r w:rsidRPr="008C43BE">
        <w:rPr>
          <w:rFonts w:ascii="Gotham Book" w:hAnsi="Gotham Book"/>
        </w:rPr>
        <w:t xml:space="preserve">NSW Police Force, </w:t>
      </w:r>
      <w:r w:rsidRPr="008C43BE">
        <w:rPr>
          <w:rFonts w:ascii="Gotham Book" w:hAnsi="Gotham Book"/>
          <w:i/>
        </w:rPr>
        <w:t>Child Protection Register Standard Operating Procedures</w:t>
      </w:r>
      <w:r>
        <w:rPr>
          <w:rFonts w:ascii="Gotham Book" w:hAnsi="Gotham Book"/>
        </w:rPr>
        <w:t xml:space="preserve"> (2016)</w:t>
      </w:r>
      <w:r w:rsidRPr="008C43BE">
        <w:rPr>
          <w:rFonts w:ascii="Gotham Book" w:hAnsi="Gotham Book"/>
        </w:rPr>
        <w:t xml:space="preserve"> </w:t>
      </w:r>
      <w:r>
        <w:rPr>
          <w:rFonts w:ascii="Gotham Book" w:hAnsi="Gotham Book"/>
        </w:rPr>
        <w:t>NSW Police Force</w:t>
      </w:r>
      <w:r w:rsidRPr="008C43BE">
        <w:rPr>
          <w:rFonts w:ascii="Gotham Book" w:hAnsi="Gotham Book"/>
        </w:rPr>
        <w:t xml:space="preserve"> response to item 7 of </w:t>
      </w:r>
      <w:r>
        <w:rPr>
          <w:rFonts w:ascii="Gotham Book" w:hAnsi="Gotham Book"/>
        </w:rPr>
        <w:t>Law Enforcement Conduct Commission</w:t>
      </w:r>
      <w:r w:rsidRPr="008C43BE">
        <w:rPr>
          <w:rFonts w:ascii="Gotham Book" w:hAnsi="Gotham Book"/>
        </w:rPr>
        <w:t xml:space="preserve"> Notice 929 of 2017, p 17.</w:t>
      </w:r>
    </w:p>
  </w:footnote>
  <w:footnote w:id="466">
    <w:p w14:paraId="4FC4C816" w14:textId="1B69651F" w:rsidR="0042789D" w:rsidRPr="0032540F" w:rsidRDefault="0042789D" w:rsidP="00895238">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Pr>
          <w:rFonts w:ascii="Gotham Book" w:hAnsi="Gotham Book"/>
        </w:rPr>
        <w:t>Law Enforcement Conduct Commission consultation</w:t>
      </w:r>
      <w:r w:rsidRPr="00612FBB">
        <w:rPr>
          <w:rFonts w:ascii="Gotham Book" w:hAnsi="Gotham Book"/>
        </w:rPr>
        <w:t xml:space="preserve"> with NSW Police Force, Parramatta, 18 October 2018.</w:t>
      </w:r>
    </w:p>
  </w:footnote>
  <w:footnote w:id="467">
    <w:p w14:paraId="4B3CC6F0" w14:textId="735D7F8B" w:rsidR="0042789D" w:rsidRPr="0032540F" w:rsidRDefault="0042789D" w:rsidP="00895238">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sidRPr="0032540F">
        <w:rPr>
          <w:rFonts w:ascii="Gotham Book" w:hAnsi="Gotham Book"/>
          <w:i/>
        </w:rPr>
        <w:t>Crimes (Sentencing Procedure) Act 1999</w:t>
      </w:r>
      <w:r>
        <w:rPr>
          <w:rFonts w:ascii="Gotham Book" w:hAnsi="Gotham Book"/>
        </w:rPr>
        <w:t xml:space="preserve"> (NSW) pt 3 d</w:t>
      </w:r>
      <w:r w:rsidRPr="0032540F">
        <w:rPr>
          <w:rFonts w:ascii="Gotham Book" w:hAnsi="Gotham Book"/>
        </w:rPr>
        <w:t xml:space="preserve">iv 3; </w:t>
      </w:r>
      <w:r w:rsidRPr="0032540F">
        <w:rPr>
          <w:rFonts w:ascii="Gotham Book" w:hAnsi="Gotham Book"/>
          <w:i/>
        </w:rPr>
        <w:t>Attorney General’s Application under s 37 of the</w:t>
      </w:r>
      <w:r w:rsidRPr="0032540F">
        <w:rPr>
          <w:rFonts w:ascii="Gotham Book" w:hAnsi="Gotham Book"/>
        </w:rPr>
        <w:t xml:space="preserve"> </w:t>
      </w:r>
      <w:r w:rsidRPr="00F21227">
        <w:rPr>
          <w:rFonts w:ascii="Gotham Book" w:hAnsi="Gotham Book"/>
          <w:i/>
        </w:rPr>
        <w:t xml:space="preserve">Crimes (Sentencing Procedure) Act 1999 </w:t>
      </w:r>
      <w:r w:rsidRPr="0032540F">
        <w:rPr>
          <w:rFonts w:ascii="Gotham Book" w:hAnsi="Gotham Book"/>
          <w:i/>
        </w:rPr>
        <w:t>No 1 of 2002</w:t>
      </w:r>
      <w:r w:rsidRPr="0032540F">
        <w:rPr>
          <w:rFonts w:ascii="Gotham Book" w:hAnsi="Gotham Book"/>
        </w:rPr>
        <w:t xml:space="preserve"> [2002] NSWCCA 518 [2].</w:t>
      </w:r>
    </w:p>
  </w:footnote>
  <w:footnote w:id="468">
    <w:p w14:paraId="6274810B" w14:textId="37977E23" w:rsidR="0042789D" w:rsidRPr="00C15199" w:rsidRDefault="0042789D">
      <w:pPr>
        <w:pStyle w:val="FootnoteText"/>
      </w:pPr>
      <w:r w:rsidRPr="00C15199">
        <w:rPr>
          <w:rStyle w:val="FootnoteReference"/>
        </w:rPr>
        <w:footnoteRef/>
      </w:r>
      <w:r w:rsidRPr="00C15199">
        <w:t xml:space="preserve"> Mr SS’s case was referred to in </w:t>
      </w:r>
      <w:r>
        <w:t>an e</w:t>
      </w:r>
      <w:r w:rsidRPr="00C477F5">
        <w:t xml:space="preserve">mail </w:t>
      </w:r>
      <w:r>
        <w:t xml:space="preserve">produced by the NSW Police Force in response to Law Enforcement Conduct Commission Notice 977 of 2018: Email </w:t>
      </w:r>
      <w:r w:rsidRPr="00C477F5">
        <w:t xml:space="preserve">from </w:t>
      </w:r>
      <w:r>
        <w:t xml:space="preserve">Inspector, NSW Police Force, to </w:t>
      </w:r>
      <w:r w:rsidRPr="00C477F5">
        <w:t xml:space="preserve">Child Protection Registry, </w:t>
      </w:r>
      <w:r>
        <w:t xml:space="preserve">NSW Police Force, </w:t>
      </w:r>
      <w:r w:rsidRPr="00642290">
        <w:rPr>
          <w:i/>
        </w:rPr>
        <w:t>Subject: re reporting period errors</w:t>
      </w:r>
      <w:r>
        <w:t xml:space="preserve">, 25 October 2016. </w:t>
      </w:r>
      <w:r w:rsidRPr="00C15199">
        <w:t>The Commission retrieved ad</w:t>
      </w:r>
      <w:r>
        <w:t>ditional information about Mr SS</w:t>
      </w:r>
      <w:r w:rsidRPr="00C15199">
        <w:t>’s</w:t>
      </w:r>
      <w:r>
        <w:t xml:space="preserve"> case from COPS and JusticeLink</w:t>
      </w:r>
      <w:r w:rsidRPr="00C15199">
        <w:t>.</w:t>
      </w:r>
    </w:p>
  </w:footnote>
  <w:footnote w:id="469">
    <w:p w14:paraId="1023EEDA" w14:textId="10659237" w:rsidR="0042789D" w:rsidRPr="0032540F" w:rsidRDefault="0042789D" w:rsidP="004F2B6F">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An offende</w:t>
      </w:r>
      <w:r>
        <w:rPr>
          <w:rFonts w:ascii="Gotham Book" w:hAnsi="Gotham Book"/>
        </w:rPr>
        <w:t>r is only a registrable person</w:t>
      </w:r>
      <w:r w:rsidRPr="0032540F">
        <w:rPr>
          <w:rFonts w:ascii="Gotham Book" w:hAnsi="Gotham Book"/>
        </w:rPr>
        <w:t xml:space="preserve"> if he or she has been ‘sentenced in respect of a registrable offence’: </w:t>
      </w:r>
      <w:r w:rsidRPr="0032540F">
        <w:rPr>
          <w:rFonts w:ascii="Gotham Book" w:hAnsi="Gotham Book"/>
          <w:i/>
        </w:rPr>
        <w:t>Child Protection (Offenders Registration) Act 2000</w:t>
      </w:r>
      <w:r w:rsidRPr="0032540F">
        <w:rPr>
          <w:rFonts w:ascii="Gotham Book" w:hAnsi="Gotham Book"/>
        </w:rPr>
        <w:t xml:space="preserve"> (NSW) s 3A. The Court of Criminal Appeal has stated that when a court takes into account offences on a Form 1, it is not sentencing </w:t>
      </w:r>
      <w:r w:rsidRPr="00CA43AE">
        <w:rPr>
          <w:rFonts w:ascii="Gotham Book" w:hAnsi="Gotham Book"/>
          <w:b/>
        </w:rPr>
        <w:t>for</w:t>
      </w:r>
      <w:r w:rsidRPr="0032540F">
        <w:rPr>
          <w:rFonts w:ascii="Gotham Book" w:hAnsi="Gotham Book"/>
        </w:rPr>
        <w:t xml:space="preserve"> those offences, only for the principal offence: </w:t>
      </w:r>
      <w:r w:rsidRPr="0032540F">
        <w:rPr>
          <w:rFonts w:ascii="Gotham Book" w:hAnsi="Gotham Book"/>
          <w:i/>
        </w:rPr>
        <w:t>Attorney General’s Application under s 37 of the</w:t>
      </w:r>
      <w:r w:rsidRPr="0032540F">
        <w:rPr>
          <w:rFonts w:ascii="Gotham Book" w:hAnsi="Gotham Book"/>
        </w:rPr>
        <w:t xml:space="preserve"> </w:t>
      </w:r>
      <w:r w:rsidRPr="00CA43AE">
        <w:rPr>
          <w:rFonts w:ascii="Gotham Book" w:hAnsi="Gotham Book"/>
          <w:i/>
        </w:rPr>
        <w:t>Crimes</w:t>
      </w:r>
      <w:r w:rsidRPr="0032540F">
        <w:rPr>
          <w:rFonts w:ascii="Gotham Book" w:hAnsi="Gotham Book"/>
        </w:rPr>
        <w:t xml:space="preserve"> </w:t>
      </w:r>
      <w:r w:rsidRPr="00CA43AE">
        <w:rPr>
          <w:rFonts w:ascii="Gotham Book" w:hAnsi="Gotham Book"/>
          <w:i/>
        </w:rPr>
        <w:t>(Sentencing Procedure) Act 1999</w:t>
      </w:r>
      <w:r w:rsidRPr="0032540F">
        <w:rPr>
          <w:rFonts w:ascii="Gotham Book" w:hAnsi="Gotham Book"/>
        </w:rPr>
        <w:t xml:space="preserve"> </w:t>
      </w:r>
      <w:r w:rsidRPr="0032540F">
        <w:rPr>
          <w:rFonts w:ascii="Gotham Book" w:hAnsi="Gotham Book"/>
          <w:i/>
        </w:rPr>
        <w:t>No 1 of 2002</w:t>
      </w:r>
      <w:r w:rsidRPr="0032540F">
        <w:rPr>
          <w:rFonts w:ascii="Gotham Book" w:hAnsi="Gotham Book"/>
        </w:rPr>
        <w:t xml:space="preserve"> [2002] NSWCCA 518 [35]-[39].</w:t>
      </w:r>
    </w:p>
  </w:footnote>
  <w:footnote w:id="470">
    <w:p w14:paraId="2A52F208" w14:textId="34D20FBB" w:rsidR="0042789D" w:rsidRPr="0032540F" w:rsidRDefault="0042789D" w:rsidP="004F2B6F">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Pr>
          <w:rFonts w:ascii="Gotham Book" w:hAnsi="Gotham Book"/>
        </w:rPr>
        <w:t>Law Enforcement Conduct Commission consultation</w:t>
      </w:r>
      <w:r w:rsidRPr="0032540F">
        <w:rPr>
          <w:rFonts w:ascii="Gotham Book" w:hAnsi="Gotham Book"/>
        </w:rPr>
        <w:t xml:space="preserve"> with N</w:t>
      </w:r>
      <w:r>
        <w:rPr>
          <w:rFonts w:ascii="Gotham Book" w:hAnsi="Gotham Book"/>
        </w:rPr>
        <w:t>SW Police Force</w:t>
      </w:r>
      <w:r w:rsidRPr="0032540F">
        <w:rPr>
          <w:rFonts w:ascii="Gotham Book" w:hAnsi="Gotham Book"/>
        </w:rPr>
        <w:t xml:space="preserve">, Parramatta, 11 April 2018, </w:t>
      </w:r>
      <w:r>
        <w:rPr>
          <w:rFonts w:ascii="Gotham Book" w:hAnsi="Gotham Book"/>
        </w:rPr>
        <w:t>and Law Enforcement Conduct Commission consultation</w:t>
      </w:r>
      <w:r w:rsidRPr="00612FBB">
        <w:rPr>
          <w:rFonts w:ascii="Gotham Book" w:hAnsi="Gotham Book"/>
        </w:rPr>
        <w:t xml:space="preserve"> with NSW Police Force, Parramatta, 18 October 2018</w:t>
      </w:r>
      <w:r w:rsidRPr="0032540F">
        <w:rPr>
          <w:rFonts w:ascii="Gotham Book" w:hAnsi="Gotham Book"/>
        </w:rPr>
        <w:t xml:space="preserve">. See </w:t>
      </w:r>
      <w:r w:rsidRPr="0032540F">
        <w:rPr>
          <w:rFonts w:ascii="Gotham Book" w:hAnsi="Gotham Book"/>
          <w:i/>
        </w:rPr>
        <w:t>Crimes (Sentencing Procedure) Amendment (Sentencing Options) Act 2017</w:t>
      </w:r>
      <w:r w:rsidRPr="0032540F">
        <w:rPr>
          <w:rFonts w:ascii="Gotham Book" w:hAnsi="Gotham Book"/>
        </w:rPr>
        <w:t xml:space="preserve"> (NSW).</w:t>
      </w:r>
    </w:p>
  </w:footnote>
  <w:footnote w:id="471">
    <w:p w14:paraId="22412F4B" w14:textId="661E93BC" w:rsidR="0042789D" w:rsidRPr="0032540F" w:rsidRDefault="0042789D" w:rsidP="006A1198">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These include </w:t>
      </w:r>
      <w:r>
        <w:rPr>
          <w:rFonts w:ascii="Gotham Book" w:hAnsi="Gotham Book"/>
        </w:rPr>
        <w:t>an order</w:t>
      </w:r>
      <w:r w:rsidRPr="0032540F">
        <w:rPr>
          <w:rFonts w:ascii="Gotham Book" w:hAnsi="Gotham Book"/>
        </w:rPr>
        <w:t xml:space="preserve"> under s 24(1)(b) of the </w:t>
      </w:r>
      <w:r w:rsidRPr="0032540F">
        <w:rPr>
          <w:rFonts w:ascii="Gotham Book" w:hAnsi="Gotham Book"/>
          <w:i/>
        </w:rPr>
        <w:t>Mental Health (Forensic Provisions) Act 1990</w:t>
      </w:r>
      <w:r>
        <w:rPr>
          <w:rFonts w:ascii="Gotham Book" w:hAnsi="Gotham Book"/>
        </w:rPr>
        <w:t xml:space="preserve"> (NSW) </w:t>
      </w:r>
      <w:r w:rsidRPr="0032540F">
        <w:rPr>
          <w:rFonts w:ascii="Gotham Book" w:hAnsi="Gotham Book"/>
        </w:rPr>
        <w:t>that ‘causes a person to be kept in custody’, or a</w:t>
      </w:r>
      <w:r>
        <w:rPr>
          <w:rFonts w:ascii="Gotham Book" w:hAnsi="Gotham Book"/>
        </w:rPr>
        <w:t>ny ‘order of detention’ under s </w:t>
      </w:r>
      <w:r w:rsidRPr="0032540F">
        <w:rPr>
          <w:rFonts w:ascii="Gotham Book" w:hAnsi="Gotham Book"/>
        </w:rPr>
        <w:t>27 or s 39 of that Act</w:t>
      </w:r>
      <w:r w:rsidRPr="0032540F">
        <w:rPr>
          <w:rFonts w:ascii="Gotham Book" w:hAnsi="Gotham Book"/>
          <w:i/>
        </w:rPr>
        <w:t>: Child Protection (Offenders Registration) Act 2000</w:t>
      </w:r>
      <w:r w:rsidRPr="0032540F">
        <w:rPr>
          <w:rFonts w:ascii="Gotham Book" w:hAnsi="Gotham Book"/>
        </w:rPr>
        <w:t xml:space="preserve"> (NSW) s 3 (definition of ‘sentence’).</w:t>
      </w:r>
    </w:p>
  </w:footnote>
  <w:footnote w:id="472">
    <w:p w14:paraId="39C01541" w14:textId="532D8895" w:rsidR="0042789D" w:rsidRPr="0032540F" w:rsidRDefault="0042789D" w:rsidP="006A1198">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Pr>
          <w:rFonts w:ascii="Gotham Book" w:hAnsi="Gotham Book"/>
        </w:rPr>
        <w:t>Law Enforcement Conduct Commission consultation</w:t>
      </w:r>
      <w:r w:rsidRPr="0032540F">
        <w:rPr>
          <w:rFonts w:ascii="Gotham Book" w:hAnsi="Gotham Book"/>
        </w:rPr>
        <w:t xml:space="preserve"> with NSW</w:t>
      </w:r>
      <w:r>
        <w:rPr>
          <w:rFonts w:ascii="Gotham Book" w:hAnsi="Gotham Book"/>
        </w:rPr>
        <w:t xml:space="preserve"> </w:t>
      </w:r>
      <w:r w:rsidRPr="0032540F">
        <w:rPr>
          <w:rFonts w:ascii="Gotham Book" w:hAnsi="Gotham Book"/>
        </w:rPr>
        <w:t>P</w:t>
      </w:r>
      <w:r>
        <w:rPr>
          <w:rFonts w:ascii="Gotham Book" w:hAnsi="Gotham Book"/>
        </w:rPr>
        <w:t xml:space="preserve">olice </w:t>
      </w:r>
      <w:r w:rsidRPr="0032540F">
        <w:rPr>
          <w:rFonts w:ascii="Gotham Book" w:hAnsi="Gotham Book"/>
        </w:rPr>
        <w:t>F</w:t>
      </w:r>
      <w:r>
        <w:rPr>
          <w:rFonts w:ascii="Gotham Book" w:hAnsi="Gotham Book"/>
        </w:rPr>
        <w:t>orce</w:t>
      </w:r>
      <w:r w:rsidRPr="0032540F">
        <w:rPr>
          <w:rFonts w:ascii="Gotham Book" w:hAnsi="Gotham Book"/>
        </w:rPr>
        <w:t>, Parramatta, 11</w:t>
      </w:r>
      <w:r w:rsidR="00F960B6">
        <w:rPr>
          <w:rFonts w:ascii="Gotham Book" w:hAnsi="Gotham Book"/>
        </w:rPr>
        <w:t> </w:t>
      </w:r>
      <w:r w:rsidRPr="0032540F">
        <w:rPr>
          <w:rFonts w:ascii="Gotham Book" w:hAnsi="Gotham Book"/>
        </w:rPr>
        <w:t>April 2018.</w:t>
      </w:r>
    </w:p>
  </w:footnote>
  <w:footnote w:id="473">
    <w:p w14:paraId="18FC439F" w14:textId="14FFCF0F" w:rsidR="0042789D" w:rsidRPr="0032540F" w:rsidRDefault="0042789D" w:rsidP="006A1198">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Pr>
          <w:rFonts w:ascii="Gotham Book" w:hAnsi="Gotham Book"/>
        </w:rPr>
        <w:t>Law Enforcement Conduct Commission consultation</w:t>
      </w:r>
      <w:r w:rsidRPr="0032540F">
        <w:rPr>
          <w:rFonts w:ascii="Gotham Book" w:hAnsi="Gotham Book"/>
        </w:rPr>
        <w:t xml:space="preserve"> with NSW</w:t>
      </w:r>
      <w:r>
        <w:rPr>
          <w:rFonts w:ascii="Gotham Book" w:hAnsi="Gotham Book"/>
        </w:rPr>
        <w:t xml:space="preserve"> </w:t>
      </w:r>
      <w:r w:rsidRPr="0032540F">
        <w:rPr>
          <w:rFonts w:ascii="Gotham Book" w:hAnsi="Gotham Book"/>
        </w:rPr>
        <w:t>P</w:t>
      </w:r>
      <w:r>
        <w:rPr>
          <w:rFonts w:ascii="Gotham Book" w:hAnsi="Gotham Book"/>
        </w:rPr>
        <w:t xml:space="preserve">olice </w:t>
      </w:r>
      <w:r w:rsidRPr="0032540F">
        <w:rPr>
          <w:rFonts w:ascii="Gotham Book" w:hAnsi="Gotham Book"/>
        </w:rPr>
        <w:t>F</w:t>
      </w:r>
      <w:r>
        <w:rPr>
          <w:rFonts w:ascii="Gotham Book" w:hAnsi="Gotham Book"/>
        </w:rPr>
        <w:t>orce</w:t>
      </w:r>
      <w:r w:rsidRPr="0032540F">
        <w:rPr>
          <w:rFonts w:ascii="Gotham Book" w:hAnsi="Gotham Book"/>
        </w:rPr>
        <w:t>, Parramatta, 11</w:t>
      </w:r>
      <w:r w:rsidR="00F960B6">
        <w:rPr>
          <w:rFonts w:ascii="Gotham Book" w:hAnsi="Gotham Book"/>
        </w:rPr>
        <w:t> </w:t>
      </w:r>
      <w:r w:rsidRPr="0032540F">
        <w:rPr>
          <w:rFonts w:ascii="Gotham Book" w:hAnsi="Gotham Book"/>
        </w:rPr>
        <w:t>April 2018.</w:t>
      </w:r>
    </w:p>
  </w:footnote>
  <w:footnote w:id="474">
    <w:p w14:paraId="20BAD88C" w14:textId="77777777" w:rsidR="0042789D" w:rsidRPr="0032540F" w:rsidRDefault="0042789D" w:rsidP="006A1198">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sidRPr="0032540F">
        <w:rPr>
          <w:rFonts w:ascii="Gotham Book" w:hAnsi="Gotham Book"/>
          <w:i/>
        </w:rPr>
        <w:t>Child Protection (Offenders Registration) Act 2000</w:t>
      </w:r>
      <w:r w:rsidRPr="0032540F">
        <w:rPr>
          <w:rFonts w:ascii="Gotham Book" w:hAnsi="Gotham Book"/>
        </w:rPr>
        <w:t xml:space="preserve"> (NSW) s 15(1)(a).</w:t>
      </w:r>
    </w:p>
  </w:footnote>
  <w:footnote w:id="475">
    <w:p w14:paraId="3B1225A9" w14:textId="77777777" w:rsidR="0042789D" w:rsidRPr="0032540F" w:rsidRDefault="0042789D" w:rsidP="006A1198">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sidRPr="0032540F">
        <w:rPr>
          <w:rFonts w:ascii="Gotham Book" w:hAnsi="Gotham Book"/>
          <w:i/>
        </w:rPr>
        <w:t>Child Protection (Offenders Registration) Act 2000</w:t>
      </w:r>
      <w:r w:rsidRPr="0032540F">
        <w:rPr>
          <w:rFonts w:ascii="Gotham Book" w:hAnsi="Gotham Book"/>
        </w:rPr>
        <w:t xml:space="preserve"> (NSW) s 3 (definition of ‘government custody’ and ‘strict government custody’).</w:t>
      </w:r>
    </w:p>
  </w:footnote>
  <w:footnote w:id="476">
    <w:p w14:paraId="423BA414" w14:textId="3B3686EC" w:rsidR="0042789D" w:rsidRPr="0032540F" w:rsidRDefault="0042789D" w:rsidP="006A1198">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Ministry for</w:t>
      </w:r>
      <w:r>
        <w:rPr>
          <w:rFonts w:ascii="Gotham Book" w:hAnsi="Gotham Book"/>
        </w:rPr>
        <w:t xml:space="preserve"> Police and Emergency Services (NSW), </w:t>
      </w:r>
      <w:r w:rsidRPr="00047E9A">
        <w:rPr>
          <w:rFonts w:ascii="Gotham Book" w:hAnsi="Gotham Book"/>
          <w:i/>
        </w:rPr>
        <w:t>Report:</w:t>
      </w:r>
      <w:r>
        <w:rPr>
          <w:rFonts w:ascii="Gotham Book" w:hAnsi="Gotham Book"/>
        </w:rPr>
        <w:t xml:space="preserve"> </w:t>
      </w:r>
      <w:r w:rsidRPr="0032540F">
        <w:rPr>
          <w:rFonts w:ascii="Gotham Book" w:hAnsi="Gotham Book"/>
          <w:i/>
        </w:rPr>
        <w:t>Statutory review of the</w:t>
      </w:r>
      <w:r w:rsidRPr="0032540F">
        <w:rPr>
          <w:rFonts w:ascii="Gotham Book" w:hAnsi="Gotham Book"/>
        </w:rPr>
        <w:t xml:space="preserve"> </w:t>
      </w:r>
      <w:r w:rsidRPr="0032540F">
        <w:rPr>
          <w:rFonts w:ascii="Gotham Book" w:hAnsi="Gotham Book"/>
          <w:i/>
        </w:rPr>
        <w:t xml:space="preserve">Child Protection (Offenders Registration) Act 2000 </w:t>
      </w:r>
      <w:r w:rsidRPr="0032540F">
        <w:rPr>
          <w:rFonts w:ascii="Gotham Book" w:hAnsi="Gotham Book"/>
        </w:rPr>
        <w:t>(2013), p 43.</w:t>
      </w:r>
    </w:p>
  </w:footnote>
  <w:footnote w:id="477">
    <w:p w14:paraId="5E862BAC" w14:textId="77777777" w:rsidR="0042789D" w:rsidRPr="0032540F" w:rsidRDefault="0042789D" w:rsidP="00015D92">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sidRPr="0032540F">
        <w:rPr>
          <w:rFonts w:ascii="Gotham Book" w:hAnsi="Gotham Book"/>
          <w:i/>
        </w:rPr>
        <w:t>Child Protection (Offenders Registration) Act 2000</w:t>
      </w:r>
      <w:r w:rsidRPr="0032540F">
        <w:rPr>
          <w:rFonts w:ascii="Gotham Book" w:hAnsi="Gotham Book"/>
        </w:rPr>
        <w:t xml:space="preserve"> (NSW) s 4(1).</w:t>
      </w:r>
    </w:p>
  </w:footnote>
  <w:footnote w:id="478">
    <w:p w14:paraId="5C463B47" w14:textId="038CAB0B" w:rsidR="0042789D" w:rsidRPr="0032540F" w:rsidRDefault="0042789D" w:rsidP="00015D92">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sidRPr="00B96090">
        <w:rPr>
          <w:rFonts w:ascii="Gotham Book" w:hAnsi="Gotham Book"/>
          <w:i/>
        </w:rPr>
        <w:t>Form 3: Child Protection (O</w:t>
      </w:r>
      <w:r>
        <w:rPr>
          <w:rFonts w:ascii="Gotham Book" w:hAnsi="Gotham Book"/>
          <w:i/>
        </w:rPr>
        <w:t>ffenders Registration) Act 2000 Notice</w:t>
      </w:r>
      <w:r w:rsidRPr="00B96090">
        <w:rPr>
          <w:rFonts w:ascii="Gotham Book" w:hAnsi="Gotham Book"/>
          <w:i/>
        </w:rPr>
        <w:t xml:space="preserve"> Issued to Registrable Person</w:t>
      </w:r>
      <w:r>
        <w:rPr>
          <w:rFonts w:ascii="Gotham Book" w:hAnsi="Gotham Book"/>
        </w:rPr>
        <w:t>, NSW Police Force response to item 22 of Law Enforcement Conduct Commission Notice 929 of 2017.</w:t>
      </w:r>
    </w:p>
  </w:footnote>
  <w:footnote w:id="479">
    <w:p w14:paraId="0D5CEBD0" w14:textId="004044A3" w:rsidR="0042789D" w:rsidRPr="0032540F" w:rsidRDefault="0042789D" w:rsidP="00015D92">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It is a defence to an offence under s 17 if the registrable person establishes that they did not receive notice of (or were otherwise unaware of) their reporting obligations: </w:t>
      </w:r>
      <w:r w:rsidRPr="0032540F">
        <w:rPr>
          <w:rFonts w:ascii="Gotham Book" w:hAnsi="Gotham Book"/>
          <w:i/>
        </w:rPr>
        <w:t>Child Protection (Offenders Registration) Act 2000</w:t>
      </w:r>
      <w:r w:rsidRPr="0032540F">
        <w:rPr>
          <w:rFonts w:ascii="Gotham Book" w:hAnsi="Gotham Book"/>
        </w:rPr>
        <w:t xml:space="preserve"> (NSW) s 17(3).</w:t>
      </w:r>
    </w:p>
  </w:footnote>
  <w:footnote w:id="480">
    <w:p w14:paraId="40CF35F2" w14:textId="7EDCF36D" w:rsidR="0042789D" w:rsidRPr="0032540F" w:rsidRDefault="0042789D" w:rsidP="00015D92">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sidRPr="0032540F">
        <w:rPr>
          <w:rFonts w:ascii="Gotham Book" w:hAnsi="Gotham Book"/>
          <w:i/>
        </w:rPr>
        <w:t>Child Protection (Offenders Registration) Act 2000</w:t>
      </w:r>
      <w:r w:rsidRPr="0032540F">
        <w:rPr>
          <w:rFonts w:ascii="Gotham Book" w:hAnsi="Gotham Book"/>
        </w:rPr>
        <w:t xml:space="preserve"> (NSW) s 4(1), </w:t>
      </w:r>
      <w:r>
        <w:rPr>
          <w:rFonts w:ascii="Gotham Book" w:hAnsi="Gotham Book"/>
        </w:rPr>
        <w:t xml:space="preserve">s 6(2) and </w:t>
      </w:r>
      <w:r w:rsidRPr="0032540F">
        <w:rPr>
          <w:rFonts w:ascii="Gotham Book" w:hAnsi="Gotham Book"/>
        </w:rPr>
        <w:t>s 22(3);</w:t>
      </w:r>
      <w:r w:rsidRPr="0032540F">
        <w:rPr>
          <w:rFonts w:ascii="Gotham Book" w:hAnsi="Gotham Book"/>
          <w:i/>
        </w:rPr>
        <w:t xml:space="preserve"> Child Protection (Offenders Registration) Regulation 2015 </w:t>
      </w:r>
      <w:r>
        <w:rPr>
          <w:rFonts w:ascii="Gotham Book" w:hAnsi="Gotham Book"/>
        </w:rPr>
        <w:t>(NSW) reg 8(c).</w:t>
      </w:r>
    </w:p>
  </w:footnote>
  <w:footnote w:id="481">
    <w:p w14:paraId="68556545" w14:textId="4AFCF774" w:rsidR="0042789D" w:rsidRPr="0032540F" w:rsidRDefault="0042789D" w:rsidP="00015D92">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t>Workforce Intelligence</w:t>
      </w:r>
      <w:r w:rsidRPr="00802C2E">
        <w:t xml:space="preserve"> Unit, </w:t>
      </w:r>
      <w:r>
        <w:t>Human Resources Command, NSW Police Force,</w:t>
      </w:r>
      <w:r w:rsidRPr="00802C2E">
        <w:t xml:space="preserve"> </w:t>
      </w:r>
      <w:r w:rsidRPr="00802C2E">
        <w:rPr>
          <w:i/>
        </w:rPr>
        <w:t>HR Analysis: Child Protection Register Staffing Review</w:t>
      </w:r>
      <w:r w:rsidRPr="00802C2E">
        <w:t xml:space="preserve">, 20 July 2017, D/2017/630614, </w:t>
      </w:r>
      <w:r>
        <w:t>NSW Police Force response</w:t>
      </w:r>
      <w:r w:rsidRPr="00802C2E">
        <w:t xml:space="preserve"> to item 1 of </w:t>
      </w:r>
      <w:r>
        <w:t>Law Enforcement Conduct Commission Notice</w:t>
      </w:r>
      <w:r w:rsidRPr="00802C2E">
        <w:t xml:space="preserve"> 929 of 2017</w:t>
      </w:r>
      <w:r w:rsidRPr="0032540F">
        <w:rPr>
          <w:rFonts w:ascii="Gotham Book" w:hAnsi="Gotham Book"/>
        </w:rPr>
        <w:t>, p 61.</w:t>
      </w:r>
    </w:p>
  </w:footnote>
  <w:footnote w:id="482">
    <w:p w14:paraId="2A79BB21" w14:textId="5F3BFD98" w:rsidR="0042789D" w:rsidRPr="00D175D8" w:rsidRDefault="0042789D">
      <w:pPr>
        <w:pStyle w:val="FootnoteText"/>
      </w:pPr>
      <w:r w:rsidRPr="00D175D8">
        <w:rPr>
          <w:rStyle w:val="FootnoteReference"/>
        </w:rPr>
        <w:footnoteRef/>
      </w:r>
      <w:r w:rsidRPr="00D175D8">
        <w:t xml:space="preserve"> Letter from Commissioner of Police, </w:t>
      </w:r>
      <w:r>
        <w:t>NSW Police Force</w:t>
      </w:r>
      <w:r w:rsidRPr="00D175D8">
        <w:t>, to Chief Commis</w:t>
      </w:r>
      <w:r>
        <w:t>sioner, Law Enforcement Conduct Commission, 30 September 2019</w:t>
      </w:r>
      <w:r w:rsidRPr="00D175D8">
        <w:t xml:space="preserve"> </w:t>
      </w:r>
      <w:r>
        <w:t>(</w:t>
      </w:r>
      <w:r w:rsidRPr="00D175D8">
        <w:t>Annexure C – Requests for Corrections to the Final Draft Report</w:t>
      </w:r>
      <w:r>
        <w:t>)</w:t>
      </w:r>
      <w:r w:rsidRPr="00D175D8">
        <w:t>.</w:t>
      </w:r>
    </w:p>
  </w:footnote>
  <w:footnote w:id="483">
    <w:p w14:paraId="2F1AF889" w14:textId="0932A1A3" w:rsidR="0042789D" w:rsidRPr="0032540F" w:rsidRDefault="0042789D" w:rsidP="00015D92">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sidRPr="0032540F">
        <w:rPr>
          <w:rFonts w:ascii="Gotham Book" w:hAnsi="Gotham Book"/>
          <w:i/>
        </w:rPr>
        <w:t>Child Protection (Offenders Registration) Act 2000</w:t>
      </w:r>
      <w:r w:rsidRPr="0032540F">
        <w:rPr>
          <w:rFonts w:ascii="Gotham Book" w:hAnsi="Gotham Book"/>
        </w:rPr>
        <w:t xml:space="preserve"> (NSW) s 4(1) and </w:t>
      </w:r>
      <w:r>
        <w:rPr>
          <w:rFonts w:ascii="Gotham Book" w:hAnsi="Gotham Book"/>
        </w:rPr>
        <w:t xml:space="preserve">s </w:t>
      </w:r>
      <w:r w:rsidRPr="0032540F">
        <w:rPr>
          <w:rFonts w:ascii="Gotham Book" w:hAnsi="Gotham Book"/>
        </w:rPr>
        <w:t xml:space="preserve">22(3) and </w:t>
      </w:r>
      <w:r w:rsidRPr="0032540F">
        <w:rPr>
          <w:rFonts w:ascii="Gotham Book" w:hAnsi="Gotham Book"/>
          <w:i/>
        </w:rPr>
        <w:t>Child Protection (Offenders Registration) Regulation 2015</w:t>
      </w:r>
      <w:r w:rsidRPr="0032540F">
        <w:rPr>
          <w:rFonts w:ascii="Gotham Book" w:hAnsi="Gotham Book"/>
        </w:rPr>
        <w:t xml:space="preserve"> (NSW) reg 8(b).</w:t>
      </w:r>
    </w:p>
  </w:footnote>
  <w:footnote w:id="484">
    <w:p w14:paraId="38BD6BE6" w14:textId="77777777" w:rsidR="0042789D" w:rsidRPr="0032540F" w:rsidRDefault="0042789D" w:rsidP="00015D92">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sidRPr="0032540F">
        <w:rPr>
          <w:rFonts w:ascii="Gotham Book" w:hAnsi="Gotham Book"/>
          <w:i/>
        </w:rPr>
        <w:t>Child Protection (Offenders Registration) Act 2000</w:t>
      </w:r>
      <w:r w:rsidRPr="0032540F">
        <w:rPr>
          <w:rFonts w:ascii="Gotham Book" w:hAnsi="Gotham Book"/>
        </w:rPr>
        <w:t xml:space="preserve"> (NSW) s 4(1) and s 22(3) and </w:t>
      </w:r>
      <w:r w:rsidRPr="0032540F">
        <w:rPr>
          <w:rFonts w:ascii="Gotham Book" w:hAnsi="Gotham Book"/>
          <w:i/>
        </w:rPr>
        <w:t>Child Protection (Offenders Registration) Regulation 2015</w:t>
      </w:r>
      <w:r w:rsidRPr="0032540F">
        <w:rPr>
          <w:rFonts w:ascii="Gotham Book" w:hAnsi="Gotham Book"/>
        </w:rPr>
        <w:t xml:space="preserve"> (NSW) reg 8(b).</w:t>
      </w:r>
    </w:p>
  </w:footnote>
  <w:footnote w:id="485">
    <w:p w14:paraId="55E11F02" w14:textId="77777777" w:rsidR="0042789D" w:rsidRPr="0032540F" w:rsidRDefault="0042789D" w:rsidP="00015D92">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sidRPr="0032540F">
        <w:rPr>
          <w:rFonts w:ascii="Gotham Book" w:hAnsi="Gotham Book"/>
          <w:i/>
        </w:rPr>
        <w:t>Child Protection (Offenders Registration) Act 2000</w:t>
      </w:r>
      <w:r w:rsidRPr="0032540F">
        <w:rPr>
          <w:rFonts w:ascii="Gotham Book" w:hAnsi="Gotham Book"/>
        </w:rPr>
        <w:t xml:space="preserve"> (NSW) s 7(1).</w:t>
      </w:r>
    </w:p>
  </w:footnote>
  <w:footnote w:id="486">
    <w:p w14:paraId="386F825E" w14:textId="0D31A349" w:rsidR="0042789D" w:rsidRPr="0032540F" w:rsidRDefault="0042789D" w:rsidP="00E9134E">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New South Wales Ombudsman, </w:t>
      </w:r>
      <w:r w:rsidRPr="0032540F">
        <w:rPr>
          <w:rFonts w:ascii="Gotham Book" w:hAnsi="Gotham Book"/>
          <w:i/>
        </w:rPr>
        <w:t>Review of the Child Protection Register: Report un</w:t>
      </w:r>
      <w:r>
        <w:rPr>
          <w:rFonts w:ascii="Gotham Book" w:hAnsi="Gotham Book"/>
          <w:i/>
        </w:rPr>
        <w:t>der s </w:t>
      </w:r>
      <w:r w:rsidRPr="0032540F">
        <w:rPr>
          <w:rFonts w:ascii="Gotham Book" w:hAnsi="Gotham Book"/>
          <w:i/>
        </w:rPr>
        <w:t>25(1) of the Child Protection (Offenders Registration) Act 2000</w:t>
      </w:r>
      <w:r w:rsidRPr="0032540F">
        <w:rPr>
          <w:rFonts w:ascii="Gotham Book" w:hAnsi="Gotham Book"/>
        </w:rPr>
        <w:t xml:space="preserve"> (2005) p 54.</w:t>
      </w:r>
    </w:p>
  </w:footnote>
  <w:footnote w:id="487">
    <w:p w14:paraId="28E9268B" w14:textId="53747DAD" w:rsidR="0042789D" w:rsidRPr="0032540F" w:rsidRDefault="0042789D" w:rsidP="00E9134E">
      <w:pPr>
        <w:pStyle w:val="FootnoteText"/>
        <w:spacing w:before="60" w:after="60"/>
        <w:rPr>
          <w:rFonts w:ascii="Gotham Book" w:hAnsi="Gotham Book"/>
        </w:rPr>
      </w:pPr>
      <w:r w:rsidRPr="0032540F">
        <w:rPr>
          <w:rStyle w:val="FootnoteReference"/>
          <w:rFonts w:ascii="Gotham Book" w:hAnsi="Gotham Book"/>
        </w:rPr>
        <w:footnoteRef/>
      </w:r>
      <w:r>
        <w:rPr>
          <w:rFonts w:ascii="Gotham Book" w:hAnsi="Gotham Book"/>
        </w:rPr>
        <w:t xml:space="preserve"> Ibid </w:t>
      </w:r>
      <w:r w:rsidRPr="0032540F">
        <w:rPr>
          <w:rFonts w:ascii="Gotham Book" w:hAnsi="Gotham Book"/>
        </w:rPr>
        <w:t>p 55.</w:t>
      </w:r>
    </w:p>
  </w:footnote>
  <w:footnote w:id="488">
    <w:p w14:paraId="13786689" w14:textId="7B015EC8" w:rsidR="0042789D" w:rsidRPr="0032540F" w:rsidRDefault="0042789D" w:rsidP="00E9134E">
      <w:pPr>
        <w:pStyle w:val="FootnoteText"/>
        <w:spacing w:before="60" w:after="60"/>
        <w:rPr>
          <w:rFonts w:ascii="Gotham Book" w:hAnsi="Gotham Book"/>
        </w:rPr>
      </w:pPr>
      <w:r w:rsidRPr="0032540F">
        <w:rPr>
          <w:rStyle w:val="FootnoteReference"/>
          <w:rFonts w:ascii="Gotham Book" w:hAnsi="Gotham Book"/>
        </w:rPr>
        <w:footnoteRef/>
      </w:r>
      <w:r>
        <w:rPr>
          <w:rFonts w:ascii="Gotham Book" w:hAnsi="Gotham Book"/>
        </w:rPr>
        <w:t xml:space="preserve"> </w:t>
      </w:r>
      <w:r w:rsidRPr="0032540F">
        <w:rPr>
          <w:rFonts w:ascii="Gotham Book" w:hAnsi="Gotham Book"/>
        </w:rPr>
        <w:t>Ministry for</w:t>
      </w:r>
      <w:r>
        <w:rPr>
          <w:rFonts w:ascii="Gotham Book" w:hAnsi="Gotham Book"/>
        </w:rPr>
        <w:t xml:space="preserve"> Police and Emergency Services (NSW), </w:t>
      </w:r>
      <w:r w:rsidRPr="001008EB">
        <w:rPr>
          <w:rFonts w:ascii="Gotham Book" w:hAnsi="Gotham Book"/>
          <w:i/>
        </w:rPr>
        <w:t>Report:</w:t>
      </w:r>
      <w:r>
        <w:rPr>
          <w:rFonts w:ascii="Gotham Book" w:hAnsi="Gotham Book"/>
        </w:rPr>
        <w:t xml:space="preserve"> </w:t>
      </w:r>
      <w:r w:rsidRPr="0032540F">
        <w:rPr>
          <w:rFonts w:ascii="Gotham Book" w:hAnsi="Gotham Book"/>
          <w:i/>
        </w:rPr>
        <w:t>Statutory review of the</w:t>
      </w:r>
      <w:r w:rsidRPr="0032540F">
        <w:rPr>
          <w:rFonts w:ascii="Gotham Book" w:hAnsi="Gotham Book"/>
        </w:rPr>
        <w:t xml:space="preserve"> </w:t>
      </w:r>
      <w:r w:rsidRPr="0032540F">
        <w:rPr>
          <w:rFonts w:ascii="Gotham Book" w:hAnsi="Gotham Book"/>
          <w:i/>
        </w:rPr>
        <w:t xml:space="preserve">Child Protection (Offenders Registration) Act 2000 </w:t>
      </w:r>
      <w:r w:rsidRPr="0032540F">
        <w:rPr>
          <w:rFonts w:ascii="Gotham Book" w:hAnsi="Gotham Book"/>
        </w:rPr>
        <w:t>(2013) p 34.</w:t>
      </w:r>
    </w:p>
  </w:footnote>
  <w:footnote w:id="489">
    <w:p w14:paraId="0D02468D" w14:textId="23B8D69D" w:rsidR="0042789D" w:rsidRPr="0032540F" w:rsidRDefault="0042789D" w:rsidP="00E9134E">
      <w:pPr>
        <w:pStyle w:val="FootnoteText"/>
        <w:spacing w:before="60" w:after="60"/>
        <w:rPr>
          <w:rFonts w:ascii="Gotham Book" w:hAnsi="Gotham Book"/>
        </w:rPr>
      </w:pPr>
      <w:r w:rsidRPr="0032540F">
        <w:rPr>
          <w:rStyle w:val="FootnoteReference"/>
          <w:rFonts w:ascii="Gotham Book" w:hAnsi="Gotham Book"/>
        </w:rPr>
        <w:footnoteRef/>
      </w:r>
      <w:r>
        <w:rPr>
          <w:rFonts w:ascii="Gotham Book" w:hAnsi="Gotham Book"/>
        </w:rPr>
        <w:t xml:space="preserve"> Ibid </w:t>
      </w:r>
      <w:r w:rsidRPr="0032540F">
        <w:rPr>
          <w:rFonts w:ascii="Gotham Book" w:hAnsi="Gotham Book"/>
        </w:rPr>
        <w:t>p 35.</w:t>
      </w:r>
    </w:p>
  </w:footnote>
  <w:footnote w:id="490">
    <w:p w14:paraId="2B594C37" w14:textId="496E753F" w:rsidR="0042789D" w:rsidRPr="0032540F" w:rsidRDefault="0042789D" w:rsidP="00E9134E">
      <w:pPr>
        <w:pStyle w:val="FootnoteText"/>
        <w:spacing w:before="60" w:after="60"/>
        <w:rPr>
          <w:rFonts w:ascii="Gotham Book" w:hAnsi="Gotham Book"/>
        </w:rPr>
      </w:pPr>
      <w:r w:rsidRPr="0032540F">
        <w:rPr>
          <w:rStyle w:val="FootnoteReference"/>
          <w:rFonts w:ascii="Gotham Book" w:hAnsi="Gotham Book"/>
        </w:rPr>
        <w:footnoteRef/>
      </w:r>
      <w:r>
        <w:rPr>
          <w:rFonts w:ascii="Gotham Book" w:hAnsi="Gotham Book"/>
        </w:rPr>
        <w:t xml:space="preserve"> Ibid</w:t>
      </w:r>
      <w:r w:rsidRPr="0032540F">
        <w:rPr>
          <w:rFonts w:ascii="Gotham Book" w:hAnsi="Gotham Book"/>
        </w:rPr>
        <w:t>.</w:t>
      </w:r>
    </w:p>
  </w:footnote>
  <w:footnote w:id="491">
    <w:p w14:paraId="1BCDAE47" w14:textId="45C3D96F" w:rsidR="0042789D" w:rsidRPr="0032540F" w:rsidRDefault="0042789D" w:rsidP="00E9134E">
      <w:pPr>
        <w:pStyle w:val="FootnoteText"/>
        <w:spacing w:before="60" w:after="60"/>
        <w:rPr>
          <w:rFonts w:ascii="Gotham Book" w:hAnsi="Gotham Book"/>
        </w:rPr>
      </w:pPr>
      <w:r w:rsidRPr="0032540F">
        <w:rPr>
          <w:rStyle w:val="FootnoteReference"/>
          <w:rFonts w:ascii="Gotham Book" w:hAnsi="Gotham Book"/>
        </w:rPr>
        <w:footnoteRef/>
      </w:r>
      <w:r>
        <w:rPr>
          <w:rFonts w:ascii="Gotham Book" w:hAnsi="Gotham Book"/>
        </w:rPr>
        <w:t xml:space="preserve"> Ibid </w:t>
      </w:r>
      <w:r w:rsidRPr="0032540F">
        <w:rPr>
          <w:rFonts w:ascii="Gotham Book" w:hAnsi="Gotham Book"/>
        </w:rPr>
        <w:t>p 36.</w:t>
      </w:r>
    </w:p>
  </w:footnote>
  <w:footnote w:id="492">
    <w:p w14:paraId="3CA39A88" w14:textId="6B400D8E" w:rsidR="0042789D" w:rsidRPr="0032540F" w:rsidRDefault="0042789D" w:rsidP="00E9134E">
      <w:pPr>
        <w:pStyle w:val="FootnoteText"/>
        <w:spacing w:before="60" w:after="60"/>
        <w:rPr>
          <w:rFonts w:ascii="Gotham Book" w:hAnsi="Gotham Book"/>
        </w:rPr>
      </w:pPr>
      <w:r w:rsidRPr="0032540F">
        <w:rPr>
          <w:rStyle w:val="FootnoteReference"/>
          <w:rFonts w:ascii="Gotham Book" w:hAnsi="Gotham Book"/>
        </w:rPr>
        <w:footnoteRef/>
      </w:r>
      <w:r>
        <w:rPr>
          <w:rFonts w:ascii="Gotham Book" w:hAnsi="Gotham Book"/>
        </w:rPr>
        <w:t xml:space="preserve"> Ibid</w:t>
      </w:r>
      <w:r w:rsidRPr="0032540F">
        <w:rPr>
          <w:rFonts w:ascii="Gotham Book" w:hAnsi="Gotham Book"/>
        </w:rPr>
        <w:t>.</w:t>
      </w:r>
    </w:p>
  </w:footnote>
  <w:footnote w:id="493">
    <w:p w14:paraId="6B6C2AD8" w14:textId="15951E6F" w:rsidR="0042789D" w:rsidRPr="0032540F" w:rsidRDefault="0042789D" w:rsidP="00FF402A">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t>Workforce Intelligence</w:t>
      </w:r>
      <w:r w:rsidRPr="00802C2E">
        <w:t xml:space="preserve"> Unit, </w:t>
      </w:r>
      <w:r>
        <w:t>Human Resources Command, NSW Police Force,</w:t>
      </w:r>
      <w:r w:rsidRPr="00802C2E">
        <w:t xml:space="preserve"> </w:t>
      </w:r>
      <w:r w:rsidRPr="00802C2E">
        <w:rPr>
          <w:i/>
        </w:rPr>
        <w:t>HR Analysis: Child Protection Register Staffing Review</w:t>
      </w:r>
      <w:r w:rsidRPr="00802C2E">
        <w:t xml:space="preserve">, 20 July 2017, D/2017/630614, </w:t>
      </w:r>
      <w:r>
        <w:t>NSW Police Force response</w:t>
      </w:r>
      <w:r w:rsidRPr="00802C2E">
        <w:t xml:space="preserve"> to item 1 of </w:t>
      </w:r>
      <w:r>
        <w:t>Law Enforcement Conduct Commission Notice</w:t>
      </w:r>
      <w:r w:rsidRPr="00802C2E">
        <w:t xml:space="preserve"> 929 of 2017</w:t>
      </w:r>
      <w:r w:rsidRPr="0032540F">
        <w:rPr>
          <w:rFonts w:ascii="Gotham Book" w:hAnsi="Gotham Book"/>
        </w:rPr>
        <w:t>, p 61.</w:t>
      </w:r>
    </w:p>
  </w:footnote>
  <w:footnote w:id="494">
    <w:p w14:paraId="2FB49FB3" w14:textId="3C4A43C8" w:rsidR="0042789D" w:rsidRPr="0032540F" w:rsidRDefault="0042789D" w:rsidP="00FF402A">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t>Ibid</w:t>
      </w:r>
      <w:r w:rsidRPr="0032540F">
        <w:rPr>
          <w:rFonts w:ascii="Gotham Book" w:hAnsi="Gotham Book"/>
        </w:rPr>
        <w:t>.</w:t>
      </w:r>
    </w:p>
  </w:footnote>
  <w:footnote w:id="495">
    <w:p w14:paraId="3F5F59FD" w14:textId="3986C656" w:rsidR="0042789D" w:rsidRPr="0032540F" w:rsidRDefault="0042789D" w:rsidP="00FF402A">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sidRPr="00B73EB8">
        <w:t>Governance, Risk &amp; Compliance,</w:t>
      </w:r>
      <w:r>
        <w:t xml:space="preserve"> NSW Police Force,</w:t>
      </w:r>
      <w:r w:rsidRPr="00B73EB8">
        <w:t xml:space="preserve"> </w:t>
      </w:r>
      <w:r w:rsidRPr="00291EC4">
        <w:rPr>
          <w:i/>
        </w:rPr>
        <w:t>Child Protection Register – Governance and Accountability Arrangements for the NSW Police Force</w:t>
      </w:r>
      <w:r w:rsidRPr="00B73EB8">
        <w:t xml:space="preserve">, 12 December 2018, D/2018/1013232, </w:t>
      </w:r>
      <w:r>
        <w:t>NSW Police Force response to Law Enforcement Conduct Commission Notice 978 of 2018</w:t>
      </w:r>
      <w:r w:rsidRPr="0032540F">
        <w:rPr>
          <w:rFonts w:ascii="Gotham Book" w:hAnsi="Gotham Book"/>
        </w:rPr>
        <w:t>, p 8.</w:t>
      </w:r>
    </w:p>
  </w:footnote>
  <w:footnote w:id="496">
    <w:p w14:paraId="480C0F15" w14:textId="2A2699EC" w:rsidR="0042789D" w:rsidRPr="0032540F" w:rsidRDefault="0042789D" w:rsidP="00FF402A">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t>Manager</w:t>
      </w:r>
      <w:r w:rsidRPr="00F2681C">
        <w:t>,</w:t>
      </w:r>
      <w:r>
        <w:t xml:space="preserve"> Child Protection Registry, NSW Police Force,</w:t>
      </w:r>
      <w:r w:rsidRPr="00F2681C">
        <w:t xml:space="preserve"> </w:t>
      </w:r>
      <w:r w:rsidRPr="00F2681C">
        <w:rPr>
          <w:i/>
        </w:rPr>
        <w:t>Management of the Child Protection Register in New South Wales: Michael O’Brien Scholarship 2017</w:t>
      </w:r>
      <w:r w:rsidRPr="00F2681C">
        <w:t xml:space="preserve"> (2018)</w:t>
      </w:r>
      <w:r>
        <w:t>, NSW Police Force response to item 1 of Law Enforcement Conduct Commission Notice 929 of 2018</w:t>
      </w:r>
      <w:r w:rsidRPr="0032540F">
        <w:rPr>
          <w:rFonts w:ascii="Gotham Book" w:hAnsi="Gotham Book"/>
        </w:rPr>
        <w:t>, p 96.</w:t>
      </w:r>
    </w:p>
  </w:footnote>
  <w:footnote w:id="497">
    <w:p w14:paraId="4D2E6797" w14:textId="77777777" w:rsidR="0042789D" w:rsidRPr="0032540F" w:rsidRDefault="0042789D" w:rsidP="00FF402A">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sidRPr="0032540F">
        <w:rPr>
          <w:rFonts w:ascii="Gotham Book" w:hAnsi="Gotham Book"/>
          <w:i/>
        </w:rPr>
        <w:t>Child Protection (Offenders Registration) Act 2000</w:t>
      </w:r>
      <w:r w:rsidRPr="0032540F">
        <w:rPr>
          <w:rFonts w:ascii="Gotham Book" w:hAnsi="Gotham Book"/>
        </w:rPr>
        <w:t xml:space="preserve"> (NSW) s 15(1)(a).</w:t>
      </w:r>
    </w:p>
  </w:footnote>
  <w:footnote w:id="498">
    <w:p w14:paraId="0848E925" w14:textId="77777777" w:rsidR="0042789D" w:rsidRPr="0032540F" w:rsidRDefault="0042789D" w:rsidP="00FF402A">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sidRPr="0032540F">
        <w:rPr>
          <w:rFonts w:ascii="Gotham Book" w:hAnsi="Gotham Book"/>
          <w:i/>
        </w:rPr>
        <w:t>Child Protection (Offenders Registration) Act 2000</w:t>
      </w:r>
      <w:r w:rsidRPr="0032540F">
        <w:rPr>
          <w:rFonts w:ascii="Gotham Book" w:hAnsi="Gotham Book"/>
        </w:rPr>
        <w:t xml:space="preserve"> (NSW) s 15(2).</w:t>
      </w:r>
    </w:p>
  </w:footnote>
  <w:footnote w:id="499">
    <w:p w14:paraId="7024E962" w14:textId="620E4C56" w:rsidR="0042789D" w:rsidRPr="00906F99" w:rsidRDefault="0042789D" w:rsidP="00906F99">
      <w:pPr>
        <w:pStyle w:val="FootnoteText"/>
        <w:spacing w:before="60" w:after="60"/>
        <w:rPr>
          <w:rFonts w:ascii="Gotham Book" w:hAnsi="Gotham Book"/>
        </w:rPr>
      </w:pPr>
      <w:r w:rsidRPr="00906F99">
        <w:rPr>
          <w:rStyle w:val="FootnoteReference"/>
          <w:rFonts w:ascii="Gotham Book" w:hAnsi="Gotham Book"/>
        </w:rPr>
        <w:footnoteRef/>
      </w:r>
      <w:r w:rsidRPr="00906F99">
        <w:rPr>
          <w:rFonts w:ascii="Gotham Book" w:hAnsi="Gotham Book"/>
        </w:rPr>
        <w:t xml:space="preserve"> </w:t>
      </w:r>
      <w:r>
        <w:rPr>
          <w:rFonts w:ascii="Gotham Book" w:hAnsi="Gotham Book"/>
        </w:rPr>
        <w:t>C</w:t>
      </w:r>
      <w:r w:rsidRPr="00906F99">
        <w:rPr>
          <w:rFonts w:ascii="Gotham Book" w:hAnsi="Gotham Book"/>
        </w:rPr>
        <w:t>omments on Child Protection Register,</w:t>
      </w:r>
      <w:r>
        <w:rPr>
          <w:rFonts w:ascii="Gotham Book" w:hAnsi="Gotham Book"/>
        </w:rPr>
        <w:t xml:space="preserve"> NSW Police Force,</w:t>
      </w:r>
      <w:r w:rsidRPr="00906F99">
        <w:rPr>
          <w:rFonts w:ascii="Gotham Book" w:hAnsi="Gotham Book"/>
        </w:rPr>
        <w:t xml:space="preserve"> </w:t>
      </w:r>
      <w:r w:rsidRPr="00906F99">
        <w:rPr>
          <w:rFonts w:ascii="Gotham Book" w:hAnsi="Gotham Book"/>
          <w:i/>
        </w:rPr>
        <w:t>Serious concerns raised regarding the Child Protection Register (CPR) reporting period timeframes and lack of review of matters prior to case finalisation</w:t>
      </w:r>
      <w:r w:rsidRPr="00906F99">
        <w:rPr>
          <w:rFonts w:ascii="Gotham Book" w:hAnsi="Gotham Book"/>
        </w:rPr>
        <w:t xml:space="preserve">, 26 May 2016, D/2016/277899, </w:t>
      </w:r>
      <w:r>
        <w:rPr>
          <w:rFonts w:ascii="Gotham Book" w:hAnsi="Gotham Book"/>
        </w:rPr>
        <w:t>NSW Police Force response</w:t>
      </w:r>
      <w:r w:rsidRPr="00906F99">
        <w:rPr>
          <w:rFonts w:ascii="Gotham Book" w:hAnsi="Gotham Book"/>
        </w:rPr>
        <w:t xml:space="preserve"> to </w:t>
      </w:r>
      <w:r>
        <w:rPr>
          <w:rFonts w:ascii="Gotham Book" w:hAnsi="Gotham Book"/>
        </w:rPr>
        <w:t>item 7 of Law Enforcement Conduct Commission Notice</w:t>
      </w:r>
      <w:r w:rsidRPr="00906F99">
        <w:rPr>
          <w:rFonts w:ascii="Gotham Book" w:hAnsi="Gotham Book"/>
        </w:rPr>
        <w:t xml:space="preserve"> 914 of 2017, p 9.</w:t>
      </w:r>
    </w:p>
  </w:footnote>
  <w:footnote w:id="500">
    <w:p w14:paraId="531A569A" w14:textId="352E88D7" w:rsidR="0042789D" w:rsidRPr="00906F99" w:rsidRDefault="0042789D" w:rsidP="00906F99">
      <w:pPr>
        <w:pStyle w:val="FootnoteText"/>
        <w:spacing w:before="60" w:after="60"/>
        <w:rPr>
          <w:rFonts w:ascii="Gotham Book" w:hAnsi="Gotham Book"/>
        </w:rPr>
      </w:pPr>
      <w:r w:rsidRPr="00906F99">
        <w:rPr>
          <w:rStyle w:val="FootnoteReference"/>
          <w:rFonts w:ascii="Gotham Book" w:hAnsi="Gotham Book"/>
        </w:rPr>
        <w:footnoteRef/>
      </w:r>
      <w:r w:rsidRPr="00906F99">
        <w:rPr>
          <w:rFonts w:ascii="Gotham Book" w:hAnsi="Gotham Book"/>
        </w:rPr>
        <w:t xml:space="preserve"> </w:t>
      </w:r>
      <w:r w:rsidRPr="00906F99">
        <w:rPr>
          <w:rFonts w:ascii="Gotham Book" w:hAnsi="Gotham Book"/>
          <w:i/>
        </w:rPr>
        <w:t>Child Protection (Offenders Registration) Act 2000</w:t>
      </w:r>
      <w:r w:rsidRPr="00906F99">
        <w:rPr>
          <w:rFonts w:ascii="Gotham Book" w:hAnsi="Gotham Book"/>
        </w:rPr>
        <w:t xml:space="preserve"> (NSW) s 3 (definition of ‘government custody’</w:t>
      </w:r>
      <w:r>
        <w:rPr>
          <w:rFonts w:ascii="Gotham Book" w:hAnsi="Gotham Book"/>
        </w:rPr>
        <w:t xml:space="preserve"> para (a)</w:t>
      </w:r>
      <w:r w:rsidRPr="00906F99">
        <w:rPr>
          <w:rFonts w:ascii="Gotham Book" w:hAnsi="Gotham Book"/>
        </w:rPr>
        <w:t xml:space="preserve">, and definition of ‘strict government custody’) and s 6(1). </w:t>
      </w:r>
    </w:p>
  </w:footnote>
  <w:footnote w:id="501">
    <w:p w14:paraId="3479317B" w14:textId="4889FC32" w:rsidR="0042789D" w:rsidRPr="00906F99" w:rsidRDefault="0042789D" w:rsidP="00906F99">
      <w:pPr>
        <w:pStyle w:val="FootnoteText"/>
        <w:spacing w:before="60" w:after="60"/>
        <w:rPr>
          <w:rFonts w:ascii="Gotham Book" w:hAnsi="Gotham Book"/>
        </w:rPr>
      </w:pPr>
      <w:r w:rsidRPr="00906F99">
        <w:rPr>
          <w:rStyle w:val="FootnoteReference"/>
          <w:rFonts w:ascii="Gotham Book" w:hAnsi="Gotham Book"/>
        </w:rPr>
        <w:footnoteRef/>
      </w:r>
      <w:r w:rsidRPr="00906F99">
        <w:rPr>
          <w:rFonts w:ascii="Gotham Book" w:hAnsi="Gotham Book"/>
        </w:rPr>
        <w:t xml:space="preserve"> </w:t>
      </w:r>
      <w:r>
        <w:rPr>
          <w:i/>
        </w:rPr>
        <w:t>NSW Police Force r</w:t>
      </w:r>
      <w:r w:rsidRPr="00906F99">
        <w:rPr>
          <w:i/>
        </w:rPr>
        <w:t xml:space="preserve">esponse to the interim report of Operation Tusket, </w:t>
      </w:r>
      <w:r w:rsidRPr="00906F99">
        <w:t>23 October 2018,</w:t>
      </w:r>
      <w:r w:rsidRPr="00906F99">
        <w:rPr>
          <w:i/>
        </w:rPr>
        <w:t xml:space="preserve"> </w:t>
      </w:r>
      <w:r w:rsidRPr="00906F99">
        <w:t>F/2018/94374; D/2018/851613</w:t>
      </w:r>
      <w:r w:rsidRPr="00906F99">
        <w:rPr>
          <w:rFonts w:ascii="Gotham Book" w:hAnsi="Gotham Book"/>
        </w:rPr>
        <w:t>, p 1.</w:t>
      </w:r>
    </w:p>
  </w:footnote>
  <w:footnote w:id="502">
    <w:p w14:paraId="3F7FD6E3" w14:textId="2525CEA2" w:rsidR="0042789D" w:rsidRPr="0032540F" w:rsidRDefault="0042789D" w:rsidP="00906F99">
      <w:pPr>
        <w:pStyle w:val="FootnoteText"/>
        <w:spacing w:before="60" w:after="60"/>
        <w:rPr>
          <w:rFonts w:ascii="Gotham Book" w:hAnsi="Gotham Book"/>
        </w:rPr>
      </w:pPr>
      <w:r w:rsidRPr="00906F99">
        <w:rPr>
          <w:rStyle w:val="FootnoteReference"/>
          <w:rFonts w:ascii="Gotham Book" w:hAnsi="Gotham Book"/>
        </w:rPr>
        <w:footnoteRef/>
      </w:r>
      <w:r w:rsidRPr="00906F99">
        <w:rPr>
          <w:rFonts w:ascii="Gotham Book" w:hAnsi="Gotham Book"/>
        </w:rPr>
        <w:t xml:space="preserve"> For discussion of the need for detailed information to determine who meets the defi</w:t>
      </w:r>
      <w:r>
        <w:rPr>
          <w:rFonts w:ascii="Gotham Book" w:hAnsi="Gotham Book"/>
        </w:rPr>
        <w:t>nition of a registrable person</w:t>
      </w:r>
      <w:r w:rsidRPr="00906F99">
        <w:rPr>
          <w:rFonts w:ascii="Gotham Book" w:hAnsi="Gotham Book"/>
        </w:rPr>
        <w:t xml:space="preserve"> under the CPOR Act, </w:t>
      </w:r>
      <w:r w:rsidRPr="00DD34D7">
        <w:rPr>
          <w:rFonts w:ascii="Gotham Book" w:hAnsi="Gotham Book"/>
        </w:rPr>
        <w:t xml:space="preserve">see Appendix 2 (parts </w:t>
      </w:r>
      <w:r w:rsidRPr="00DD34D7">
        <w:rPr>
          <w:rFonts w:ascii="Gotham Book" w:hAnsi="Gotham Book"/>
        </w:rPr>
        <w:fldChar w:fldCharType="begin"/>
      </w:r>
      <w:r w:rsidRPr="00DD34D7">
        <w:rPr>
          <w:rFonts w:ascii="Gotham Book" w:hAnsi="Gotham Book"/>
        </w:rPr>
        <w:instrText xml:space="preserve"> REF _Ref9429691 \r \h  \* MERGEFORMAT </w:instrText>
      </w:r>
      <w:r w:rsidRPr="00DD34D7">
        <w:rPr>
          <w:rFonts w:ascii="Gotham Book" w:hAnsi="Gotham Book"/>
        </w:rPr>
      </w:r>
      <w:r w:rsidRPr="00DD34D7">
        <w:rPr>
          <w:rFonts w:ascii="Gotham Book" w:hAnsi="Gotham Book"/>
        </w:rPr>
        <w:fldChar w:fldCharType="separate"/>
      </w:r>
      <w:r w:rsidR="00022664">
        <w:rPr>
          <w:rFonts w:ascii="Gotham Book" w:hAnsi="Gotham Book" w:hint="cs"/>
          <w:cs/>
        </w:rPr>
        <w:t>‎</w:t>
      </w:r>
      <w:r w:rsidR="00022664">
        <w:rPr>
          <w:rFonts w:ascii="Gotham Book" w:hAnsi="Gotham Book"/>
        </w:rPr>
        <w:t>3</w:t>
      </w:r>
      <w:r w:rsidRPr="00DD34D7">
        <w:rPr>
          <w:rFonts w:ascii="Gotham Book" w:hAnsi="Gotham Book"/>
        </w:rPr>
        <w:fldChar w:fldCharType="end"/>
      </w:r>
      <w:r w:rsidRPr="00DD34D7">
        <w:rPr>
          <w:rFonts w:ascii="Gotham Book" w:hAnsi="Gotham Book"/>
        </w:rPr>
        <w:t xml:space="preserve"> and </w:t>
      </w:r>
      <w:r w:rsidRPr="00DD34D7">
        <w:rPr>
          <w:rFonts w:ascii="Gotham Book" w:hAnsi="Gotham Book"/>
        </w:rPr>
        <w:fldChar w:fldCharType="begin"/>
      </w:r>
      <w:r w:rsidRPr="00DD34D7">
        <w:rPr>
          <w:rFonts w:ascii="Gotham Book" w:hAnsi="Gotham Book"/>
        </w:rPr>
        <w:instrText xml:space="preserve"> REF _Ref9429685 \r \h  \* MERGEFORMAT </w:instrText>
      </w:r>
      <w:r w:rsidRPr="00DD34D7">
        <w:rPr>
          <w:rFonts w:ascii="Gotham Book" w:hAnsi="Gotham Book"/>
        </w:rPr>
      </w:r>
      <w:r w:rsidRPr="00DD34D7">
        <w:rPr>
          <w:rFonts w:ascii="Gotham Book" w:hAnsi="Gotham Book"/>
        </w:rPr>
        <w:fldChar w:fldCharType="separate"/>
      </w:r>
      <w:r w:rsidR="00022664">
        <w:rPr>
          <w:rFonts w:ascii="Gotham Book" w:hAnsi="Gotham Book" w:hint="cs"/>
          <w:cs/>
        </w:rPr>
        <w:t>‎</w:t>
      </w:r>
      <w:r w:rsidR="00022664">
        <w:rPr>
          <w:rFonts w:ascii="Gotham Book" w:hAnsi="Gotham Book"/>
        </w:rPr>
        <w:t>4</w:t>
      </w:r>
      <w:r w:rsidRPr="00DD34D7">
        <w:rPr>
          <w:rFonts w:ascii="Gotham Book" w:hAnsi="Gotham Book"/>
        </w:rPr>
        <w:fldChar w:fldCharType="end"/>
      </w:r>
      <w:r w:rsidRPr="00DD34D7">
        <w:rPr>
          <w:rFonts w:ascii="Gotham Book" w:hAnsi="Gotham Book"/>
        </w:rPr>
        <w:t>).</w:t>
      </w:r>
    </w:p>
  </w:footnote>
  <w:footnote w:id="503">
    <w:p w14:paraId="266392A4" w14:textId="049C6E81" w:rsidR="0042789D" w:rsidRPr="0032540F" w:rsidRDefault="0042789D" w:rsidP="002826B1">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Pr>
          <w:rFonts w:ascii="Gotham Book" w:hAnsi="Gotham Book"/>
        </w:rPr>
        <w:t>Law Enforcement Conduct Commission consultation</w:t>
      </w:r>
      <w:r w:rsidRPr="0060165E">
        <w:rPr>
          <w:rFonts w:ascii="Gotham Book" w:hAnsi="Gotham Book"/>
        </w:rPr>
        <w:t xml:space="preserve"> with NSW Police Force, Parramatta, 11 April 2018.</w:t>
      </w:r>
    </w:p>
  </w:footnote>
  <w:footnote w:id="504">
    <w:p w14:paraId="54FD5EB1" w14:textId="643B6009" w:rsidR="0042789D" w:rsidRPr="0032540F" w:rsidRDefault="0042789D" w:rsidP="002826B1">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Pr>
          <w:i/>
        </w:rPr>
        <w:t>NSW Police Force r</w:t>
      </w:r>
      <w:r w:rsidRPr="0060165E">
        <w:rPr>
          <w:i/>
        </w:rPr>
        <w:t xml:space="preserve">esponse to the interim report of Operation Tusket, </w:t>
      </w:r>
      <w:r w:rsidRPr="0060165E">
        <w:t>23 October 2018,</w:t>
      </w:r>
      <w:r w:rsidRPr="0060165E">
        <w:rPr>
          <w:i/>
        </w:rPr>
        <w:t xml:space="preserve"> </w:t>
      </w:r>
      <w:r w:rsidRPr="0060165E">
        <w:t>F/2018/94374; D/2018/851613</w:t>
      </w:r>
      <w:r w:rsidRPr="0060165E">
        <w:rPr>
          <w:rFonts w:ascii="Gotham Book" w:hAnsi="Gotham Book"/>
        </w:rPr>
        <w:t>, p 4.</w:t>
      </w:r>
    </w:p>
  </w:footnote>
  <w:footnote w:id="505">
    <w:p w14:paraId="60AA6ED9" w14:textId="63E40D90" w:rsidR="0042789D" w:rsidRPr="0032540F" w:rsidRDefault="0042789D" w:rsidP="002826B1">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t>Workforce Intelligence</w:t>
      </w:r>
      <w:r w:rsidRPr="00802C2E">
        <w:t xml:space="preserve"> Unit, </w:t>
      </w:r>
      <w:r>
        <w:t>Human Resources Command, NSW Police Force,</w:t>
      </w:r>
      <w:r w:rsidRPr="00802C2E">
        <w:t xml:space="preserve"> </w:t>
      </w:r>
      <w:r w:rsidRPr="00802C2E">
        <w:rPr>
          <w:i/>
        </w:rPr>
        <w:t>HR Analysis: Child Protection Register Staffing Review</w:t>
      </w:r>
      <w:r w:rsidRPr="00802C2E">
        <w:t xml:space="preserve">, 20 July 2017, D/2017/630614, </w:t>
      </w:r>
      <w:r>
        <w:t>NSW Police Force response</w:t>
      </w:r>
      <w:r w:rsidRPr="00802C2E">
        <w:t xml:space="preserve"> to item 1 of </w:t>
      </w:r>
      <w:r>
        <w:t>Law Enforcement Conduct Commission Notice</w:t>
      </w:r>
      <w:r w:rsidRPr="00802C2E">
        <w:t xml:space="preserve"> 929 of 2017</w:t>
      </w:r>
      <w:r>
        <w:rPr>
          <w:rFonts w:ascii="Gotham Book" w:hAnsi="Gotham Book"/>
        </w:rPr>
        <w:t>, p 61 (r</w:t>
      </w:r>
      <w:r w:rsidRPr="0032540F">
        <w:rPr>
          <w:rFonts w:ascii="Gotham Book" w:hAnsi="Gotham Book"/>
        </w:rPr>
        <w:t>ec 14)</w:t>
      </w:r>
      <w:r>
        <w:rPr>
          <w:rFonts w:ascii="Gotham Book" w:hAnsi="Gotham Book"/>
        </w:rPr>
        <w:t>.</w:t>
      </w:r>
    </w:p>
  </w:footnote>
  <w:footnote w:id="506">
    <w:p w14:paraId="056B648F" w14:textId="12AC766D" w:rsidR="0042789D" w:rsidRPr="0032540F" w:rsidRDefault="0042789D" w:rsidP="002826B1">
      <w:pPr>
        <w:pStyle w:val="FootnoteText"/>
        <w:spacing w:before="60" w:after="60"/>
        <w:rPr>
          <w:rFonts w:ascii="Gotham Book" w:hAnsi="Gotham Book"/>
        </w:rPr>
      </w:pPr>
      <w:r w:rsidRPr="0032540F">
        <w:rPr>
          <w:rStyle w:val="FootnoteReference"/>
          <w:rFonts w:ascii="Gotham Book" w:hAnsi="Gotham Book"/>
        </w:rPr>
        <w:footnoteRef/>
      </w:r>
      <w:r w:rsidRPr="00B73EB8">
        <w:t xml:space="preserve"> Governance, Risk &amp; Compliance,</w:t>
      </w:r>
      <w:r>
        <w:t xml:space="preserve"> NSW Police Force,</w:t>
      </w:r>
      <w:r w:rsidRPr="00B73EB8">
        <w:t xml:space="preserve"> </w:t>
      </w:r>
      <w:r w:rsidRPr="00291EC4">
        <w:rPr>
          <w:i/>
        </w:rPr>
        <w:t>Child Protection Register – Governance and Accountability Arrangements for the NSW Police Force</w:t>
      </w:r>
      <w:r w:rsidRPr="00B73EB8">
        <w:t xml:space="preserve">, 12 December 2018, D/2018/1013232, </w:t>
      </w:r>
      <w:r>
        <w:t>NSW Police Force response to Law Enforcement Conduct Commission Notice 978 of 2018</w:t>
      </w:r>
      <w:r w:rsidRPr="0032540F">
        <w:rPr>
          <w:rFonts w:ascii="Gotham Book" w:hAnsi="Gotham Book"/>
        </w:rPr>
        <w:t>, p 8.</w:t>
      </w:r>
    </w:p>
  </w:footnote>
  <w:footnote w:id="507">
    <w:p w14:paraId="03FD80BE" w14:textId="4BC8E671" w:rsidR="0042789D" w:rsidRPr="0032540F" w:rsidRDefault="0042789D" w:rsidP="002826B1">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sidRPr="00731683">
        <w:rPr>
          <w:rFonts w:ascii="Gotham Book" w:hAnsi="Gotham Book"/>
        </w:rPr>
        <w:t xml:space="preserve">Email from </w:t>
      </w:r>
      <w:r>
        <w:rPr>
          <w:rFonts w:ascii="Gotham Book" w:hAnsi="Gotham Book"/>
        </w:rPr>
        <w:t>Police Prosecutions Command</w:t>
      </w:r>
      <w:r w:rsidRPr="00731683">
        <w:rPr>
          <w:rFonts w:ascii="Gotham Book" w:hAnsi="Gotham Book"/>
        </w:rPr>
        <w:t xml:space="preserve">, </w:t>
      </w:r>
      <w:r>
        <w:rPr>
          <w:rFonts w:ascii="Gotham Book" w:hAnsi="Gotham Book"/>
        </w:rPr>
        <w:t>NSW Police Force,</w:t>
      </w:r>
      <w:r w:rsidRPr="00731683">
        <w:rPr>
          <w:rFonts w:ascii="Gotham Book" w:hAnsi="Gotham Book"/>
        </w:rPr>
        <w:t xml:space="preserve"> to </w:t>
      </w:r>
      <w:r>
        <w:rPr>
          <w:rFonts w:ascii="Gotham Book" w:hAnsi="Gotham Book"/>
        </w:rPr>
        <w:t>Law Enforcement Conduct Commission, 20 December 2018</w:t>
      </w:r>
      <w:r w:rsidRPr="00731683">
        <w:rPr>
          <w:rFonts w:ascii="Gotham Book" w:hAnsi="Gotham Book"/>
        </w:rPr>
        <w:t>.</w:t>
      </w:r>
    </w:p>
  </w:footnote>
  <w:footnote w:id="508">
    <w:p w14:paraId="7C0E88DA" w14:textId="22977998" w:rsidR="0042789D" w:rsidRPr="0032540F" w:rsidRDefault="0042789D" w:rsidP="00080A28">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sidRPr="00245407">
        <w:rPr>
          <w:rFonts w:ascii="Gotham Book" w:hAnsi="Gotham Book"/>
        </w:rPr>
        <w:t>Email from Child Protection Registry</w:t>
      </w:r>
      <w:r>
        <w:rPr>
          <w:rFonts w:ascii="Gotham Book" w:hAnsi="Gotham Book"/>
        </w:rPr>
        <w:t>, NSW Police Force,</w:t>
      </w:r>
      <w:r w:rsidRPr="00245407">
        <w:rPr>
          <w:rFonts w:ascii="Gotham Book" w:hAnsi="Gotham Book"/>
        </w:rPr>
        <w:t xml:space="preserve"> to </w:t>
      </w:r>
      <w:r>
        <w:rPr>
          <w:rFonts w:ascii="Gotham Book" w:hAnsi="Gotham Book"/>
        </w:rPr>
        <w:t xml:space="preserve">Corrections Strategy and Policy, </w:t>
      </w:r>
      <w:r w:rsidRPr="00245407">
        <w:rPr>
          <w:rFonts w:ascii="Gotham Book" w:hAnsi="Gotham Book"/>
        </w:rPr>
        <w:t xml:space="preserve">Corrective Services NSW, 15 December 2015, </w:t>
      </w:r>
      <w:r>
        <w:rPr>
          <w:rFonts w:ascii="Gotham Book" w:hAnsi="Gotham Book"/>
        </w:rPr>
        <w:t>NSW Police Force response</w:t>
      </w:r>
      <w:r w:rsidRPr="00245407">
        <w:rPr>
          <w:rFonts w:ascii="Gotham Book" w:hAnsi="Gotham Book"/>
        </w:rPr>
        <w:t xml:space="preserve"> to item 4 of </w:t>
      </w:r>
      <w:r>
        <w:rPr>
          <w:rFonts w:ascii="Gotham Book" w:hAnsi="Gotham Book"/>
        </w:rPr>
        <w:t>Law Enforcement Conduct Commission Notice</w:t>
      </w:r>
      <w:r w:rsidRPr="00245407">
        <w:rPr>
          <w:rFonts w:ascii="Gotham Book" w:hAnsi="Gotham Book"/>
        </w:rPr>
        <w:t xml:space="preserve"> 929 of 2017; Email from Child Protection Registry,</w:t>
      </w:r>
      <w:r>
        <w:rPr>
          <w:rFonts w:ascii="Gotham Book" w:hAnsi="Gotham Book"/>
        </w:rPr>
        <w:t xml:space="preserve"> NSW Police Force,</w:t>
      </w:r>
      <w:r w:rsidRPr="00245407">
        <w:rPr>
          <w:rFonts w:ascii="Gotham Book" w:hAnsi="Gotham Book"/>
        </w:rPr>
        <w:t xml:space="preserve"> to </w:t>
      </w:r>
      <w:r>
        <w:rPr>
          <w:rFonts w:ascii="Gotham Book" w:hAnsi="Gotham Book"/>
        </w:rPr>
        <w:t xml:space="preserve">Corrections Strategy and Policy, </w:t>
      </w:r>
      <w:r w:rsidRPr="00245407">
        <w:rPr>
          <w:rFonts w:ascii="Gotham Book" w:hAnsi="Gotham Book"/>
        </w:rPr>
        <w:t xml:space="preserve">Corrective Services NSW, 23 May 2016, </w:t>
      </w:r>
      <w:r>
        <w:rPr>
          <w:rFonts w:ascii="Gotham Book" w:hAnsi="Gotham Book"/>
        </w:rPr>
        <w:t>NSW Police Force response</w:t>
      </w:r>
      <w:r w:rsidRPr="00245407">
        <w:rPr>
          <w:rFonts w:ascii="Gotham Book" w:hAnsi="Gotham Book"/>
        </w:rPr>
        <w:t xml:space="preserve"> to item 4 of </w:t>
      </w:r>
      <w:r>
        <w:rPr>
          <w:rFonts w:ascii="Gotham Book" w:hAnsi="Gotham Book"/>
        </w:rPr>
        <w:t>Law Enforcement Conduct Commission Notice</w:t>
      </w:r>
      <w:r w:rsidRPr="00245407">
        <w:rPr>
          <w:rFonts w:ascii="Gotham Book" w:hAnsi="Gotham Book"/>
        </w:rPr>
        <w:t xml:space="preserve"> 929 of 2017.</w:t>
      </w:r>
    </w:p>
  </w:footnote>
  <w:footnote w:id="509">
    <w:p w14:paraId="4B082887" w14:textId="02D3AA06" w:rsidR="0042789D" w:rsidRDefault="0042789D" w:rsidP="00080A28">
      <w:pPr>
        <w:pStyle w:val="FootnoteText"/>
        <w:spacing w:before="60" w:after="60"/>
      </w:pPr>
      <w:r w:rsidRPr="004E2A56">
        <w:rPr>
          <w:rStyle w:val="FootnoteReference"/>
        </w:rPr>
        <w:footnoteRef/>
      </w:r>
      <w:r w:rsidRPr="004E2A56">
        <w:t xml:space="preserve"> Email</w:t>
      </w:r>
      <w:r w:rsidRPr="00A52BC9">
        <w:t xml:space="preserve"> from </w:t>
      </w:r>
      <w:r>
        <w:rPr>
          <w:rFonts w:ascii="Gotham Book" w:hAnsi="Gotham Book"/>
        </w:rPr>
        <w:t xml:space="preserve">Corrections Strategy and Policy, </w:t>
      </w:r>
      <w:r w:rsidRPr="00245407">
        <w:rPr>
          <w:rFonts w:ascii="Gotham Book" w:hAnsi="Gotham Book"/>
        </w:rPr>
        <w:t>Corrective Services NSW</w:t>
      </w:r>
      <w:r>
        <w:rPr>
          <w:rFonts w:ascii="Gotham Book" w:hAnsi="Gotham Book"/>
        </w:rPr>
        <w:t>, to Child Protection Registry, NSW Police Force, 15 December 2015, NSW Police Force response</w:t>
      </w:r>
      <w:r w:rsidRPr="00245407">
        <w:rPr>
          <w:rFonts w:ascii="Gotham Book" w:hAnsi="Gotham Book"/>
        </w:rPr>
        <w:t xml:space="preserve"> to item 4 of </w:t>
      </w:r>
      <w:r>
        <w:rPr>
          <w:rFonts w:ascii="Gotham Book" w:hAnsi="Gotham Book"/>
        </w:rPr>
        <w:t>Law Enforcement Conduct Commission Notice</w:t>
      </w:r>
      <w:r w:rsidRPr="00245407">
        <w:rPr>
          <w:rFonts w:ascii="Gotham Book" w:hAnsi="Gotham Book"/>
        </w:rPr>
        <w:t xml:space="preserve"> 929 of 2017</w:t>
      </w:r>
      <w:r>
        <w:rPr>
          <w:rFonts w:ascii="Gotham Book" w:hAnsi="Gotham Book"/>
        </w:rPr>
        <w:t>.</w:t>
      </w:r>
    </w:p>
  </w:footnote>
  <w:footnote w:id="510">
    <w:p w14:paraId="590622E8" w14:textId="4867B7B8" w:rsidR="0042789D" w:rsidRPr="0032540F" w:rsidRDefault="0042789D" w:rsidP="00080A28">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t>Manager</w:t>
      </w:r>
      <w:r w:rsidRPr="00F2681C">
        <w:t>,</w:t>
      </w:r>
      <w:r>
        <w:t xml:space="preserve"> Child Protection Registry, NSW Police Force,</w:t>
      </w:r>
      <w:r w:rsidRPr="00F2681C">
        <w:t xml:space="preserve"> </w:t>
      </w:r>
      <w:r w:rsidRPr="00F2681C">
        <w:rPr>
          <w:i/>
        </w:rPr>
        <w:t>Management of the Child Protection Register in New South Wales: Michael O’Brien Scholarship 2017</w:t>
      </w:r>
      <w:r w:rsidRPr="00F2681C">
        <w:t xml:space="preserve"> (2018)</w:t>
      </w:r>
      <w:r>
        <w:t>, NSW Police Force response to item 1 of Law Enforcement Conduct Commission Notice 929 of 2018</w:t>
      </w:r>
      <w:r w:rsidRPr="0032540F">
        <w:rPr>
          <w:rFonts w:ascii="Gotham Book" w:hAnsi="Gotham Book"/>
        </w:rPr>
        <w:t xml:space="preserve">, p 10 and </w:t>
      </w:r>
      <w:r>
        <w:rPr>
          <w:rFonts w:ascii="Gotham Book" w:hAnsi="Gotham Book"/>
        </w:rPr>
        <w:t xml:space="preserve">p </w:t>
      </w:r>
      <w:r w:rsidRPr="0032540F">
        <w:rPr>
          <w:rFonts w:ascii="Gotham Book" w:hAnsi="Gotham Book"/>
        </w:rPr>
        <w:t>50.</w:t>
      </w:r>
    </w:p>
  </w:footnote>
  <w:footnote w:id="511">
    <w:p w14:paraId="5B7611D2" w14:textId="6F47A4A2" w:rsidR="0042789D" w:rsidRPr="0032540F" w:rsidRDefault="0042789D" w:rsidP="00080A28">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Pr>
          <w:rFonts w:ascii="Gotham Book" w:hAnsi="Gotham Book"/>
        </w:rPr>
        <w:t>Law Enforcement Conduct Commission consultation</w:t>
      </w:r>
      <w:r w:rsidRPr="0032540F">
        <w:rPr>
          <w:rFonts w:ascii="Gotham Book" w:hAnsi="Gotham Book"/>
        </w:rPr>
        <w:t xml:space="preserve"> with </w:t>
      </w:r>
      <w:r>
        <w:rPr>
          <w:rFonts w:ascii="Gotham Book" w:hAnsi="Gotham Book"/>
        </w:rPr>
        <w:t>NSW Police Force</w:t>
      </w:r>
      <w:r w:rsidRPr="0032540F">
        <w:rPr>
          <w:rFonts w:ascii="Gotham Book" w:hAnsi="Gotham Book"/>
        </w:rPr>
        <w:t>, Sydney, 26 July 2018.</w:t>
      </w:r>
    </w:p>
  </w:footnote>
  <w:footnote w:id="512">
    <w:p w14:paraId="5B968293" w14:textId="1F6EDA26" w:rsidR="0042789D" w:rsidRPr="0032540F" w:rsidRDefault="0042789D" w:rsidP="0089096E">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Pr>
          <w:rFonts w:ascii="Gotham Book" w:hAnsi="Gotham Book"/>
        </w:rPr>
        <w:t>Law Enforcement Conduct Commission consultation</w:t>
      </w:r>
      <w:r w:rsidRPr="006D4650">
        <w:rPr>
          <w:rFonts w:ascii="Gotham Book" w:hAnsi="Gotham Book"/>
        </w:rPr>
        <w:t xml:space="preserve"> with NSW Police Force, Sydney, 4 December 2018.</w:t>
      </w:r>
    </w:p>
  </w:footnote>
  <w:footnote w:id="513">
    <w:p w14:paraId="2EF30429" w14:textId="32FBC711" w:rsidR="0042789D" w:rsidRPr="0032540F" w:rsidRDefault="0042789D" w:rsidP="0089096E">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w:t>
      </w:r>
      <w:r>
        <w:rPr>
          <w:i/>
        </w:rPr>
        <w:t>NSW Police Force r</w:t>
      </w:r>
      <w:r w:rsidRPr="00140016">
        <w:rPr>
          <w:i/>
        </w:rPr>
        <w:t xml:space="preserve">esponse to the interim report of Operation Tusket, </w:t>
      </w:r>
      <w:r w:rsidRPr="00140016">
        <w:t>23 October 2018,</w:t>
      </w:r>
      <w:r w:rsidRPr="00140016">
        <w:rPr>
          <w:i/>
        </w:rPr>
        <w:t xml:space="preserve"> </w:t>
      </w:r>
      <w:r w:rsidRPr="00140016">
        <w:t>F/2018/94374; D/2018/851613</w:t>
      </w:r>
      <w:r w:rsidRPr="00140016">
        <w:rPr>
          <w:rFonts w:ascii="Gotham Book" w:hAnsi="Gotham Book"/>
        </w:rPr>
        <w:t>, p 2.</w:t>
      </w:r>
    </w:p>
  </w:footnote>
  <w:footnote w:id="514">
    <w:p w14:paraId="3BF355F6" w14:textId="49190FEB" w:rsidR="0042789D" w:rsidRPr="0032540F" w:rsidRDefault="0042789D" w:rsidP="0089096E">
      <w:pPr>
        <w:pStyle w:val="FootnoteText"/>
        <w:spacing w:before="60" w:after="60"/>
        <w:rPr>
          <w:rFonts w:ascii="Gotham Book" w:hAnsi="Gotham Book"/>
        </w:rPr>
      </w:pPr>
      <w:r w:rsidRPr="0032540F">
        <w:rPr>
          <w:rStyle w:val="FootnoteReference"/>
          <w:rFonts w:ascii="Gotham Book" w:hAnsi="Gotham Book"/>
        </w:rPr>
        <w:footnoteRef/>
      </w:r>
      <w:r w:rsidRPr="0032540F">
        <w:rPr>
          <w:rFonts w:ascii="Gotham Book" w:hAnsi="Gotham Book"/>
        </w:rPr>
        <w:t xml:space="preserve"> Ministry for</w:t>
      </w:r>
      <w:r>
        <w:rPr>
          <w:rFonts w:ascii="Gotham Book" w:hAnsi="Gotham Book"/>
        </w:rPr>
        <w:t xml:space="preserve"> Police and Emergency Services (NSW), </w:t>
      </w:r>
      <w:r w:rsidRPr="00047E9A">
        <w:rPr>
          <w:rFonts w:ascii="Gotham Book" w:hAnsi="Gotham Book"/>
          <w:i/>
        </w:rPr>
        <w:t>Report:</w:t>
      </w:r>
      <w:r>
        <w:rPr>
          <w:rFonts w:ascii="Gotham Book" w:hAnsi="Gotham Book"/>
        </w:rPr>
        <w:t xml:space="preserve"> </w:t>
      </w:r>
      <w:r w:rsidRPr="0032540F">
        <w:rPr>
          <w:rFonts w:ascii="Gotham Book" w:hAnsi="Gotham Book"/>
          <w:i/>
        </w:rPr>
        <w:t>Statutory review of the</w:t>
      </w:r>
      <w:r w:rsidRPr="0032540F">
        <w:rPr>
          <w:rFonts w:ascii="Gotham Book" w:hAnsi="Gotham Book"/>
        </w:rPr>
        <w:t xml:space="preserve"> </w:t>
      </w:r>
      <w:r w:rsidRPr="0032540F">
        <w:rPr>
          <w:rFonts w:ascii="Gotham Book" w:hAnsi="Gotham Book"/>
          <w:i/>
        </w:rPr>
        <w:t xml:space="preserve">Child Protection (Offenders Registration) Act 2000 </w:t>
      </w:r>
      <w:r w:rsidRPr="00140016">
        <w:rPr>
          <w:rFonts w:ascii="Gotham Book" w:hAnsi="Gotham Book"/>
        </w:rPr>
        <w:t xml:space="preserve">(2013) </w:t>
      </w:r>
      <w:r w:rsidRPr="0032540F">
        <w:rPr>
          <w:rFonts w:ascii="Gotham Book" w:hAnsi="Gotham Book"/>
        </w:rPr>
        <w:t>p 35 (citations omitted).</w:t>
      </w:r>
    </w:p>
  </w:footnote>
  <w:footnote w:id="515">
    <w:p w14:paraId="013599A2" w14:textId="0CC99331" w:rsidR="0042789D" w:rsidRPr="00934D57" w:rsidRDefault="0042789D" w:rsidP="00934D57">
      <w:pPr>
        <w:pStyle w:val="FootnoteText"/>
        <w:spacing w:before="60" w:after="60"/>
        <w:rPr>
          <w:rFonts w:ascii="Gotham Book" w:hAnsi="Gotham Book"/>
        </w:rPr>
      </w:pPr>
      <w:r w:rsidRPr="00934D57">
        <w:rPr>
          <w:rStyle w:val="FootnoteReference"/>
          <w:rFonts w:ascii="Gotham Book" w:hAnsi="Gotham Book"/>
        </w:rPr>
        <w:footnoteRef/>
      </w:r>
      <w:r w:rsidRPr="00934D57">
        <w:rPr>
          <w:rFonts w:ascii="Gotham Book" w:hAnsi="Gotham Book"/>
        </w:rPr>
        <w:t xml:space="preserve"> </w:t>
      </w:r>
      <w:r>
        <w:rPr>
          <w:i/>
        </w:rPr>
        <w:t>NSW Police Force r</w:t>
      </w:r>
      <w:r w:rsidRPr="00934D57">
        <w:rPr>
          <w:i/>
        </w:rPr>
        <w:t xml:space="preserve">esponse to the interim report of Operation Tusket, </w:t>
      </w:r>
      <w:r w:rsidRPr="00934D57">
        <w:t>23 October 2018,</w:t>
      </w:r>
      <w:r w:rsidRPr="00934D57">
        <w:rPr>
          <w:i/>
        </w:rPr>
        <w:t xml:space="preserve"> </w:t>
      </w:r>
      <w:r w:rsidRPr="00934D57">
        <w:t>F/2018/94374; D/2018/851613</w:t>
      </w:r>
      <w:r w:rsidRPr="00934D57">
        <w:rPr>
          <w:rFonts w:ascii="Gotham Book" w:hAnsi="Gotham Book"/>
        </w:rPr>
        <w:t>, p 6.</w:t>
      </w:r>
    </w:p>
  </w:footnote>
  <w:footnote w:id="516">
    <w:p w14:paraId="00539879" w14:textId="1C26DBED" w:rsidR="0042789D" w:rsidRPr="0032540F" w:rsidRDefault="0042789D" w:rsidP="00934D57">
      <w:pPr>
        <w:pStyle w:val="FootnoteText"/>
        <w:spacing w:before="60" w:after="60"/>
        <w:rPr>
          <w:rFonts w:ascii="Gotham Book" w:hAnsi="Gotham Book"/>
        </w:rPr>
      </w:pPr>
      <w:r w:rsidRPr="00934D57">
        <w:rPr>
          <w:rStyle w:val="FootnoteReference"/>
          <w:rFonts w:ascii="Gotham Book" w:hAnsi="Gotham Book"/>
        </w:rPr>
        <w:footnoteRef/>
      </w:r>
      <w:r w:rsidRPr="00934D57">
        <w:rPr>
          <w:rFonts w:ascii="Gotham Book" w:hAnsi="Gotham Book"/>
        </w:rPr>
        <w:t xml:space="preserve"> </w:t>
      </w:r>
      <w:r>
        <w:rPr>
          <w:rFonts w:ascii="Gotham Book" w:hAnsi="Gotham Book"/>
        </w:rPr>
        <w:t xml:space="preserve">Ibid </w:t>
      </w:r>
      <w:r w:rsidRPr="00934D57">
        <w:rPr>
          <w:rFonts w:ascii="Gotham Book" w:hAnsi="Gotham Book"/>
        </w:rPr>
        <w:t>p 7.</w:t>
      </w:r>
    </w:p>
  </w:footnote>
  <w:footnote w:id="517">
    <w:p w14:paraId="1A1580C0" w14:textId="77777777" w:rsidR="0042789D" w:rsidRPr="001D0C9D" w:rsidRDefault="0042789D" w:rsidP="00EB043F">
      <w:pPr>
        <w:pStyle w:val="FootnoteText"/>
        <w:spacing w:before="60" w:after="60"/>
      </w:pPr>
      <w:r w:rsidRPr="001D0C9D">
        <w:rPr>
          <w:rStyle w:val="FootnoteReference"/>
        </w:rPr>
        <w:footnoteRef/>
      </w:r>
      <w:r w:rsidRPr="001D0C9D">
        <w:t xml:space="preserve"> </w:t>
      </w:r>
      <w:r w:rsidRPr="001D0C9D">
        <w:rPr>
          <w:i/>
        </w:rPr>
        <w:t>Child Protection (Offenders Registration) Act 2000 (</w:t>
      </w:r>
      <w:r w:rsidRPr="001D0C9D">
        <w:t>NSW) s 15(1)(a).</w:t>
      </w:r>
    </w:p>
  </w:footnote>
  <w:footnote w:id="518">
    <w:p w14:paraId="1FA17736" w14:textId="77777777" w:rsidR="0042789D" w:rsidRPr="001D0C9D" w:rsidRDefault="0042789D" w:rsidP="00EB043F">
      <w:pPr>
        <w:pStyle w:val="FootnoteText"/>
        <w:spacing w:before="60" w:after="60"/>
      </w:pPr>
      <w:r w:rsidRPr="001D0C9D">
        <w:rPr>
          <w:rStyle w:val="FootnoteReference"/>
        </w:rPr>
        <w:footnoteRef/>
      </w:r>
      <w:r w:rsidRPr="001D0C9D">
        <w:t xml:space="preserve"> </w:t>
      </w:r>
      <w:r w:rsidRPr="001D0C9D">
        <w:rPr>
          <w:i/>
        </w:rPr>
        <w:t>Child Protection (Offenders Registration) Act 2000 (</w:t>
      </w:r>
      <w:r w:rsidRPr="001D0C9D">
        <w:t>NSW) s 15(1)(a).</w:t>
      </w:r>
    </w:p>
  </w:footnote>
  <w:footnote w:id="519">
    <w:p w14:paraId="106719A7" w14:textId="77777777" w:rsidR="0042789D" w:rsidRDefault="0042789D" w:rsidP="00EB043F">
      <w:pPr>
        <w:pStyle w:val="FootnoteText"/>
        <w:spacing w:before="60" w:after="60"/>
      </w:pPr>
      <w:r w:rsidRPr="001D0C9D">
        <w:rPr>
          <w:rStyle w:val="FootnoteReference"/>
        </w:rPr>
        <w:footnoteRef/>
      </w:r>
      <w:r w:rsidRPr="001D0C9D">
        <w:t xml:space="preserve"> </w:t>
      </w:r>
      <w:r w:rsidRPr="001D0C9D">
        <w:rPr>
          <w:i/>
        </w:rPr>
        <w:t>Child Protection (Offenders Registration) Act 2000 (</w:t>
      </w:r>
      <w:r w:rsidRPr="001D0C9D">
        <w:t>NSW) s 15(2).</w:t>
      </w:r>
    </w:p>
  </w:footnote>
  <w:footnote w:id="520">
    <w:p w14:paraId="5E4FD6A3" w14:textId="58888244" w:rsidR="0042789D" w:rsidRPr="001D0C9D" w:rsidRDefault="0042789D" w:rsidP="00A02553">
      <w:pPr>
        <w:pStyle w:val="FootnoteText"/>
        <w:spacing w:before="60" w:after="60"/>
      </w:pPr>
      <w:r w:rsidRPr="001D0C9D">
        <w:rPr>
          <w:rStyle w:val="FootnoteReference"/>
        </w:rPr>
        <w:footnoteRef/>
      </w:r>
      <w:r>
        <w:t xml:space="preserve"> Comments on</w:t>
      </w:r>
      <w:r w:rsidRPr="001D0C9D">
        <w:t xml:space="preserve"> Child Protection Re</w:t>
      </w:r>
      <w:r>
        <w:t>gistry, NSW Police Force,</w:t>
      </w:r>
      <w:r w:rsidRPr="001D0C9D">
        <w:t xml:space="preserve"> </w:t>
      </w:r>
      <w:r w:rsidRPr="001D0C9D">
        <w:rPr>
          <w:i/>
        </w:rPr>
        <w:t>Serious concerns raised regarding the Child Protection Register (CPR) reporting period timeframes and lack of review of matters prior to case finalisation</w:t>
      </w:r>
      <w:r w:rsidRPr="001D0C9D">
        <w:t xml:space="preserve">, 26 May 2016, D/2016/277899, </w:t>
      </w:r>
      <w:r>
        <w:t>NSW Police Force response</w:t>
      </w:r>
      <w:r w:rsidRPr="001D0C9D">
        <w:t xml:space="preserve"> to </w:t>
      </w:r>
      <w:r>
        <w:t>item 7 of Law Enforcement Conduct Commission Notice</w:t>
      </w:r>
      <w:r w:rsidRPr="001D0C9D">
        <w:t xml:space="preserve"> 914 of 2017, p 9.</w:t>
      </w:r>
    </w:p>
  </w:footnote>
  <w:footnote w:id="521">
    <w:p w14:paraId="37EA032E" w14:textId="22C9218F" w:rsidR="0042789D" w:rsidRPr="001D0C9D" w:rsidRDefault="0042789D" w:rsidP="00A02553">
      <w:pPr>
        <w:pStyle w:val="FootnoteText"/>
        <w:spacing w:before="60" w:after="60"/>
      </w:pPr>
      <w:r w:rsidRPr="001D0C9D">
        <w:rPr>
          <w:rStyle w:val="FootnoteReference"/>
        </w:rPr>
        <w:footnoteRef/>
      </w:r>
      <w:r w:rsidRPr="001D0C9D">
        <w:t xml:space="preserve"> </w:t>
      </w:r>
      <w:r>
        <w:t>Ibid</w:t>
      </w:r>
      <w:r w:rsidRPr="001D0C9D">
        <w:t>.</w:t>
      </w:r>
    </w:p>
  </w:footnote>
  <w:footnote w:id="522">
    <w:p w14:paraId="6A2937CE" w14:textId="26A0201E" w:rsidR="0042789D" w:rsidRPr="001D0C9D" w:rsidRDefault="0042789D" w:rsidP="00A02553">
      <w:pPr>
        <w:pStyle w:val="FootnoteText"/>
        <w:spacing w:before="60" w:after="60"/>
      </w:pPr>
      <w:r w:rsidRPr="001D0C9D">
        <w:rPr>
          <w:rStyle w:val="FootnoteReference"/>
        </w:rPr>
        <w:footnoteRef/>
      </w:r>
      <w:r w:rsidRPr="001D0C9D">
        <w:t xml:space="preserve"> </w:t>
      </w:r>
      <w:r w:rsidRPr="00764EA1">
        <w:t>Child Protection Registry,</w:t>
      </w:r>
      <w:r>
        <w:t xml:space="preserve"> NSW Police Force,</w:t>
      </w:r>
      <w:r w:rsidRPr="00764EA1">
        <w:t xml:space="preserve"> </w:t>
      </w:r>
      <w:r w:rsidRPr="00764EA1">
        <w:rPr>
          <w:rFonts w:cs="Arial"/>
          <w:i/>
        </w:rPr>
        <w:t>BTS Work Request Application Form</w:t>
      </w:r>
      <w:r w:rsidRPr="00764EA1">
        <w:t xml:space="preserve">, 8 December 2014, D/2014/444902, </w:t>
      </w:r>
      <w:r>
        <w:t>NSW Police Force response</w:t>
      </w:r>
      <w:r w:rsidRPr="00764EA1">
        <w:t xml:space="preserve"> to item 11 of </w:t>
      </w:r>
      <w:r>
        <w:t>Law Enforcement Conduct Commission Notice</w:t>
      </w:r>
      <w:r w:rsidRPr="00764EA1">
        <w:t xml:space="preserve"> 929 of 2017.</w:t>
      </w:r>
    </w:p>
  </w:footnote>
  <w:footnote w:id="523">
    <w:p w14:paraId="4A4ED312" w14:textId="6E77C0FC" w:rsidR="0042789D" w:rsidRPr="001D0C9D" w:rsidRDefault="0042789D" w:rsidP="00A02553">
      <w:pPr>
        <w:pStyle w:val="FootnoteText"/>
        <w:spacing w:before="60" w:after="60"/>
      </w:pPr>
      <w:r w:rsidRPr="001D0C9D">
        <w:rPr>
          <w:rStyle w:val="FootnoteReference"/>
        </w:rPr>
        <w:footnoteRef/>
      </w:r>
      <w:r w:rsidRPr="001D0C9D">
        <w:t xml:space="preserve"> </w:t>
      </w:r>
      <w:r>
        <w:t>Officer</w:t>
      </w:r>
      <w:r w:rsidRPr="001D0C9D">
        <w:t xml:space="preserve">, </w:t>
      </w:r>
      <w:r>
        <w:t>NSW Police Force</w:t>
      </w:r>
      <w:r w:rsidRPr="001D0C9D">
        <w:t xml:space="preserve">, </w:t>
      </w:r>
      <w:r w:rsidRPr="001D0C9D">
        <w:rPr>
          <w:rFonts w:cs="Arial"/>
          <w:i/>
        </w:rPr>
        <w:t>Request for the New South Wales Police Force Child Protection Register, State Crime Command, to rectify current deficiencies</w:t>
      </w:r>
      <w:r w:rsidRPr="001D0C9D">
        <w:rPr>
          <w:rFonts w:cs="Arial"/>
        </w:rPr>
        <w:t xml:space="preserve">, 18 March 2015, D/2015/154123, </w:t>
      </w:r>
      <w:r>
        <w:rPr>
          <w:rFonts w:cs="Arial"/>
        </w:rPr>
        <w:t>NSW Police Force response</w:t>
      </w:r>
      <w:r w:rsidRPr="001D0C9D">
        <w:rPr>
          <w:rFonts w:cs="Arial"/>
        </w:rPr>
        <w:t xml:space="preserve"> to item 17(a) of </w:t>
      </w:r>
      <w:r>
        <w:rPr>
          <w:rFonts w:cs="Arial"/>
        </w:rPr>
        <w:t>Law Enforcement Conduct Commission Notice</w:t>
      </w:r>
      <w:r w:rsidRPr="001D0C9D">
        <w:rPr>
          <w:rFonts w:cs="Arial"/>
        </w:rPr>
        <w:t xml:space="preserve"> 929 of 2017, p 1.</w:t>
      </w:r>
    </w:p>
  </w:footnote>
  <w:footnote w:id="524">
    <w:p w14:paraId="470F5F82" w14:textId="697D7811" w:rsidR="0042789D" w:rsidRPr="001D0C9D" w:rsidRDefault="0042789D" w:rsidP="000D7E6F">
      <w:pPr>
        <w:pStyle w:val="FootnoteText"/>
        <w:spacing w:before="60" w:after="60"/>
        <w:rPr>
          <w:rFonts w:ascii="Gotham Book" w:hAnsi="Gotham Book" w:cs="Arial"/>
        </w:rPr>
      </w:pPr>
      <w:r w:rsidRPr="001D0C9D">
        <w:rPr>
          <w:rStyle w:val="FootnoteReference"/>
          <w:rFonts w:ascii="Gotham Book" w:hAnsi="Gotham Book" w:cs="Arial"/>
        </w:rPr>
        <w:footnoteRef/>
      </w:r>
      <w:r w:rsidRPr="001D0C9D">
        <w:rPr>
          <w:rFonts w:ascii="Gotham Book" w:hAnsi="Gotham Book" w:cs="Arial"/>
        </w:rPr>
        <w:t xml:space="preserve"> </w:t>
      </w:r>
      <w:r>
        <w:rPr>
          <w:rFonts w:ascii="Gotham Book" w:hAnsi="Gotham Book" w:cs="Arial"/>
        </w:rPr>
        <w:t>Mr BB’s CPR case file was produced by the NSW Police Force in response</w:t>
      </w:r>
      <w:r w:rsidRPr="006323B3">
        <w:rPr>
          <w:rFonts w:ascii="Gotham Book" w:hAnsi="Gotham Book" w:cs="Arial"/>
        </w:rPr>
        <w:t xml:space="preserve"> to item 2(a) of </w:t>
      </w:r>
      <w:r>
        <w:rPr>
          <w:rFonts w:ascii="Gotham Book" w:hAnsi="Gotham Book" w:cs="Arial"/>
        </w:rPr>
        <w:t>Law Enforcement Conduct Commission Notice</w:t>
      </w:r>
      <w:r w:rsidRPr="006323B3">
        <w:rPr>
          <w:rFonts w:ascii="Gotham Book" w:hAnsi="Gotham Book" w:cs="Arial"/>
        </w:rPr>
        <w:t xml:space="preserve"> 929 of 2018</w:t>
      </w:r>
      <w:r>
        <w:rPr>
          <w:rFonts w:ascii="Gotham Book" w:hAnsi="Gotham Book" w:cs="Arial"/>
        </w:rPr>
        <w:t>.</w:t>
      </w:r>
    </w:p>
  </w:footnote>
  <w:footnote w:id="525">
    <w:p w14:paraId="05DBF541" w14:textId="3694203D" w:rsidR="0042789D" w:rsidRPr="0041731E" w:rsidRDefault="0042789D" w:rsidP="00592061">
      <w:pPr>
        <w:pStyle w:val="FootnoteText"/>
        <w:spacing w:before="60" w:after="60"/>
      </w:pPr>
      <w:r w:rsidRPr="0041731E">
        <w:rPr>
          <w:rStyle w:val="FootnoteReference"/>
        </w:rPr>
        <w:footnoteRef/>
      </w:r>
      <w:r>
        <w:t xml:space="preserve"> Mr RR’s CPR case file was produced by the NSW Police Force in response</w:t>
      </w:r>
      <w:r w:rsidRPr="0041731E">
        <w:t xml:space="preserve"> to item 2(b) of </w:t>
      </w:r>
      <w:r>
        <w:t>Law Enforcement Conduct Commission Notice</w:t>
      </w:r>
      <w:r w:rsidRPr="0041731E">
        <w:t xml:space="preserve"> 929 of 2018.</w:t>
      </w:r>
    </w:p>
  </w:footnote>
  <w:footnote w:id="526">
    <w:p w14:paraId="77CD4A2E" w14:textId="4CD06A7B" w:rsidR="0042789D" w:rsidRPr="00DE5DF9" w:rsidRDefault="0042789D" w:rsidP="00B8477B">
      <w:pPr>
        <w:pStyle w:val="FootnoteText"/>
        <w:spacing w:before="60" w:after="60"/>
      </w:pPr>
      <w:r w:rsidRPr="00DE5DF9">
        <w:rPr>
          <w:rStyle w:val="FootnoteReference"/>
        </w:rPr>
        <w:footnoteRef/>
      </w:r>
      <w:r>
        <w:t xml:space="preserve"> </w:t>
      </w:r>
      <w:r w:rsidRPr="00DE5DF9">
        <w:t>Child Protection Registry,</w:t>
      </w:r>
      <w:r>
        <w:t xml:space="preserve"> NSW Police Force,</w:t>
      </w:r>
      <w:r w:rsidRPr="00DE5DF9">
        <w:t xml:space="preserve"> </w:t>
      </w:r>
      <w:r w:rsidRPr="00DE5DF9">
        <w:rPr>
          <w:i/>
        </w:rPr>
        <w:t>Request for urgent assistance from Business and Technology Services</w:t>
      </w:r>
      <w:r w:rsidRPr="00DE5DF9">
        <w:t xml:space="preserve">, 28 September 2015, D/2015/486821, </w:t>
      </w:r>
      <w:r>
        <w:t>NSW Police Force response</w:t>
      </w:r>
      <w:r w:rsidRPr="00DE5DF9">
        <w:t xml:space="preserve"> to </w:t>
      </w:r>
      <w:r>
        <w:t>item 3 of Law Enforcement Conduct Commission Notice</w:t>
      </w:r>
      <w:r w:rsidRPr="00DE5DF9">
        <w:t xml:space="preserve"> 914 of 2017.</w:t>
      </w:r>
    </w:p>
  </w:footnote>
  <w:footnote w:id="527">
    <w:p w14:paraId="19A3C81D" w14:textId="760A2194" w:rsidR="0042789D" w:rsidRPr="00DE5DF9" w:rsidRDefault="0042789D" w:rsidP="00B8477B">
      <w:pPr>
        <w:pStyle w:val="FootnoteText"/>
        <w:spacing w:before="60" w:after="60"/>
      </w:pPr>
      <w:r w:rsidRPr="00DE5DF9">
        <w:rPr>
          <w:rStyle w:val="FootnoteReference"/>
        </w:rPr>
        <w:footnoteRef/>
      </w:r>
      <w:r>
        <w:t xml:space="preserve"> Ibid</w:t>
      </w:r>
      <w:r w:rsidRPr="00DE5DF9">
        <w:t>.</w:t>
      </w:r>
    </w:p>
  </w:footnote>
  <w:footnote w:id="528">
    <w:p w14:paraId="3B40CEB0" w14:textId="73EE0B61" w:rsidR="0042789D" w:rsidRPr="00DE5DF9" w:rsidRDefault="0042789D" w:rsidP="00B8477B">
      <w:pPr>
        <w:pStyle w:val="FootnoteText"/>
        <w:spacing w:before="60" w:after="60"/>
      </w:pPr>
      <w:r w:rsidRPr="00DE5DF9">
        <w:rPr>
          <w:rStyle w:val="FootnoteReference"/>
        </w:rPr>
        <w:footnoteRef/>
      </w:r>
      <w:r>
        <w:t xml:space="preserve"> Ibid</w:t>
      </w:r>
      <w:r w:rsidRPr="00DE5DF9">
        <w:t>.</w:t>
      </w:r>
    </w:p>
  </w:footnote>
  <w:footnote w:id="529">
    <w:p w14:paraId="4045FAB9" w14:textId="63782914" w:rsidR="0042789D" w:rsidRPr="00DE5DF9" w:rsidRDefault="0042789D" w:rsidP="00B8477B">
      <w:pPr>
        <w:pStyle w:val="FootnoteText"/>
        <w:spacing w:before="60" w:after="60"/>
      </w:pPr>
      <w:r w:rsidRPr="00DE5DF9">
        <w:rPr>
          <w:rStyle w:val="FootnoteReference"/>
        </w:rPr>
        <w:footnoteRef/>
      </w:r>
      <w:r>
        <w:t xml:space="preserve"> Ibid</w:t>
      </w:r>
      <w:r w:rsidRPr="00DE5DF9">
        <w:t>.</w:t>
      </w:r>
    </w:p>
  </w:footnote>
  <w:footnote w:id="530">
    <w:p w14:paraId="57B05B4E" w14:textId="5445024B" w:rsidR="0042789D" w:rsidRPr="00DE5DF9" w:rsidRDefault="0042789D" w:rsidP="00B8477B">
      <w:pPr>
        <w:pStyle w:val="FootnoteText"/>
        <w:spacing w:before="60" w:after="60"/>
      </w:pPr>
      <w:r w:rsidRPr="00DE5DF9">
        <w:rPr>
          <w:rStyle w:val="FootnoteReference"/>
        </w:rPr>
        <w:footnoteRef/>
      </w:r>
      <w:r>
        <w:t xml:space="preserve"> Ibid</w:t>
      </w:r>
      <w:r w:rsidRPr="00DE5DF9">
        <w:t>.</w:t>
      </w:r>
    </w:p>
  </w:footnote>
  <w:footnote w:id="531">
    <w:p w14:paraId="23AB9FD8" w14:textId="5E414648" w:rsidR="0042789D" w:rsidRPr="00DE5DF9" w:rsidRDefault="0042789D" w:rsidP="00B8477B">
      <w:pPr>
        <w:pStyle w:val="FootnoteText"/>
        <w:spacing w:before="60" w:after="60"/>
      </w:pPr>
      <w:r w:rsidRPr="00DE5DF9">
        <w:rPr>
          <w:rStyle w:val="FootnoteReference"/>
        </w:rPr>
        <w:footnoteRef/>
      </w:r>
      <w:r w:rsidRPr="00DE5DF9">
        <w:t xml:space="preserve"> </w:t>
      </w:r>
      <w:r>
        <w:t xml:space="preserve">Comments on </w:t>
      </w:r>
      <w:r w:rsidRPr="00DE5DF9">
        <w:t>Child Protection Registry,</w:t>
      </w:r>
      <w:r>
        <w:t xml:space="preserve"> NSW Police Force,</w:t>
      </w:r>
      <w:r w:rsidRPr="00DE5DF9">
        <w:t xml:space="preserve"> </w:t>
      </w:r>
      <w:r w:rsidRPr="00DE5DF9">
        <w:rPr>
          <w:i/>
        </w:rPr>
        <w:t>Request for urgent assistance from Business and Technology Services</w:t>
      </w:r>
      <w:r w:rsidRPr="00DE5DF9">
        <w:t xml:space="preserve">, 28 September 2015, D/2015/486821, </w:t>
      </w:r>
      <w:r>
        <w:t>NSW Police Force response</w:t>
      </w:r>
      <w:r w:rsidRPr="00DE5DF9">
        <w:t xml:space="preserve"> to</w:t>
      </w:r>
      <w:r>
        <w:t xml:space="preserve"> item 3 of</w:t>
      </w:r>
      <w:r w:rsidRPr="00DE5DF9">
        <w:t xml:space="preserve"> </w:t>
      </w:r>
      <w:r>
        <w:t>Law Enforcement Conduct Commission Notice</w:t>
      </w:r>
      <w:r w:rsidRPr="00DE5DF9">
        <w:t xml:space="preserve"> 914 of 2017.</w:t>
      </w:r>
    </w:p>
  </w:footnote>
  <w:footnote w:id="532">
    <w:p w14:paraId="0A1FF983" w14:textId="382C78FB" w:rsidR="0042789D" w:rsidRDefault="0042789D" w:rsidP="00B8477B">
      <w:pPr>
        <w:pStyle w:val="FootnoteText"/>
        <w:spacing w:before="60" w:after="60"/>
      </w:pPr>
      <w:r w:rsidRPr="00DE5DF9">
        <w:rPr>
          <w:rStyle w:val="FootnoteReference"/>
        </w:rPr>
        <w:footnoteRef/>
      </w:r>
      <w:r>
        <w:t xml:space="preserve"> </w:t>
      </w:r>
      <w:r w:rsidRPr="00CE44C9">
        <w:t>Child Protection Registry</w:t>
      </w:r>
      <w:r w:rsidRPr="00C3218F">
        <w:t>,</w:t>
      </w:r>
      <w:r>
        <w:t xml:space="preserve"> NSW Police Force</w:t>
      </w:r>
      <w:r w:rsidRPr="00C3218F">
        <w:t>,</w:t>
      </w:r>
      <w:r w:rsidRPr="00CE44C9">
        <w:rPr>
          <w:i/>
        </w:rPr>
        <w:t xml:space="preserve"> </w:t>
      </w:r>
      <w:r w:rsidRPr="00CE44C9">
        <w:rPr>
          <w:rFonts w:ascii="Gotham Book" w:hAnsi="Gotham Book"/>
          <w:i/>
        </w:rPr>
        <w:t>Further issues and risks identified within the Child Protection Registry</w:t>
      </w:r>
      <w:r w:rsidRPr="00CE44C9">
        <w:t xml:space="preserve">, 16 October 2015, D/2015/527743, </w:t>
      </w:r>
      <w:r>
        <w:t>NSW Police Force response</w:t>
      </w:r>
      <w:r w:rsidRPr="00CE44C9">
        <w:t xml:space="preserve"> to </w:t>
      </w:r>
      <w:r>
        <w:t>item 5 of Law Enforcement Conduct Commission Notice</w:t>
      </w:r>
      <w:r w:rsidRPr="00CE44C9">
        <w:t xml:space="preserve"> 914 of 2017 p 7; Child Protection Registry, </w:t>
      </w:r>
      <w:r>
        <w:t xml:space="preserve">NSW Police Force, </w:t>
      </w:r>
      <w:r w:rsidRPr="00CE44C9">
        <w:rPr>
          <w:i/>
        </w:rPr>
        <w:t>Serious concerns raised regarding the Child Protection Register (CPR) reporting period timeframes and lack of review of matters prior to case finalisation</w:t>
      </w:r>
      <w:r w:rsidRPr="00CE44C9">
        <w:t xml:space="preserve">, 26 May 2016, D/2016/277899, </w:t>
      </w:r>
      <w:r>
        <w:t>NSW Police Force response</w:t>
      </w:r>
      <w:r w:rsidRPr="00CE44C9">
        <w:t xml:space="preserve"> to </w:t>
      </w:r>
      <w:r>
        <w:t>item 7 of Law Enforcement Conduct Commission Notice 914 of 2017;</w:t>
      </w:r>
      <w:r w:rsidRPr="0069579B">
        <w:rPr>
          <w:i/>
        </w:rPr>
        <w:t xml:space="preserve"> </w:t>
      </w:r>
      <w:r w:rsidRPr="00CE44C9">
        <w:rPr>
          <w:i/>
        </w:rPr>
        <w:t>Business Risk Committee – Child Protection Register</w:t>
      </w:r>
      <w:r w:rsidRPr="00CE44C9">
        <w:t>, 12 April 2016,</w:t>
      </w:r>
      <w:r>
        <w:t xml:space="preserve"> and</w:t>
      </w:r>
      <w:r w:rsidRPr="00CE44C9">
        <w:t xml:space="preserve"> </w:t>
      </w:r>
      <w:r w:rsidRPr="00CE44C9">
        <w:rPr>
          <w:i/>
        </w:rPr>
        <w:t>Business Risk Committee – Child Protection Register</w:t>
      </w:r>
      <w:r w:rsidRPr="00CE44C9">
        <w:t xml:space="preserve">, 9 May 2016, </w:t>
      </w:r>
      <w:r>
        <w:t>both in NSW Police Force response</w:t>
      </w:r>
      <w:r w:rsidRPr="00CE44C9">
        <w:t xml:space="preserve"> to item 11 of </w:t>
      </w:r>
      <w:r>
        <w:t>Law Enforcement Conduct Commission Notice 929 of 2017.</w:t>
      </w:r>
    </w:p>
  </w:footnote>
  <w:footnote w:id="533">
    <w:p w14:paraId="07B3DA7B" w14:textId="71ABE98E" w:rsidR="0042789D" w:rsidRPr="00DE5DF9" w:rsidRDefault="0042789D" w:rsidP="0066428A">
      <w:pPr>
        <w:pStyle w:val="FootnoteText"/>
        <w:spacing w:before="60" w:after="60"/>
      </w:pPr>
      <w:r w:rsidRPr="00DE5DF9">
        <w:rPr>
          <w:rStyle w:val="FootnoteReference"/>
        </w:rPr>
        <w:footnoteRef/>
      </w:r>
      <w:r>
        <w:t xml:space="preserve"> Comments on Child Protection Regist</w:t>
      </w:r>
      <w:r w:rsidRPr="00DE5DF9">
        <w:t>r</w:t>
      </w:r>
      <w:r>
        <w:t>y</w:t>
      </w:r>
      <w:r w:rsidRPr="00DE5DF9">
        <w:t>,</w:t>
      </w:r>
      <w:r>
        <w:t xml:space="preserve"> NSW Police Force,</w:t>
      </w:r>
      <w:r w:rsidRPr="00DE5DF9">
        <w:t xml:space="preserve"> </w:t>
      </w:r>
      <w:r w:rsidRPr="00DE5DF9">
        <w:rPr>
          <w:i/>
        </w:rPr>
        <w:t>Serious concerns raised regarding the Child Protection Register (CPR) reporting period timeframes and lack of review of matters prior to case finalisation</w:t>
      </w:r>
      <w:r w:rsidRPr="00DE5DF9">
        <w:t xml:space="preserve">, 26 May 2016, D/2016/277899, </w:t>
      </w:r>
      <w:r>
        <w:t>NSW Police Force response</w:t>
      </w:r>
      <w:r w:rsidRPr="00DE5DF9">
        <w:t xml:space="preserve"> to</w:t>
      </w:r>
      <w:r>
        <w:t xml:space="preserve"> item 7 of</w:t>
      </w:r>
      <w:r w:rsidRPr="00DE5DF9">
        <w:t xml:space="preserve"> </w:t>
      </w:r>
      <w:r>
        <w:t>Law Enforcement Conduct Commission Notice</w:t>
      </w:r>
      <w:r w:rsidRPr="00DE5DF9">
        <w:t xml:space="preserve"> 914 of 2017, p 10.</w:t>
      </w:r>
    </w:p>
  </w:footnote>
  <w:footnote w:id="534">
    <w:p w14:paraId="19D14387" w14:textId="0EA958D3" w:rsidR="0042789D" w:rsidRPr="00DE5DF9" w:rsidRDefault="0042789D" w:rsidP="0066428A">
      <w:pPr>
        <w:pStyle w:val="FootnoteText"/>
        <w:spacing w:before="60" w:after="60"/>
      </w:pPr>
      <w:r w:rsidRPr="00DE5DF9">
        <w:rPr>
          <w:rStyle w:val="FootnoteReference"/>
        </w:rPr>
        <w:footnoteRef/>
      </w:r>
      <w:r>
        <w:t xml:space="preserve"> </w:t>
      </w:r>
      <w:r w:rsidRPr="00B5536A">
        <w:t xml:space="preserve">Email from Sex Crimes Squad, </w:t>
      </w:r>
      <w:r>
        <w:t>NSW Police Force</w:t>
      </w:r>
      <w:r w:rsidRPr="00B5536A">
        <w:t xml:space="preserve">, </w:t>
      </w:r>
      <w:r w:rsidRPr="00B5536A">
        <w:rPr>
          <w:i/>
        </w:rPr>
        <w:t>Subject: Business risk report – Sex Crimes March 2017</w:t>
      </w:r>
      <w:r w:rsidRPr="00B5536A">
        <w:t xml:space="preserve">, 10 April 2017, </w:t>
      </w:r>
      <w:r>
        <w:t>NSW Police Force</w:t>
      </w:r>
      <w:r w:rsidRPr="00B5536A">
        <w:t xml:space="preserve"> response to item 19(a) of </w:t>
      </w:r>
      <w:r>
        <w:t>Law Enforcement Conduct Commission</w:t>
      </w:r>
      <w:r w:rsidRPr="00B5536A">
        <w:t xml:space="preserve"> Notice 929 of 2017.</w:t>
      </w:r>
    </w:p>
  </w:footnote>
  <w:footnote w:id="535">
    <w:p w14:paraId="0C185748" w14:textId="3EB02C63" w:rsidR="0042789D" w:rsidRPr="00DE5DF9" w:rsidRDefault="0042789D" w:rsidP="0066428A">
      <w:pPr>
        <w:pStyle w:val="FootnoteText"/>
        <w:spacing w:before="60" w:after="60"/>
      </w:pPr>
      <w:r w:rsidRPr="00DE5DF9">
        <w:rPr>
          <w:rStyle w:val="FootnoteReference"/>
        </w:rPr>
        <w:footnoteRef/>
      </w:r>
      <w:r w:rsidRPr="00DE5DF9">
        <w:t xml:space="preserve"> </w:t>
      </w:r>
      <w:r w:rsidRPr="00DE5DF9">
        <w:rPr>
          <w:i/>
        </w:rPr>
        <w:t>Child Protection Register – Business Risk Committee</w:t>
      </w:r>
      <w:r w:rsidRPr="00DE5DF9">
        <w:t xml:space="preserve"> – June 2017, </w:t>
      </w:r>
      <w:r>
        <w:t>NSW Police Force response</w:t>
      </w:r>
      <w:r w:rsidRPr="00DE5DF9">
        <w:t xml:space="preserve"> to item 19(a) of </w:t>
      </w:r>
      <w:r>
        <w:t>Law Enforcement Conduct Commission Notice</w:t>
      </w:r>
      <w:r w:rsidRPr="00DE5DF9">
        <w:t xml:space="preserve"> 929 of 2017.</w:t>
      </w:r>
    </w:p>
  </w:footnote>
  <w:footnote w:id="536">
    <w:p w14:paraId="1CD91257" w14:textId="2A902BB4" w:rsidR="0042789D" w:rsidRPr="00DE5DF9" w:rsidRDefault="0042789D" w:rsidP="0066428A">
      <w:pPr>
        <w:pStyle w:val="FootnoteText"/>
        <w:spacing w:before="60" w:after="60"/>
      </w:pPr>
      <w:r w:rsidRPr="00DE5DF9">
        <w:rPr>
          <w:rStyle w:val="FootnoteReference"/>
        </w:rPr>
        <w:footnoteRef/>
      </w:r>
      <w:r w:rsidRPr="00DE5DF9">
        <w:t xml:space="preserve"> </w:t>
      </w:r>
      <w:r>
        <w:t>Workforce Intelligence</w:t>
      </w:r>
      <w:r w:rsidRPr="00802C2E">
        <w:t xml:space="preserve"> Unit, </w:t>
      </w:r>
      <w:r>
        <w:t>Human Resources Command, NSW Police Force,</w:t>
      </w:r>
      <w:r w:rsidRPr="00802C2E">
        <w:t xml:space="preserve"> </w:t>
      </w:r>
      <w:r w:rsidRPr="00802C2E">
        <w:rPr>
          <w:i/>
        </w:rPr>
        <w:t>HR Analysis: Child Protection Register Staffing Review</w:t>
      </w:r>
      <w:r w:rsidRPr="00802C2E">
        <w:t xml:space="preserve">, 20 July 2017, D/2017/630614, </w:t>
      </w:r>
      <w:r>
        <w:t>NSW Police Force response</w:t>
      </w:r>
      <w:r w:rsidRPr="00802C2E">
        <w:t xml:space="preserve"> to item 1 of </w:t>
      </w:r>
      <w:r>
        <w:t>Law Enforcement Conduct Commission Notice</w:t>
      </w:r>
      <w:r w:rsidRPr="00802C2E">
        <w:t xml:space="preserve"> 929 of 2017</w:t>
      </w:r>
      <w:r w:rsidRPr="00DE5DF9">
        <w:t xml:space="preserve">, p 7 and </w:t>
      </w:r>
      <w:r>
        <w:t xml:space="preserve">p </w:t>
      </w:r>
      <w:r w:rsidRPr="00DE5DF9">
        <w:t>33.</w:t>
      </w:r>
    </w:p>
  </w:footnote>
  <w:footnote w:id="537">
    <w:p w14:paraId="1F3BBF41" w14:textId="04382AD3" w:rsidR="0042789D" w:rsidRPr="00DE5DF9" w:rsidRDefault="0042789D" w:rsidP="0066428A">
      <w:pPr>
        <w:pStyle w:val="FootnoteText"/>
        <w:spacing w:before="60" w:after="60"/>
      </w:pPr>
      <w:r w:rsidRPr="00DE5DF9">
        <w:rPr>
          <w:rStyle w:val="FootnoteReference"/>
        </w:rPr>
        <w:footnoteRef/>
      </w:r>
      <w:r w:rsidRPr="00DE5DF9">
        <w:t xml:space="preserve"> </w:t>
      </w:r>
      <w:r>
        <w:t>Ibid</w:t>
      </w:r>
      <w:r w:rsidRPr="00DE5DF9">
        <w:t xml:space="preserve"> p </w:t>
      </w:r>
      <w:r>
        <w:t xml:space="preserve">6 and p </w:t>
      </w:r>
      <w:r w:rsidRPr="00DE5DF9">
        <w:t>33.</w:t>
      </w:r>
    </w:p>
  </w:footnote>
  <w:footnote w:id="538">
    <w:p w14:paraId="5224F5BB" w14:textId="283EAC25" w:rsidR="0042789D" w:rsidRPr="00DE5DF9" w:rsidRDefault="0042789D" w:rsidP="00033E8E">
      <w:pPr>
        <w:pStyle w:val="FootnoteText"/>
        <w:spacing w:before="60" w:after="60"/>
      </w:pPr>
      <w:r w:rsidRPr="00DE5DF9">
        <w:rPr>
          <w:rStyle w:val="FootnoteReference"/>
        </w:rPr>
        <w:footnoteRef/>
      </w:r>
      <w:r w:rsidRPr="00DE5DF9">
        <w:t xml:space="preserve"> </w:t>
      </w:r>
      <w:r>
        <w:t>Ibid</w:t>
      </w:r>
      <w:r w:rsidRPr="00DE5DF9">
        <w:t xml:space="preserve"> p 62.</w:t>
      </w:r>
    </w:p>
  </w:footnote>
  <w:footnote w:id="539">
    <w:p w14:paraId="6EF3EDF5" w14:textId="51088EB8" w:rsidR="0042789D" w:rsidRPr="00DE5DF9" w:rsidRDefault="0042789D" w:rsidP="00033E8E">
      <w:pPr>
        <w:pStyle w:val="FootnoteText"/>
        <w:spacing w:before="60" w:after="60"/>
      </w:pPr>
      <w:r w:rsidRPr="00DE5DF9">
        <w:rPr>
          <w:rStyle w:val="FootnoteReference"/>
        </w:rPr>
        <w:footnoteRef/>
      </w:r>
      <w:r w:rsidRPr="00DE5DF9">
        <w:t xml:space="preserve"> </w:t>
      </w:r>
      <w:r>
        <w:t>Ibid</w:t>
      </w:r>
      <w:r w:rsidRPr="00DE5DF9">
        <w:t xml:space="preserve"> p 29.</w:t>
      </w:r>
    </w:p>
  </w:footnote>
  <w:footnote w:id="540">
    <w:p w14:paraId="1EFCC6D8" w14:textId="5F54183D" w:rsidR="0042789D" w:rsidRDefault="0042789D" w:rsidP="00033E8E">
      <w:pPr>
        <w:pStyle w:val="FootnoteText"/>
        <w:spacing w:before="60" w:after="60"/>
      </w:pPr>
      <w:r w:rsidRPr="00DE5DF9">
        <w:rPr>
          <w:rStyle w:val="FootnoteReference"/>
        </w:rPr>
        <w:footnoteRef/>
      </w:r>
      <w:r w:rsidRPr="00DE5DF9">
        <w:t xml:space="preserve"> </w:t>
      </w:r>
      <w:r>
        <w:t xml:space="preserve">Ibid </w:t>
      </w:r>
      <w:r w:rsidRPr="00DE5DF9">
        <w:t>p 32.</w:t>
      </w:r>
    </w:p>
  </w:footnote>
  <w:footnote w:id="541">
    <w:p w14:paraId="6265033D" w14:textId="4E663A6C" w:rsidR="0042789D" w:rsidRPr="00DE5DF9" w:rsidRDefault="0042789D" w:rsidP="00033E8E">
      <w:pPr>
        <w:pStyle w:val="FootnoteText"/>
        <w:spacing w:before="60" w:after="60"/>
      </w:pPr>
      <w:r w:rsidRPr="00DE5DF9">
        <w:rPr>
          <w:rStyle w:val="FootnoteReference"/>
        </w:rPr>
        <w:footnoteRef/>
      </w:r>
      <w:r w:rsidRPr="00DE5DF9">
        <w:t xml:space="preserve"> </w:t>
      </w:r>
      <w:r>
        <w:t>Manager</w:t>
      </w:r>
      <w:r w:rsidRPr="00F2681C">
        <w:t>,</w:t>
      </w:r>
      <w:r>
        <w:t xml:space="preserve"> Child Protection Registry, NSW Police Force,</w:t>
      </w:r>
      <w:r w:rsidRPr="00F2681C">
        <w:t xml:space="preserve"> </w:t>
      </w:r>
      <w:r w:rsidRPr="00F2681C">
        <w:rPr>
          <w:i/>
        </w:rPr>
        <w:t>Management of the Child Protection Register in New South Wales: Michael O’Brien Scholarship 2017</w:t>
      </w:r>
      <w:r w:rsidRPr="00F2681C">
        <w:t xml:space="preserve"> (2018)</w:t>
      </w:r>
      <w:r>
        <w:t>, NSW Police Force response to item 1 of Law Enforcement Conduct Commission Notice 929 of 2018</w:t>
      </w:r>
      <w:r w:rsidRPr="00DE5DF9">
        <w:t>, p 63.</w:t>
      </w:r>
    </w:p>
  </w:footnote>
  <w:footnote w:id="542">
    <w:p w14:paraId="583A32E5" w14:textId="0F0210DB" w:rsidR="0042789D" w:rsidRPr="00DE5DF9" w:rsidRDefault="0042789D" w:rsidP="00033E8E">
      <w:pPr>
        <w:pStyle w:val="FootnoteText"/>
        <w:spacing w:before="60" w:after="60"/>
      </w:pPr>
      <w:r w:rsidRPr="00DE5DF9">
        <w:rPr>
          <w:rStyle w:val="FootnoteReference"/>
        </w:rPr>
        <w:footnoteRef/>
      </w:r>
      <w:r w:rsidRPr="00DE5DF9">
        <w:t xml:space="preserve"> </w:t>
      </w:r>
      <w:r w:rsidRPr="00B73EB8">
        <w:t>Governance, Risk &amp; Compliance,</w:t>
      </w:r>
      <w:r>
        <w:t xml:space="preserve"> NSW Police Force,</w:t>
      </w:r>
      <w:r w:rsidRPr="00B73EB8">
        <w:t xml:space="preserve"> </w:t>
      </w:r>
      <w:r w:rsidRPr="00291EC4">
        <w:rPr>
          <w:i/>
        </w:rPr>
        <w:t>Child Protection Register – Governance and Accountability Arrangements for the NSW Police Force</w:t>
      </w:r>
      <w:r w:rsidRPr="00B73EB8">
        <w:t xml:space="preserve">, 12 December 2018, D/2018/1013232, </w:t>
      </w:r>
      <w:r>
        <w:t>NSW Police Force response to Law Enforcement Conduct Commission Notice 978 of 2018</w:t>
      </w:r>
      <w:r w:rsidRPr="00DE5DF9">
        <w:t>, p 8.</w:t>
      </w:r>
    </w:p>
  </w:footnote>
  <w:footnote w:id="543">
    <w:p w14:paraId="55E80ABC" w14:textId="7CA13678" w:rsidR="0042789D" w:rsidRPr="002527C8" w:rsidRDefault="0042789D">
      <w:pPr>
        <w:pStyle w:val="FootnoteText"/>
      </w:pPr>
      <w:r w:rsidRPr="002527C8">
        <w:rPr>
          <w:rStyle w:val="FootnoteReference"/>
        </w:rPr>
        <w:footnoteRef/>
      </w:r>
      <w:r w:rsidRPr="002527C8">
        <w:t xml:space="preserve"> Letter from Commissioner of Police, </w:t>
      </w:r>
      <w:r>
        <w:t>NSW Police Force</w:t>
      </w:r>
      <w:r w:rsidRPr="002527C8">
        <w:t xml:space="preserve">, to Chief Commissioner, </w:t>
      </w:r>
      <w:r>
        <w:t>Law Enforcement Conduct Commission</w:t>
      </w:r>
      <w:r w:rsidRPr="002527C8">
        <w:t xml:space="preserve">, 30 September 2019 </w:t>
      </w:r>
      <w:r>
        <w:t>(</w:t>
      </w:r>
      <w:r w:rsidRPr="002527C8">
        <w:t>Annexure B – Submissions on Proposed Recommendations</w:t>
      </w:r>
      <w:r>
        <w:t>)</w:t>
      </w:r>
      <w:r w:rsidRPr="002527C8">
        <w:t>.</w:t>
      </w:r>
    </w:p>
  </w:footnote>
  <w:footnote w:id="544">
    <w:p w14:paraId="2A14EEE0" w14:textId="3905EE83" w:rsidR="0042789D" w:rsidRPr="00DE5DF9" w:rsidRDefault="0042789D" w:rsidP="00033E8E">
      <w:pPr>
        <w:pStyle w:val="FootnoteText"/>
        <w:spacing w:before="60" w:after="60"/>
      </w:pPr>
      <w:r w:rsidRPr="00DE5DF9">
        <w:rPr>
          <w:rStyle w:val="FootnoteReference"/>
        </w:rPr>
        <w:footnoteRef/>
      </w:r>
      <w:r w:rsidRPr="00DE5DF9">
        <w:t xml:space="preserve"> </w:t>
      </w:r>
      <w:r>
        <w:rPr>
          <w:rFonts w:ascii="Gotham Book" w:hAnsi="Gotham Book"/>
        </w:rPr>
        <w:t>NSW Police Force response</w:t>
      </w:r>
      <w:r w:rsidRPr="00DE5DF9">
        <w:rPr>
          <w:rFonts w:ascii="Gotham Book" w:hAnsi="Gotham Book"/>
        </w:rPr>
        <w:t xml:space="preserve"> to item 1 of </w:t>
      </w:r>
      <w:r>
        <w:rPr>
          <w:rFonts w:ascii="Gotham Book" w:hAnsi="Gotham Book"/>
        </w:rPr>
        <w:t>Law Enforcement Conduct Commission Notice</w:t>
      </w:r>
      <w:r w:rsidRPr="00DE5DF9">
        <w:rPr>
          <w:rFonts w:ascii="Gotham Book" w:hAnsi="Gotham Book"/>
        </w:rPr>
        <w:t xml:space="preserve"> 988 of 2018. For the results of the CPR case review, see</w:t>
      </w:r>
      <w:r>
        <w:rPr>
          <w:rFonts w:ascii="Gotham Book" w:hAnsi="Gotham Book"/>
        </w:rPr>
        <w:t xml:space="preserve"> the </w:t>
      </w:r>
      <w:r w:rsidRPr="007317ED">
        <w:rPr>
          <w:rFonts w:ascii="Gotham Book" w:hAnsi="Gotham Book"/>
        </w:rPr>
        <w:t>table in Appendix 1.</w:t>
      </w:r>
      <w:r w:rsidRPr="00DE5DF9">
        <w:rPr>
          <w:rFonts w:ascii="Gotham Book" w:hAnsi="Gotham Book"/>
        </w:rPr>
        <w:t xml:space="preserve"> </w:t>
      </w:r>
    </w:p>
  </w:footnote>
  <w:footnote w:id="545">
    <w:p w14:paraId="001CCB7D" w14:textId="7E1A16B1" w:rsidR="0042789D" w:rsidRPr="00DE5DF9" w:rsidRDefault="0042789D" w:rsidP="00033E8E">
      <w:pPr>
        <w:pStyle w:val="FootnoteText"/>
        <w:spacing w:before="60" w:after="60"/>
      </w:pPr>
      <w:r w:rsidRPr="00DE5DF9">
        <w:rPr>
          <w:rStyle w:val="FootnoteReference"/>
        </w:rPr>
        <w:footnoteRef/>
      </w:r>
      <w:r w:rsidRPr="00DE5DF9">
        <w:t xml:space="preserve"> </w:t>
      </w:r>
      <w:r>
        <w:rPr>
          <w:rFonts w:ascii="Gotham Book" w:hAnsi="Gotham Book"/>
        </w:rPr>
        <w:t>NSW Police Force response</w:t>
      </w:r>
      <w:r w:rsidRPr="00DE5DF9">
        <w:rPr>
          <w:rFonts w:ascii="Gotham Book" w:hAnsi="Gotham Book"/>
        </w:rPr>
        <w:t xml:space="preserve"> to item 1 of </w:t>
      </w:r>
      <w:r>
        <w:rPr>
          <w:rFonts w:ascii="Gotham Book" w:hAnsi="Gotham Book"/>
        </w:rPr>
        <w:t>Law Enforcement Conduct Commission Notice</w:t>
      </w:r>
      <w:r w:rsidRPr="00DE5DF9">
        <w:rPr>
          <w:rFonts w:ascii="Gotham Book" w:hAnsi="Gotham Book"/>
        </w:rPr>
        <w:t xml:space="preserve"> 988 of 2018</w:t>
      </w:r>
      <w:r w:rsidRPr="00DE5DF9">
        <w:t>.</w:t>
      </w:r>
    </w:p>
  </w:footnote>
  <w:footnote w:id="546">
    <w:p w14:paraId="6BB73228" w14:textId="421B2778" w:rsidR="0042789D" w:rsidRPr="004406B7" w:rsidRDefault="0042789D" w:rsidP="000A2D8F">
      <w:pPr>
        <w:pStyle w:val="FootnoteText"/>
        <w:spacing w:before="60" w:after="60"/>
      </w:pPr>
      <w:r w:rsidRPr="004406B7">
        <w:rPr>
          <w:rStyle w:val="FootnoteReference"/>
        </w:rPr>
        <w:footnoteRef/>
      </w:r>
      <w:r w:rsidRPr="004406B7">
        <w:t xml:space="preserve"> </w:t>
      </w:r>
      <w:r>
        <w:t>Mr LL’s CPR case file was produced by the NSW Police Force in response</w:t>
      </w:r>
      <w:r w:rsidRPr="004406B7">
        <w:t xml:space="preserve"> to item 2(m) of</w:t>
      </w:r>
      <w:r>
        <w:t> Law Enforcement Conduct Commission Notice</w:t>
      </w:r>
      <w:r w:rsidRPr="004406B7">
        <w:t xml:space="preserve"> 929 of 2018.</w:t>
      </w:r>
    </w:p>
  </w:footnote>
  <w:footnote w:id="547">
    <w:p w14:paraId="55D6C6F4" w14:textId="521C8924" w:rsidR="0042789D" w:rsidRPr="00BF3F43" w:rsidRDefault="0042789D" w:rsidP="000A2D8F">
      <w:pPr>
        <w:pStyle w:val="FootnoteText"/>
        <w:spacing w:before="60" w:after="60"/>
      </w:pPr>
      <w:r w:rsidRPr="00BF3F43">
        <w:rPr>
          <w:rStyle w:val="FootnoteReference"/>
        </w:rPr>
        <w:footnoteRef/>
      </w:r>
      <w:r>
        <w:t xml:space="preserve"> </w:t>
      </w:r>
      <w:r w:rsidRPr="005D491F">
        <w:t xml:space="preserve">Letter from Commissioner of Police, </w:t>
      </w:r>
      <w:r>
        <w:t>NSW Police Force</w:t>
      </w:r>
      <w:r w:rsidRPr="005D491F">
        <w:t xml:space="preserve">, to Chief Commissioner, </w:t>
      </w:r>
      <w:r>
        <w:t>Law Enforcement Conduct Commission</w:t>
      </w:r>
      <w:r w:rsidRPr="005D491F">
        <w:t>, 30 September 2019</w:t>
      </w:r>
      <w:r>
        <w:t xml:space="preserve"> (Annexure D – Updated Statistics from the CPR Monthly Report and about Travel Requests)</w:t>
      </w:r>
      <w:r w:rsidRPr="00BF3F43">
        <w:t>.</w:t>
      </w:r>
    </w:p>
  </w:footnote>
  <w:footnote w:id="548">
    <w:p w14:paraId="062E3272" w14:textId="06E8D4B2" w:rsidR="0042789D" w:rsidRPr="00775A66" w:rsidRDefault="0042789D">
      <w:pPr>
        <w:pStyle w:val="FootnoteText"/>
      </w:pPr>
      <w:r w:rsidRPr="00775A66">
        <w:rPr>
          <w:rStyle w:val="FootnoteReference"/>
        </w:rPr>
        <w:footnoteRef/>
      </w:r>
      <w:r w:rsidRPr="00775A66">
        <w:t xml:space="preserve"> See section</w:t>
      </w:r>
      <w:r>
        <w:t xml:space="preserve"> 7.6</w:t>
      </w:r>
      <w:r w:rsidRPr="00775A66">
        <w:t>.</w:t>
      </w:r>
    </w:p>
  </w:footnote>
  <w:footnote w:id="549">
    <w:p w14:paraId="2B9B7361" w14:textId="6FC0D030" w:rsidR="0042789D" w:rsidRPr="00BF3F43" w:rsidRDefault="0042789D" w:rsidP="008F7992">
      <w:pPr>
        <w:pStyle w:val="FootnoteText"/>
        <w:spacing w:before="60" w:after="60"/>
      </w:pPr>
      <w:r w:rsidRPr="00BF3F43">
        <w:rPr>
          <w:rStyle w:val="FootnoteReference"/>
        </w:rPr>
        <w:footnoteRef/>
      </w:r>
      <w:r w:rsidRPr="00BF3F43">
        <w:t xml:space="preserve"> See the discussion in </w:t>
      </w:r>
      <w:r>
        <w:t xml:space="preserve">Chapter 7 </w:t>
      </w:r>
      <w:r w:rsidRPr="001270E0">
        <w:t xml:space="preserve">section </w:t>
      </w:r>
      <w:r w:rsidRPr="001270E0">
        <w:fldChar w:fldCharType="begin"/>
      </w:r>
      <w:r w:rsidRPr="001270E0">
        <w:instrText xml:space="preserve"> REF _Ref9349630 \r \h </w:instrText>
      </w:r>
      <w:r>
        <w:instrText xml:space="preserve"> \* MERGEFORMAT </w:instrText>
      </w:r>
      <w:r w:rsidRPr="001270E0">
        <w:fldChar w:fldCharType="separate"/>
      </w:r>
      <w:r w:rsidR="00022664">
        <w:rPr>
          <w:rFonts w:hint="cs"/>
          <w:cs/>
        </w:rPr>
        <w:t>‎</w:t>
      </w:r>
      <w:r w:rsidR="00022664">
        <w:t>7.5</w:t>
      </w:r>
      <w:r w:rsidRPr="001270E0">
        <w:fldChar w:fldCharType="end"/>
      </w:r>
      <w:r w:rsidRPr="001270E0">
        <w:t>.</w:t>
      </w:r>
    </w:p>
  </w:footnote>
  <w:footnote w:id="550">
    <w:p w14:paraId="5F323CC0" w14:textId="69F2591D" w:rsidR="0042789D" w:rsidRPr="00917962" w:rsidRDefault="0042789D" w:rsidP="00E02E71">
      <w:pPr>
        <w:pStyle w:val="FootnoteText"/>
      </w:pPr>
      <w:r w:rsidRPr="00917962">
        <w:rPr>
          <w:rStyle w:val="FootnoteReference"/>
        </w:rPr>
        <w:footnoteRef/>
      </w:r>
      <w:r w:rsidRPr="00917962">
        <w:t xml:space="preserve"> Letter from Commissioner of Police, </w:t>
      </w:r>
      <w:r>
        <w:t>NSW Police Force</w:t>
      </w:r>
      <w:r w:rsidRPr="00917962">
        <w:t xml:space="preserve">, to Chief Commissioner, </w:t>
      </w:r>
      <w:r>
        <w:t>Law Enforcement Conduct Commission</w:t>
      </w:r>
      <w:r w:rsidRPr="00917962">
        <w:t>, 30 S</w:t>
      </w:r>
      <w:r>
        <w:t>eptember 2019</w:t>
      </w:r>
      <w:r w:rsidRPr="00917962">
        <w:t xml:space="preserve"> </w:t>
      </w:r>
      <w:r>
        <w:t>(</w:t>
      </w:r>
      <w:r w:rsidRPr="00917962">
        <w:t>Annexure B – Submissions on Proposed Recommendations</w:t>
      </w:r>
      <w:r>
        <w:t>)</w:t>
      </w:r>
      <w:r w:rsidRPr="00917962">
        <w:t>.</w:t>
      </w:r>
    </w:p>
  </w:footnote>
  <w:footnote w:id="551">
    <w:p w14:paraId="5FBE64A0" w14:textId="0386343A" w:rsidR="0042789D" w:rsidRPr="00BF3F43" w:rsidRDefault="0042789D" w:rsidP="008F7992">
      <w:pPr>
        <w:pStyle w:val="FootnoteText"/>
        <w:spacing w:before="60" w:after="60"/>
      </w:pPr>
      <w:r w:rsidRPr="00BF3F43">
        <w:rPr>
          <w:rStyle w:val="FootnoteReference"/>
        </w:rPr>
        <w:footnoteRef/>
      </w:r>
      <w:r w:rsidRPr="00BF3F43">
        <w:t xml:space="preserve"> </w:t>
      </w:r>
      <w:r>
        <w:t>Law Enforcement Conduct Commission consultation</w:t>
      </w:r>
      <w:r w:rsidRPr="00BF3F43">
        <w:t xml:space="preserve"> with </w:t>
      </w:r>
      <w:r>
        <w:t>NSW Police Force</w:t>
      </w:r>
      <w:r w:rsidRPr="00BF3F43">
        <w:t>, Parramatta, 11 April 2018.</w:t>
      </w:r>
    </w:p>
  </w:footnote>
  <w:footnote w:id="552">
    <w:p w14:paraId="26274064" w14:textId="77777777" w:rsidR="0042789D" w:rsidRPr="00A67CFF" w:rsidRDefault="0042789D" w:rsidP="008F7992">
      <w:pPr>
        <w:pStyle w:val="FootnoteText"/>
        <w:spacing w:before="60" w:after="60"/>
      </w:pPr>
      <w:r w:rsidRPr="00A67CFF">
        <w:rPr>
          <w:rStyle w:val="FootnoteReference"/>
        </w:rPr>
        <w:footnoteRef/>
      </w:r>
      <w:r w:rsidRPr="00A67CFF">
        <w:t xml:space="preserve"> Referred to in CPR COPS as the ‘Mismatch log’.</w:t>
      </w:r>
    </w:p>
  </w:footnote>
  <w:footnote w:id="553">
    <w:p w14:paraId="4ADE163E" w14:textId="4384D467" w:rsidR="0042789D" w:rsidRPr="00A67CFF" w:rsidRDefault="0042789D" w:rsidP="00BB4DB6">
      <w:pPr>
        <w:pStyle w:val="FootnoteText"/>
        <w:spacing w:before="60" w:after="60"/>
      </w:pPr>
      <w:r w:rsidRPr="00A67CFF">
        <w:rPr>
          <w:rStyle w:val="FootnoteReference"/>
        </w:rPr>
        <w:footnoteRef/>
      </w:r>
      <w:r w:rsidRPr="00A67CFF">
        <w:t xml:space="preserve"> </w:t>
      </w:r>
      <w:r>
        <w:t>Workforce Intelligence</w:t>
      </w:r>
      <w:r w:rsidRPr="00802C2E">
        <w:t xml:space="preserve"> Unit, </w:t>
      </w:r>
      <w:r>
        <w:t>Human Resources Command, NSW Police Force,</w:t>
      </w:r>
      <w:r w:rsidRPr="00802C2E">
        <w:t xml:space="preserve"> </w:t>
      </w:r>
      <w:r w:rsidRPr="00802C2E">
        <w:rPr>
          <w:i/>
        </w:rPr>
        <w:t>HR Analysis: Child Protection Register Staffing Review</w:t>
      </w:r>
      <w:r w:rsidRPr="00802C2E">
        <w:t xml:space="preserve">, 20 July 2017, D/2017/630614, </w:t>
      </w:r>
      <w:r>
        <w:t>NSW Police Force response</w:t>
      </w:r>
      <w:r w:rsidRPr="00802C2E">
        <w:t xml:space="preserve"> to item 1 of </w:t>
      </w:r>
      <w:r>
        <w:t>Law Enforcement Conduct Commission Notice</w:t>
      </w:r>
      <w:r w:rsidRPr="00802C2E">
        <w:t xml:space="preserve"> 929 of 2017</w:t>
      </w:r>
      <w:r w:rsidRPr="00A67CFF">
        <w:t>, p 64.</w:t>
      </w:r>
    </w:p>
  </w:footnote>
  <w:footnote w:id="554">
    <w:p w14:paraId="368307E4" w14:textId="688F1173" w:rsidR="0042789D" w:rsidRPr="00EC0939" w:rsidRDefault="0042789D">
      <w:pPr>
        <w:pStyle w:val="FootnoteText"/>
      </w:pPr>
      <w:r w:rsidRPr="00EC0939">
        <w:rPr>
          <w:rStyle w:val="FootnoteReference"/>
        </w:rPr>
        <w:footnoteRef/>
      </w:r>
      <w:r w:rsidRPr="00EC0939">
        <w:t xml:space="preserve"> </w:t>
      </w:r>
      <w:r w:rsidRPr="00EC0939">
        <w:rPr>
          <w:rFonts w:ascii="Gotham Book" w:hAnsi="Gotham Book"/>
        </w:rPr>
        <w:t>See section 7.2.</w:t>
      </w:r>
    </w:p>
  </w:footnote>
  <w:footnote w:id="555">
    <w:p w14:paraId="4508212A" w14:textId="66525689" w:rsidR="0042789D" w:rsidRPr="00A67CFF" w:rsidRDefault="0042789D" w:rsidP="00BB4DB6">
      <w:pPr>
        <w:pStyle w:val="FootnoteText"/>
        <w:spacing w:before="60" w:after="60"/>
      </w:pPr>
      <w:r w:rsidRPr="00A67CFF">
        <w:rPr>
          <w:rStyle w:val="FootnoteReference"/>
        </w:rPr>
        <w:footnoteRef/>
      </w:r>
      <w:r w:rsidRPr="00A67CFF">
        <w:t xml:space="preserve"> </w:t>
      </w:r>
      <w:r>
        <w:t>Workforce Intelligence</w:t>
      </w:r>
      <w:r w:rsidRPr="00802C2E">
        <w:t xml:space="preserve"> Unit, </w:t>
      </w:r>
      <w:r>
        <w:t>Human Resources Command, NSW Police Force,</w:t>
      </w:r>
      <w:r w:rsidRPr="00802C2E">
        <w:t xml:space="preserve"> </w:t>
      </w:r>
      <w:r w:rsidRPr="00802C2E">
        <w:rPr>
          <w:i/>
        </w:rPr>
        <w:t>HR Analysis: Child Protection Register Staffing Review</w:t>
      </w:r>
      <w:r w:rsidRPr="00802C2E">
        <w:t xml:space="preserve">, 20 July 2017, D/2017/630614, </w:t>
      </w:r>
      <w:r>
        <w:t>NSW Police Force response</w:t>
      </w:r>
      <w:r w:rsidRPr="00802C2E">
        <w:t xml:space="preserve"> to item 1 of </w:t>
      </w:r>
      <w:r>
        <w:t>Law Enforcement Conduct Commission Notice</w:t>
      </w:r>
      <w:r w:rsidRPr="00802C2E">
        <w:t xml:space="preserve"> 929 of 2017</w:t>
      </w:r>
      <w:r w:rsidRPr="00A67CFF">
        <w:t>, p 65.</w:t>
      </w:r>
    </w:p>
  </w:footnote>
  <w:footnote w:id="556">
    <w:p w14:paraId="63ED1D86" w14:textId="493E74D0" w:rsidR="0042789D" w:rsidRPr="00A67CFF" w:rsidRDefault="0042789D" w:rsidP="00BB4DB6">
      <w:pPr>
        <w:pStyle w:val="FootnoteText"/>
        <w:spacing w:before="60" w:after="60"/>
      </w:pPr>
      <w:r w:rsidRPr="00A67CFF">
        <w:rPr>
          <w:rStyle w:val="FootnoteReference"/>
        </w:rPr>
        <w:footnoteRef/>
      </w:r>
      <w:r w:rsidRPr="00A67CFF">
        <w:t xml:space="preserve"> </w:t>
      </w:r>
      <w:r>
        <w:t>Ibid</w:t>
      </w:r>
      <w:r w:rsidRPr="00A67CFF">
        <w:t>.</w:t>
      </w:r>
    </w:p>
  </w:footnote>
  <w:footnote w:id="557">
    <w:p w14:paraId="1A9292A5" w14:textId="37EA3185" w:rsidR="0042789D" w:rsidRPr="00A67CFF" w:rsidRDefault="0042789D" w:rsidP="00BB4DB6">
      <w:pPr>
        <w:pStyle w:val="FootnoteText"/>
        <w:spacing w:before="60" w:after="60"/>
      </w:pPr>
      <w:r w:rsidRPr="00A67CFF">
        <w:rPr>
          <w:rStyle w:val="FootnoteReference"/>
        </w:rPr>
        <w:footnoteRef/>
      </w:r>
      <w:r w:rsidRPr="00A67CFF">
        <w:t xml:space="preserve"> </w:t>
      </w:r>
      <w:r w:rsidRPr="00A67CFF">
        <w:rPr>
          <w:i/>
        </w:rPr>
        <w:t>Child Protection Register BTS Meeting Minutes</w:t>
      </w:r>
      <w:r w:rsidRPr="00A67CFF">
        <w:t xml:space="preserve">, 6 November 2014, p 2, attachment to </w:t>
      </w:r>
      <w:r>
        <w:t>Child Protection Registry</w:t>
      </w:r>
      <w:r w:rsidRPr="00A67CFF">
        <w:t>,</w:t>
      </w:r>
      <w:r>
        <w:t xml:space="preserve"> NSW Police Force,</w:t>
      </w:r>
      <w:r w:rsidRPr="00A67CFF">
        <w:t xml:space="preserve"> </w:t>
      </w:r>
      <w:r>
        <w:rPr>
          <w:rFonts w:cs="Arial"/>
          <w:i/>
        </w:rPr>
        <w:t>BTS Work R</w:t>
      </w:r>
      <w:r w:rsidRPr="00A67CFF">
        <w:rPr>
          <w:rFonts w:cs="Arial"/>
          <w:i/>
        </w:rPr>
        <w:t>eq</w:t>
      </w:r>
      <w:r>
        <w:rPr>
          <w:rFonts w:cs="Arial"/>
          <w:i/>
        </w:rPr>
        <w:t>uest A</w:t>
      </w:r>
      <w:r w:rsidRPr="00A67CFF">
        <w:rPr>
          <w:rFonts w:cs="Arial"/>
          <w:i/>
        </w:rPr>
        <w:t>pplication</w:t>
      </w:r>
      <w:r>
        <w:rPr>
          <w:rFonts w:cs="Arial"/>
          <w:i/>
        </w:rPr>
        <w:t xml:space="preserve"> Form</w:t>
      </w:r>
      <w:r w:rsidRPr="00A67CFF">
        <w:t xml:space="preserve">, 8 December 2014, D/2014/444902, </w:t>
      </w:r>
      <w:r>
        <w:t>NSW Police Force response</w:t>
      </w:r>
      <w:r w:rsidRPr="00A67CFF">
        <w:t xml:space="preserve"> to item 11 of </w:t>
      </w:r>
      <w:r>
        <w:t>Law Enforcement Conduct Commission Notice</w:t>
      </w:r>
      <w:r w:rsidRPr="00A67CFF">
        <w:t xml:space="preserve"> 929 of 2017.</w:t>
      </w:r>
    </w:p>
  </w:footnote>
  <w:footnote w:id="558">
    <w:p w14:paraId="04108C2D" w14:textId="3111E1AF" w:rsidR="0042789D" w:rsidRPr="00A67CFF" w:rsidRDefault="0042789D" w:rsidP="00BB4DB6">
      <w:pPr>
        <w:pStyle w:val="FootnoteText"/>
        <w:spacing w:before="60" w:after="60"/>
      </w:pPr>
      <w:r w:rsidRPr="00A67CFF">
        <w:rPr>
          <w:rStyle w:val="FootnoteReference"/>
        </w:rPr>
        <w:footnoteRef/>
      </w:r>
      <w:r w:rsidRPr="00A67CFF">
        <w:t xml:space="preserve"> </w:t>
      </w:r>
      <w:r>
        <w:t>Child Protection Registry</w:t>
      </w:r>
      <w:r w:rsidRPr="00A67CFF">
        <w:t>,</w:t>
      </w:r>
      <w:r>
        <w:t xml:space="preserve"> NSW Police Force,</w:t>
      </w:r>
      <w:r w:rsidRPr="00A67CFF">
        <w:t xml:space="preserve"> </w:t>
      </w:r>
      <w:r>
        <w:rPr>
          <w:rFonts w:cs="Arial"/>
          <w:i/>
        </w:rPr>
        <w:t>BTS Work R</w:t>
      </w:r>
      <w:r w:rsidRPr="00A67CFF">
        <w:rPr>
          <w:rFonts w:cs="Arial"/>
          <w:i/>
        </w:rPr>
        <w:t>eq</w:t>
      </w:r>
      <w:r>
        <w:rPr>
          <w:rFonts w:cs="Arial"/>
          <w:i/>
        </w:rPr>
        <w:t>uest A</w:t>
      </w:r>
      <w:r w:rsidRPr="00A67CFF">
        <w:rPr>
          <w:rFonts w:cs="Arial"/>
          <w:i/>
        </w:rPr>
        <w:t>pplication</w:t>
      </w:r>
      <w:r>
        <w:rPr>
          <w:rFonts w:cs="Arial"/>
          <w:i/>
        </w:rPr>
        <w:t xml:space="preserve"> Form</w:t>
      </w:r>
      <w:r w:rsidRPr="00A67CFF">
        <w:t xml:space="preserve">, 8 December 2014, D/2014/444902, </w:t>
      </w:r>
      <w:r>
        <w:t>NSW Police Force response</w:t>
      </w:r>
      <w:r w:rsidRPr="00A67CFF">
        <w:t xml:space="preserve"> to item 11 of </w:t>
      </w:r>
      <w:r>
        <w:t>Law Enforcement Conduct Commission Notice</w:t>
      </w:r>
      <w:r w:rsidRPr="00A67CFF">
        <w:t xml:space="preserve"> 929 of 2017.</w:t>
      </w:r>
    </w:p>
  </w:footnote>
  <w:footnote w:id="559">
    <w:p w14:paraId="09DE51B9" w14:textId="5ED6FDB6" w:rsidR="0042789D" w:rsidRDefault="0042789D" w:rsidP="00BB4DB6">
      <w:pPr>
        <w:pStyle w:val="FootnoteText"/>
        <w:spacing w:before="60" w:after="60"/>
      </w:pPr>
      <w:r w:rsidRPr="00A67CFF">
        <w:rPr>
          <w:rStyle w:val="FootnoteReference"/>
        </w:rPr>
        <w:footnoteRef/>
      </w:r>
      <w:r w:rsidRPr="00A67CFF">
        <w:t xml:space="preserve"> </w:t>
      </w:r>
      <w:r>
        <w:t>Workforce Intelligence</w:t>
      </w:r>
      <w:r w:rsidRPr="00802C2E">
        <w:t xml:space="preserve"> Unit, </w:t>
      </w:r>
      <w:r>
        <w:t>Human Resources Command, NSW Police Force,</w:t>
      </w:r>
      <w:r w:rsidRPr="00802C2E">
        <w:t xml:space="preserve"> </w:t>
      </w:r>
      <w:r w:rsidRPr="00802C2E">
        <w:rPr>
          <w:i/>
        </w:rPr>
        <w:t>HR Analysis: Child Protection Register Staffing Review</w:t>
      </w:r>
      <w:r w:rsidRPr="00802C2E">
        <w:t xml:space="preserve">, 20 July 2017, D/2017/630614, </w:t>
      </w:r>
      <w:r>
        <w:t>NSW Police Force response</w:t>
      </w:r>
      <w:r w:rsidRPr="00802C2E">
        <w:t xml:space="preserve"> to item 1 of </w:t>
      </w:r>
      <w:r>
        <w:t>Law Enforcement Conduct Commission Notice</w:t>
      </w:r>
      <w:r w:rsidRPr="00802C2E">
        <w:t xml:space="preserve"> 929 of 2017</w:t>
      </w:r>
      <w:r w:rsidRPr="00A67CFF">
        <w:t>, p 65.</w:t>
      </w:r>
    </w:p>
  </w:footnote>
  <w:footnote w:id="560">
    <w:p w14:paraId="30F1E29A" w14:textId="6380C7CF" w:rsidR="0042789D" w:rsidRPr="00A32F12" w:rsidRDefault="0042789D" w:rsidP="000A556E">
      <w:pPr>
        <w:pStyle w:val="FootnoteText"/>
        <w:spacing w:before="60" w:after="60"/>
      </w:pPr>
      <w:r w:rsidRPr="00A32F12">
        <w:rPr>
          <w:rStyle w:val="FootnoteReference"/>
        </w:rPr>
        <w:footnoteRef/>
      </w:r>
      <w:r w:rsidRPr="00A32F12">
        <w:t xml:space="preserve"> </w:t>
      </w:r>
      <w:r w:rsidRPr="00B73EB8">
        <w:t>Governance, Risk &amp; Compliance,</w:t>
      </w:r>
      <w:r>
        <w:t xml:space="preserve"> NSW Police Force,</w:t>
      </w:r>
      <w:r w:rsidRPr="00B73EB8">
        <w:t xml:space="preserve"> </w:t>
      </w:r>
      <w:r w:rsidRPr="00291EC4">
        <w:rPr>
          <w:i/>
        </w:rPr>
        <w:t>Child Protection Register – Governance and Accountability Arrangements for the NSW Police Force</w:t>
      </w:r>
      <w:r w:rsidRPr="00B73EB8">
        <w:t xml:space="preserve">, 12 December 2018, D/2018/1013232, </w:t>
      </w:r>
      <w:r>
        <w:t>NSW Police Force response to Law Enforcement Conduct Commission Notice 978 of 2018</w:t>
      </w:r>
      <w:r w:rsidRPr="00A32F12">
        <w:t>, p 8.</w:t>
      </w:r>
    </w:p>
    <w:p w14:paraId="4A8EF0DB" w14:textId="77777777" w:rsidR="0042789D" w:rsidRDefault="0042789D" w:rsidP="00667685">
      <w:pPr>
        <w:pStyle w:val="FootnoteText"/>
      </w:pPr>
    </w:p>
  </w:footnote>
  <w:footnote w:id="561">
    <w:p w14:paraId="6148AA40" w14:textId="19456AF6" w:rsidR="0042789D" w:rsidRPr="004A3983" w:rsidRDefault="0042789D" w:rsidP="00925455">
      <w:pPr>
        <w:pStyle w:val="FootnoteText"/>
        <w:spacing w:before="60" w:after="60"/>
      </w:pPr>
      <w:r w:rsidRPr="004A3983">
        <w:rPr>
          <w:rStyle w:val="FootnoteReference"/>
        </w:rPr>
        <w:footnoteRef/>
      </w:r>
      <w:r w:rsidRPr="004A3983">
        <w:t xml:space="preserve"> See Chapter 3 section 3.2.</w:t>
      </w:r>
    </w:p>
  </w:footnote>
  <w:footnote w:id="562">
    <w:p w14:paraId="13BC0E81" w14:textId="29649034" w:rsidR="0042789D" w:rsidRPr="004A3983" w:rsidRDefault="0042789D" w:rsidP="00925455">
      <w:pPr>
        <w:spacing w:before="60" w:after="60" w:line="240" w:lineRule="auto"/>
        <w:rPr>
          <w:sz w:val="20"/>
          <w:szCs w:val="20"/>
        </w:rPr>
      </w:pPr>
      <w:r w:rsidRPr="004A3983">
        <w:rPr>
          <w:rStyle w:val="FootnoteReference"/>
          <w:sz w:val="20"/>
          <w:szCs w:val="20"/>
        </w:rPr>
        <w:footnoteRef/>
      </w:r>
      <w:r w:rsidRPr="004A3983">
        <w:rPr>
          <w:sz w:val="20"/>
          <w:szCs w:val="20"/>
        </w:rPr>
        <w:t xml:space="preserve"> </w:t>
      </w:r>
      <w:r w:rsidRPr="004A3983">
        <w:rPr>
          <w:sz w:val="20"/>
        </w:rPr>
        <w:t xml:space="preserve">Letter from Commissioner of Police, NSW Police Force, to Chief Commissioner, Law Enforcement Conduct Commission, 30 September 2019, p 2. </w:t>
      </w:r>
    </w:p>
  </w:footnote>
  <w:footnote w:id="563">
    <w:p w14:paraId="7530BF9B" w14:textId="32707840" w:rsidR="0042789D" w:rsidRPr="004A3983" w:rsidRDefault="0042789D" w:rsidP="00925455">
      <w:pPr>
        <w:pStyle w:val="Footnote"/>
        <w:rPr>
          <w:szCs w:val="20"/>
        </w:rPr>
      </w:pPr>
      <w:r w:rsidRPr="004A3983">
        <w:rPr>
          <w:rStyle w:val="FootnoteReference"/>
          <w:szCs w:val="20"/>
        </w:rPr>
        <w:footnoteRef/>
      </w:r>
      <w:r w:rsidRPr="004A3983">
        <w:rPr>
          <w:szCs w:val="20"/>
        </w:rPr>
        <w:t xml:space="preserve"> </w:t>
      </w:r>
      <w:r w:rsidRPr="004A3983">
        <w:rPr>
          <w:rFonts w:ascii="Gotham Book" w:hAnsi="Gotham Book"/>
          <w:szCs w:val="20"/>
        </w:rPr>
        <w:t xml:space="preserve">NSW Police Force, </w:t>
      </w:r>
      <w:r w:rsidRPr="004A3983">
        <w:rPr>
          <w:rFonts w:ascii="Gotham Book" w:hAnsi="Gotham Book"/>
          <w:i/>
          <w:szCs w:val="20"/>
        </w:rPr>
        <w:t>NSW Police Force Corporate Plan 2016-2018</w:t>
      </w:r>
      <w:r w:rsidRPr="004A3983">
        <w:rPr>
          <w:rFonts w:ascii="Gotham Book" w:hAnsi="Gotham Book"/>
          <w:szCs w:val="20"/>
        </w:rPr>
        <w:t xml:space="preserve"> (2016), p 2  </w:t>
      </w:r>
      <w:hyperlink r:id="rId7" w:history="1">
        <w:r w:rsidRPr="004A3983">
          <w:rPr>
            <w:rStyle w:val="Hyperlink"/>
            <w:color w:val="auto"/>
            <w:u w:val="none"/>
          </w:rPr>
          <w:t xml:space="preserve"> &lt;</w:t>
        </w:r>
        <w:r w:rsidRPr="004A3983">
          <w:rPr>
            <w:rStyle w:val="Hyperlink"/>
            <w:rFonts w:ascii="Gotham Book" w:hAnsi="Gotham Book"/>
            <w:color w:val="auto"/>
            <w:szCs w:val="20"/>
            <w:u w:val="none"/>
          </w:rPr>
          <w:t>https://www.police.nsw.gov.au/__data/assets/pdf_file/0008/474830/Corporate_Plan_A3_18_August_2017.pdf</w:t>
        </w:r>
      </w:hyperlink>
      <w:r w:rsidRPr="004A3983">
        <w:t>&gt;</w:t>
      </w:r>
      <w:r w:rsidRPr="004A3983">
        <w:rPr>
          <w:rFonts w:ascii="Gotham Book" w:hAnsi="Gotham Book"/>
          <w:szCs w:val="20"/>
        </w:rPr>
        <w:t xml:space="preserve">. </w:t>
      </w:r>
    </w:p>
  </w:footnote>
  <w:footnote w:id="564">
    <w:p w14:paraId="7BA0DB4E" w14:textId="2CE162AA" w:rsidR="0042789D" w:rsidRPr="00925455" w:rsidRDefault="0042789D" w:rsidP="00925455">
      <w:pPr>
        <w:pStyle w:val="Footnote"/>
        <w:rPr>
          <w:szCs w:val="20"/>
        </w:rPr>
      </w:pPr>
      <w:r w:rsidRPr="004A3983">
        <w:rPr>
          <w:rStyle w:val="FootnoteReference"/>
          <w:szCs w:val="20"/>
        </w:rPr>
        <w:footnoteRef/>
      </w:r>
      <w:r w:rsidRPr="004A3983">
        <w:rPr>
          <w:szCs w:val="20"/>
        </w:rPr>
        <w:t xml:space="preserve"> </w:t>
      </w:r>
      <w:r w:rsidRPr="004A3983">
        <w:t xml:space="preserve">Workforce Intelligence Unit, Human Resources Command, NSW Police Force, </w:t>
      </w:r>
      <w:r w:rsidRPr="004A3983">
        <w:rPr>
          <w:i/>
        </w:rPr>
        <w:t>HR Analysis: Child Protection Register Staffing Review</w:t>
      </w:r>
      <w:r w:rsidRPr="004A3983">
        <w:t>, 20 July 2017, D/2017/630614, NSW Police Force</w:t>
      </w:r>
      <w:r>
        <w:t xml:space="preserve"> response</w:t>
      </w:r>
      <w:r w:rsidRPr="00802C2E">
        <w:t xml:space="preserve"> to item 1 of </w:t>
      </w:r>
      <w:r>
        <w:t>Law Enforcement Conduct Commission Notice</w:t>
      </w:r>
      <w:r w:rsidRPr="00802C2E">
        <w:t xml:space="preserve"> 929 of 2017</w:t>
      </w:r>
      <w:r w:rsidRPr="00696B74">
        <w:rPr>
          <w:szCs w:val="20"/>
        </w:rPr>
        <w:t xml:space="preserve">. </w:t>
      </w:r>
      <w:r>
        <w:rPr>
          <w:szCs w:val="20"/>
        </w:rPr>
        <w:t>Fo</w:t>
      </w:r>
      <w:r w:rsidRPr="00925455">
        <w:rPr>
          <w:szCs w:val="20"/>
        </w:rPr>
        <w:t>r a discussion of this review see Chapter 5 section 5.4.2.</w:t>
      </w:r>
    </w:p>
  </w:footnote>
  <w:footnote w:id="565">
    <w:p w14:paraId="7D0E63B9" w14:textId="61C86AA6" w:rsidR="0042789D" w:rsidRPr="00696B74" w:rsidRDefault="0042789D" w:rsidP="00925455">
      <w:pPr>
        <w:pStyle w:val="FootnoteText"/>
        <w:spacing w:before="60" w:after="60"/>
      </w:pPr>
      <w:r w:rsidRPr="00925455">
        <w:rPr>
          <w:rStyle w:val="FootnoteReference"/>
        </w:rPr>
        <w:footnoteRef/>
      </w:r>
      <w:r w:rsidRPr="00925455">
        <w:t xml:space="preserve"> See Chapter </w:t>
      </w:r>
      <w:r w:rsidRPr="00925455">
        <w:fldChar w:fldCharType="begin"/>
      </w:r>
      <w:r w:rsidRPr="00925455">
        <w:instrText xml:space="preserve"> REF _Ref9430195 \r \h  \* MERGEFORMAT </w:instrText>
      </w:r>
      <w:r w:rsidRPr="00925455">
        <w:fldChar w:fldCharType="separate"/>
      </w:r>
      <w:r w:rsidR="00022664">
        <w:rPr>
          <w:rFonts w:hint="cs"/>
          <w:cs/>
        </w:rPr>
        <w:t>‎</w:t>
      </w:r>
      <w:r w:rsidR="00022664">
        <w:t>3</w:t>
      </w:r>
      <w:r w:rsidRPr="00925455">
        <w:fldChar w:fldCharType="end"/>
      </w:r>
      <w:r w:rsidRPr="00925455">
        <w:t xml:space="preserve"> section </w:t>
      </w:r>
      <w:r w:rsidRPr="00925455">
        <w:fldChar w:fldCharType="begin"/>
      </w:r>
      <w:r w:rsidRPr="00925455">
        <w:instrText xml:space="preserve"> REF _Ref10468538 \r \h </w:instrText>
      </w:r>
      <w:r>
        <w:instrText xml:space="preserve"> \* MERGEFORMAT </w:instrText>
      </w:r>
      <w:r w:rsidRPr="00925455">
        <w:fldChar w:fldCharType="separate"/>
      </w:r>
      <w:r w:rsidR="00022664">
        <w:rPr>
          <w:rFonts w:hint="cs"/>
          <w:cs/>
        </w:rPr>
        <w:t>‎</w:t>
      </w:r>
      <w:r w:rsidR="00022664">
        <w:t>3.3</w:t>
      </w:r>
      <w:r w:rsidRPr="00925455">
        <w:fldChar w:fldCharType="end"/>
      </w:r>
      <w:r w:rsidRPr="00925455">
        <w:t>.</w:t>
      </w:r>
    </w:p>
  </w:footnote>
  <w:footnote w:id="566">
    <w:p w14:paraId="1663B2EC" w14:textId="656A7E04" w:rsidR="0042789D" w:rsidRPr="00CB386B" w:rsidRDefault="0042789D" w:rsidP="00CB386B">
      <w:pPr>
        <w:spacing w:before="60" w:after="60" w:line="240" w:lineRule="auto"/>
        <w:rPr>
          <w:sz w:val="20"/>
        </w:rPr>
      </w:pPr>
      <w:r w:rsidRPr="00D511E7">
        <w:rPr>
          <w:rStyle w:val="FootnoteReference"/>
          <w:rFonts w:ascii="Gotham Book" w:hAnsi="Gotham Book"/>
          <w:sz w:val="20"/>
        </w:rPr>
        <w:footnoteRef/>
      </w:r>
      <w:r w:rsidRPr="00D511E7">
        <w:rPr>
          <w:rFonts w:ascii="Gotham Book" w:hAnsi="Gotham Book"/>
          <w:sz w:val="20"/>
        </w:rPr>
        <w:t xml:space="preserve"> </w:t>
      </w:r>
      <w:r>
        <w:rPr>
          <w:sz w:val="20"/>
        </w:rPr>
        <w:t>Workforce Intelligence</w:t>
      </w:r>
      <w:r w:rsidRPr="00802C2E">
        <w:rPr>
          <w:sz w:val="20"/>
        </w:rPr>
        <w:t xml:space="preserve"> Unit, </w:t>
      </w:r>
      <w:r>
        <w:rPr>
          <w:sz w:val="20"/>
        </w:rPr>
        <w:t>Human Resources Command, NSW Police Force,</w:t>
      </w:r>
      <w:r w:rsidRPr="00802C2E">
        <w:rPr>
          <w:sz w:val="20"/>
        </w:rPr>
        <w:t xml:space="preserve"> </w:t>
      </w:r>
      <w:r w:rsidRPr="00802C2E">
        <w:rPr>
          <w:i/>
          <w:sz w:val="20"/>
        </w:rPr>
        <w:t>HR Analysis: Child Protection Register Staffing Review</w:t>
      </w:r>
      <w:r w:rsidRPr="00802C2E">
        <w:rPr>
          <w:sz w:val="20"/>
        </w:rPr>
        <w:t xml:space="preserve">, 20 July 2017, D/2017/630614, </w:t>
      </w:r>
      <w:r>
        <w:rPr>
          <w:sz w:val="20"/>
        </w:rPr>
        <w:t>NSW Police Force response</w:t>
      </w:r>
      <w:r w:rsidRPr="00802C2E">
        <w:rPr>
          <w:sz w:val="20"/>
        </w:rPr>
        <w:t xml:space="preserve"> to item 1 of </w:t>
      </w:r>
      <w:r>
        <w:rPr>
          <w:sz w:val="20"/>
        </w:rPr>
        <w:t>Law Enforcement Conduct Commission Notice</w:t>
      </w:r>
      <w:r w:rsidRPr="00802C2E">
        <w:rPr>
          <w:sz w:val="20"/>
        </w:rPr>
        <w:t xml:space="preserve"> 929 of 2017</w:t>
      </w:r>
      <w:r>
        <w:rPr>
          <w:rFonts w:ascii="Gotham Book" w:hAnsi="Gotham Book"/>
          <w:sz w:val="20"/>
        </w:rPr>
        <w:t xml:space="preserve">, p 61 (Recommendation </w:t>
      </w:r>
      <w:r w:rsidRPr="00D511E7">
        <w:rPr>
          <w:rFonts w:ascii="Gotham Book" w:hAnsi="Gotham Book"/>
          <w:sz w:val="20"/>
        </w:rPr>
        <w:t>15)</w:t>
      </w:r>
      <w:r>
        <w:rPr>
          <w:rFonts w:ascii="Gotham Book" w:hAnsi="Gotham Book"/>
          <w:sz w:val="20"/>
        </w:rPr>
        <w:t>.</w:t>
      </w:r>
    </w:p>
  </w:footnote>
  <w:footnote w:id="567">
    <w:p w14:paraId="09D3B824" w14:textId="31BAEC62" w:rsidR="0042789D" w:rsidRPr="00CB386B" w:rsidRDefault="0042789D" w:rsidP="00CB386B">
      <w:pPr>
        <w:spacing w:before="60" w:after="60" w:line="240" w:lineRule="auto"/>
        <w:rPr>
          <w:sz w:val="20"/>
        </w:rPr>
      </w:pPr>
      <w:r w:rsidRPr="00D511E7">
        <w:rPr>
          <w:rStyle w:val="FootnoteReference"/>
          <w:rFonts w:ascii="Gotham Book" w:hAnsi="Gotham Book"/>
          <w:sz w:val="20"/>
        </w:rPr>
        <w:footnoteRef/>
      </w:r>
      <w:r w:rsidRPr="00D511E7">
        <w:rPr>
          <w:rFonts w:ascii="Gotham Book" w:hAnsi="Gotham Book"/>
          <w:sz w:val="20"/>
        </w:rPr>
        <w:t xml:space="preserve"> </w:t>
      </w:r>
      <w:r w:rsidRPr="00B73EB8">
        <w:rPr>
          <w:sz w:val="20"/>
        </w:rPr>
        <w:t>Governance, Risk &amp; Compliance,</w:t>
      </w:r>
      <w:r>
        <w:rPr>
          <w:sz w:val="20"/>
        </w:rPr>
        <w:t xml:space="preserve"> NSW Police Force,</w:t>
      </w:r>
      <w:r w:rsidRPr="00B73EB8">
        <w:rPr>
          <w:sz w:val="20"/>
        </w:rPr>
        <w:t xml:space="preserve"> </w:t>
      </w:r>
      <w:r w:rsidRPr="00291EC4">
        <w:rPr>
          <w:i/>
          <w:sz w:val="20"/>
        </w:rPr>
        <w:t>Child Protection Register – Governance and Accountability Arrangements for the NSW Police Force</w:t>
      </w:r>
      <w:r w:rsidRPr="00B73EB8">
        <w:rPr>
          <w:sz w:val="20"/>
        </w:rPr>
        <w:t xml:space="preserve">, 12 December 2018, D/2018/1013232, </w:t>
      </w:r>
      <w:r>
        <w:rPr>
          <w:sz w:val="20"/>
        </w:rPr>
        <w:t>NSW Police Force response to Law Enforcement Conduct Commission Notice 978 of 2018</w:t>
      </w:r>
      <w:r w:rsidRPr="00A32F12">
        <w:rPr>
          <w:sz w:val="20"/>
        </w:rPr>
        <w:t xml:space="preserve">, p </w:t>
      </w:r>
      <w:r w:rsidRPr="00C4544D">
        <w:rPr>
          <w:sz w:val="20"/>
        </w:rPr>
        <w:t>8</w:t>
      </w:r>
      <w:r w:rsidRPr="00C4544D">
        <w:rPr>
          <w:rFonts w:ascii="Gotham Book" w:hAnsi="Gotham Book"/>
          <w:sz w:val="20"/>
        </w:rPr>
        <w:t>.</w:t>
      </w:r>
    </w:p>
  </w:footnote>
  <w:footnote w:id="568">
    <w:p w14:paraId="1A4BFD98" w14:textId="20162737" w:rsidR="0042789D" w:rsidRDefault="0042789D" w:rsidP="00022C62">
      <w:pPr>
        <w:pStyle w:val="FootnoteText"/>
      </w:pPr>
      <w:r w:rsidRPr="00D511E7">
        <w:rPr>
          <w:rStyle w:val="FootnoteReference"/>
        </w:rPr>
        <w:footnoteRef/>
      </w:r>
      <w:r w:rsidRPr="00D511E7">
        <w:t xml:space="preserve"> NSW Police Force, </w:t>
      </w:r>
      <w:r w:rsidRPr="001E18E7">
        <w:rPr>
          <w:i/>
        </w:rPr>
        <w:t>NSW Police Force</w:t>
      </w:r>
      <w:r>
        <w:t xml:space="preserve"> </w:t>
      </w:r>
      <w:r>
        <w:rPr>
          <w:i/>
        </w:rPr>
        <w:t>r</w:t>
      </w:r>
      <w:r w:rsidRPr="00D511E7">
        <w:rPr>
          <w:i/>
        </w:rPr>
        <w:t>esponse to</w:t>
      </w:r>
      <w:r>
        <w:rPr>
          <w:i/>
        </w:rPr>
        <w:t xml:space="preserve"> the interim report of</w:t>
      </w:r>
      <w:r w:rsidRPr="00D511E7">
        <w:rPr>
          <w:i/>
        </w:rPr>
        <w:t xml:space="preserve"> Operation Tusket</w:t>
      </w:r>
      <w:r w:rsidRPr="00D511E7">
        <w:t>, 23 October 2018, F/2018/94374; D/2018/851674, p 2.</w:t>
      </w:r>
      <w:r>
        <w:t xml:space="preserve"> </w:t>
      </w:r>
    </w:p>
  </w:footnote>
  <w:footnote w:id="569">
    <w:p w14:paraId="704C72C1" w14:textId="74259EC5" w:rsidR="0042789D" w:rsidRPr="00620799" w:rsidRDefault="0042789D" w:rsidP="00022C62">
      <w:pPr>
        <w:pStyle w:val="FootnoteText"/>
        <w:rPr>
          <w:rFonts w:ascii="Gotham Book" w:hAnsi="Gotham Book"/>
        </w:rPr>
      </w:pPr>
      <w:r w:rsidRPr="00620799">
        <w:rPr>
          <w:rStyle w:val="FootnoteReference"/>
          <w:rFonts w:ascii="Gotham Book" w:hAnsi="Gotham Book"/>
        </w:rPr>
        <w:footnoteRef/>
      </w:r>
      <w:r w:rsidRPr="00620799">
        <w:rPr>
          <w:rFonts w:ascii="Gotham Book" w:hAnsi="Gotham Book"/>
        </w:rPr>
        <w:t xml:space="preserve"> </w:t>
      </w:r>
      <w:r>
        <w:t>Ibid.</w:t>
      </w:r>
    </w:p>
  </w:footnote>
  <w:footnote w:id="570">
    <w:p w14:paraId="3FDB3B57" w14:textId="53766CAE" w:rsidR="0042789D" w:rsidRPr="00620799" w:rsidRDefault="0042789D" w:rsidP="00022C62">
      <w:pPr>
        <w:pStyle w:val="FootnoteText"/>
        <w:rPr>
          <w:rFonts w:ascii="Gotham Book" w:hAnsi="Gotham Book"/>
        </w:rPr>
      </w:pPr>
      <w:r w:rsidRPr="00620799">
        <w:rPr>
          <w:rStyle w:val="FootnoteReference"/>
          <w:rFonts w:ascii="Gotham Book" w:hAnsi="Gotham Book"/>
        </w:rPr>
        <w:footnoteRef/>
      </w:r>
      <w:r w:rsidRPr="00620799">
        <w:rPr>
          <w:rFonts w:ascii="Gotham Book" w:hAnsi="Gotham Book"/>
        </w:rPr>
        <w:t xml:space="preserve"> </w:t>
      </w:r>
      <w:r>
        <w:t>Ibid</w:t>
      </w:r>
      <w:r w:rsidRPr="00620799">
        <w:t xml:space="preserve"> p 7.</w:t>
      </w:r>
    </w:p>
  </w:footnote>
  <w:footnote w:id="571">
    <w:p w14:paraId="7F2E417B" w14:textId="2737F6F8" w:rsidR="0042789D" w:rsidRPr="00B55E67" w:rsidRDefault="0042789D">
      <w:pPr>
        <w:pStyle w:val="FootnoteText"/>
      </w:pPr>
      <w:r w:rsidRPr="00B55E67">
        <w:rPr>
          <w:rStyle w:val="FootnoteReference"/>
        </w:rPr>
        <w:footnoteRef/>
      </w:r>
      <w:r w:rsidRPr="00B55E67">
        <w:t xml:space="preserve"> Letter from Commissioner of Police, </w:t>
      </w:r>
      <w:r>
        <w:t>NSW Police Force</w:t>
      </w:r>
      <w:r w:rsidRPr="00B55E67">
        <w:t xml:space="preserve">, to Chief Commissioner, </w:t>
      </w:r>
      <w:r>
        <w:t>Law Enforcement Conduct Commission</w:t>
      </w:r>
      <w:r w:rsidRPr="00B55E67">
        <w:t>, 30 September 2019</w:t>
      </w:r>
      <w:r>
        <w:t xml:space="preserve"> (Annexure B – Submissions on Proposed Recommendations).</w:t>
      </w:r>
    </w:p>
  </w:footnote>
  <w:footnote w:id="572">
    <w:p w14:paraId="00BE3008" w14:textId="0DF46428" w:rsidR="0042789D" w:rsidRDefault="0042789D" w:rsidP="0080755E">
      <w:pPr>
        <w:pStyle w:val="FootnoteText"/>
        <w:spacing w:before="60" w:after="60"/>
      </w:pPr>
      <w:r w:rsidRPr="0080755E">
        <w:rPr>
          <w:rStyle w:val="FootnoteReference"/>
        </w:rPr>
        <w:footnoteRef/>
      </w:r>
      <w:r w:rsidRPr="0080755E">
        <w:t xml:space="preserve"> </w:t>
      </w:r>
      <w:r>
        <w:t>Manager</w:t>
      </w:r>
      <w:r w:rsidRPr="00F2681C">
        <w:t>,</w:t>
      </w:r>
      <w:r>
        <w:t xml:space="preserve"> Child Protection Registry, NSW Police Force,</w:t>
      </w:r>
      <w:r w:rsidRPr="00F2681C">
        <w:t xml:space="preserve"> </w:t>
      </w:r>
      <w:r w:rsidRPr="00F2681C">
        <w:rPr>
          <w:i/>
        </w:rPr>
        <w:t>Management of the Child Protection Register in New South Wales: Michael O’Brien Scholarship 2017</w:t>
      </w:r>
      <w:r w:rsidRPr="00F2681C">
        <w:t xml:space="preserve"> (2018)</w:t>
      </w:r>
      <w:r>
        <w:t>, NSW Police Force response to item 1 of Law Enforcement Conduct Commission Notice 929 of 2018</w:t>
      </w:r>
      <w:r w:rsidRPr="00620799">
        <w:rPr>
          <w:rFonts w:ascii="Gotham Book" w:hAnsi="Gotham Book"/>
        </w:rPr>
        <w:t>, p 12</w:t>
      </w:r>
      <w:r>
        <w:rPr>
          <w:rFonts w:ascii="Gotham Book" w:hAnsi="Gotham Book"/>
        </w:rPr>
        <w:t>.</w:t>
      </w:r>
    </w:p>
  </w:footnote>
  <w:footnote w:id="573">
    <w:p w14:paraId="12CB5DCB" w14:textId="7587C5C3" w:rsidR="0042789D" w:rsidRPr="00606E0E" w:rsidRDefault="0042789D" w:rsidP="0080755E">
      <w:pPr>
        <w:pStyle w:val="FootnoteText"/>
        <w:spacing w:before="60" w:after="60"/>
      </w:pPr>
      <w:r w:rsidRPr="008E417C">
        <w:rPr>
          <w:rStyle w:val="FootnoteReference"/>
        </w:rPr>
        <w:footnoteRef/>
      </w:r>
      <w:r w:rsidRPr="008E417C">
        <w:t xml:space="preserve"> </w:t>
      </w:r>
      <w:r>
        <w:t xml:space="preserve">See the discussion in Chapter 2 sections </w:t>
      </w:r>
      <w:r w:rsidRPr="00606E0E">
        <w:fldChar w:fldCharType="begin"/>
      </w:r>
      <w:r w:rsidRPr="00606E0E">
        <w:instrText xml:space="preserve"> REF _Ref9866644 \r \h  \* MERGEFORMAT </w:instrText>
      </w:r>
      <w:r w:rsidRPr="00606E0E">
        <w:fldChar w:fldCharType="separate"/>
      </w:r>
      <w:r w:rsidR="00022664">
        <w:rPr>
          <w:rFonts w:hint="cs"/>
          <w:cs/>
        </w:rPr>
        <w:t>‎</w:t>
      </w:r>
      <w:r w:rsidR="00022664">
        <w:t>2.5</w:t>
      </w:r>
      <w:r w:rsidRPr="00606E0E">
        <w:fldChar w:fldCharType="end"/>
      </w:r>
      <w:r w:rsidRPr="00606E0E">
        <w:t xml:space="preserve"> and </w:t>
      </w:r>
      <w:r w:rsidRPr="00606E0E">
        <w:fldChar w:fldCharType="begin"/>
      </w:r>
      <w:r w:rsidRPr="00606E0E">
        <w:instrText xml:space="preserve"> REF _Ref9866645 \r \h  \* MERGEFORMAT </w:instrText>
      </w:r>
      <w:r w:rsidRPr="00606E0E">
        <w:fldChar w:fldCharType="separate"/>
      </w:r>
      <w:r w:rsidR="00022664">
        <w:rPr>
          <w:rFonts w:hint="cs"/>
          <w:cs/>
        </w:rPr>
        <w:t>‎</w:t>
      </w:r>
      <w:r w:rsidR="00022664">
        <w:t>2.6</w:t>
      </w:r>
      <w:r w:rsidRPr="00606E0E">
        <w:fldChar w:fldCharType="end"/>
      </w:r>
      <w:r w:rsidRPr="00606E0E">
        <w:rPr>
          <w:rFonts w:ascii="Gotham Book" w:hAnsi="Gotham Book"/>
        </w:rPr>
        <w:t>.</w:t>
      </w:r>
    </w:p>
  </w:footnote>
  <w:footnote w:id="574">
    <w:p w14:paraId="6F4FB51E" w14:textId="352595F8" w:rsidR="0042789D" w:rsidRDefault="0042789D" w:rsidP="0080755E">
      <w:pPr>
        <w:pStyle w:val="FootnoteText"/>
        <w:spacing w:before="60" w:after="60"/>
      </w:pPr>
      <w:r w:rsidRPr="00606E0E">
        <w:rPr>
          <w:rStyle w:val="FootnoteReference"/>
        </w:rPr>
        <w:footnoteRef/>
      </w:r>
      <w:r w:rsidRPr="00606E0E">
        <w:t xml:space="preserve"> Governance, Risk &amp; Compliance, NSW Police Force, </w:t>
      </w:r>
      <w:r w:rsidRPr="00606E0E">
        <w:rPr>
          <w:i/>
        </w:rPr>
        <w:t>Child</w:t>
      </w:r>
      <w:r w:rsidRPr="00291EC4">
        <w:rPr>
          <w:i/>
        </w:rPr>
        <w:t xml:space="preserve"> Protection Register – Governance and Accountability Arrangements for the NSW Police Force</w:t>
      </w:r>
      <w:r w:rsidRPr="00B73EB8">
        <w:t xml:space="preserve">, 12 December 2018, D/2018/1013232, </w:t>
      </w:r>
      <w:r>
        <w:t>NSW Police Force response to Law Enforcement Conduct Commission Notice 978 of 2018</w:t>
      </w:r>
      <w:r w:rsidRPr="008E417C">
        <w:rPr>
          <w:rFonts w:ascii="Gotham Book" w:hAnsi="Gotham Book"/>
        </w:rPr>
        <w:t>, p</w:t>
      </w:r>
      <w:r w:rsidRPr="008E417C">
        <w:t xml:space="preserve"> 4. </w:t>
      </w:r>
    </w:p>
  </w:footnote>
  <w:footnote w:id="575">
    <w:p w14:paraId="39F53C4A" w14:textId="0CF4BAA3" w:rsidR="0042789D" w:rsidRPr="004A3983" w:rsidRDefault="0042789D" w:rsidP="00AD0719">
      <w:pPr>
        <w:pStyle w:val="FootnoteText"/>
      </w:pPr>
      <w:r w:rsidRPr="004A3983">
        <w:rPr>
          <w:rStyle w:val="FootnoteReference"/>
        </w:rPr>
        <w:footnoteRef/>
      </w:r>
      <w:r w:rsidRPr="004A3983">
        <w:t xml:space="preserve"> Letter from Commissioner of Police, NSW Police Force, to Chief Commissioner, Law Enforcement Conduct Commission, 30 September 2019, p 2.</w:t>
      </w:r>
    </w:p>
  </w:footnote>
  <w:footnote w:id="576">
    <w:p w14:paraId="68232B77" w14:textId="55640731" w:rsidR="0042789D" w:rsidRPr="004A3983" w:rsidRDefault="0042789D">
      <w:pPr>
        <w:pStyle w:val="FootnoteText"/>
      </w:pPr>
      <w:r w:rsidRPr="004A3983">
        <w:rPr>
          <w:rStyle w:val="FootnoteReference"/>
        </w:rPr>
        <w:footnoteRef/>
      </w:r>
      <w:r w:rsidRPr="004A3983">
        <w:t xml:space="preserve"> </w:t>
      </w:r>
      <w:r w:rsidRPr="004A3983">
        <w:rPr>
          <w:rFonts w:ascii="Gotham Book" w:hAnsi="Gotham Book" w:cs="Arial"/>
        </w:rPr>
        <w:t>See further the discussion in Chapter 5 section 5.6.</w:t>
      </w:r>
    </w:p>
  </w:footnote>
  <w:footnote w:id="577">
    <w:p w14:paraId="208A6B0A" w14:textId="77777777" w:rsidR="0042789D" w:rsidRPr="00EE2F42" w:rsidRDefault="0042789D" w:rsidP="00701070">
      <w:pPr>
        <w:spacing w:before="60" w:after="60" w:line="240" w:lineRule="auto"/>
        <w:rPr>
          <w:sz w:val="20"/>
          <w:szCs w:val="20"/>
        </w:rPr>
      </w:pPr>
      <w:r w:rsidRPr="004A3983">
        <w:rPr>
          <w:rStyle w:val="FootnoteReference"/>
          <w:sz w:val="20"/>
          <w:szCs w:val="20"/>
        </w:rPr>
        <w:footnoteRef/>
      </w:r>
      <w:r w:rsidRPr="004A3983">
        <w:rPr>
          <w:sz w:val="20"/>
          <w:szCs w:val="20"/>
        </w:rPr>
        <w:t xml:space="preserve"> NSW Police Force, </w:t>
      </w:r>
      <w:r w:rsidRPr="004A3983">
        <w:rPr>
          <w:i/>
          <w:sz w:val="20"/>
          <w:szCs w:val="20"/>
        </w:rPr>
        <w:t>Annual Report 2011-12</w:t>
      </w:r>
      <w:r w:rsidRPr="004A3983">
        <w:rPr>
          <w:sz w:val="20"/>
          <w:szCs w:val="20"/>
        </w:rPr>
        <w:t>, p 13, &lt;</w:t>
      </w:r>
      <w:hyperlink r:id="rId8" w:history="1">
        <w:r w:rsidRPr="004A3983">
          <w:rPr>
            <w:rStyle w:val="Hyperlink"/>
            <w:color w:val="auto"/>
            <w:sz w:val="20"/>
            <w:szCs w:val="20"/>
            <w:u w:val="none"/>
          </w:rPr>
          <w:t>https://www.police.nsw.gov.au/__data/assets/pdf_file/0020/250148/2011-12_NSW_Police_Force_Annual_Report.pdf</w:t>
        </w:r>
      </w:hyperlink>
      <w:r w:rsidRPr="004A3983">
        <w:rPr>
          <w:sz w:val="20"/>
          <w:szCs w:val="20"/>
        </w:rPr>
        <w:t>&gt;.</w:t>
      </w:r>
      <w:r w:rsidRPr="002210A5">
        <w:rPr>
          <w:sz w:val="20"/>
          <w:szCs w:val="20"/>
        </w:rPr>
        <w:t xml:space="preserve"> </w:t>
      </w:r>
    </w:p>
  </w:footnote>
  <w:footnote w:id="578">
    <w:p w14:paraId="4F770A21" w14:textId="273CEFD3" w:rsidR="0042789D" w:rsidRPr="00E925B1" w:rsidRDefault="0042789D">
      <w:pPr>
        <w:pStyle w:val="FootnoteText"/>
      </w:pPr>
      <w:r w:rsidRPr="00D24479">
        <w:rPr>
          <w:rStyle w:val="FootnoteReference"/>
        </w:rPr>
        <w:footnoteRef/>
      </w:r>
      <w:r w:rsidRPr="00D24479">
        <w:t xml:space="preserve"> </w:t>
      </w:r>
      <w:r>
        <w:t>Ibid.</w:t>
      </w:r>
    </w:p>
  </w:footnote>
  <w:footnote w:id="579">
    <w:p w14:paraId="55502B0B" w14:textId="1C546586" w:rsidR="0042789D" w:rsidRPr="00773480" w:rsidRDefault="0042789D" w:rsidP="0080755E">
      <w:pPr>
        <w:pStyle w:val="FootnoteText"/>
        <w:spacing w:before="60" w:after="60"/>
      </w:pPr>
      <w:r w:rsidRPr="00773480">
        <w:rPr>
          <w:rStyle w:val="FootnoteReference"/>
        </w:rPr>
        <w:footnoteRef/>
      </w:r>
      <w:r w:rsidRPr="00773480">
        <w:t xml:space="preserve"> </w:t>
      </w:r>
      <w:r>
        <w:t>These issues were identified at the</w:t>
      </w:r>
      <w:r w:rsidRPr="00773480">
        <w:rPr>
          <w:rFonts w:ascii="Gotham Book" w:eastAsia="Source Sans Pro Light" w:hAnsi="Gotham Book" w:cs="Helvetica"/>
          <w:color w:val="333333"/>
          <w:lang w:val="en"/>
        </w:rPr>
        <w:t xml:space="preserve"> </w:t>
      </w:r>
      <w:r w:rsidRPr="00F37882">
        <w:rPr>
          <w:rFonts w:ascii="Gotham Book" w:eastAsia="Source Sans Pro Light" w:hAnsi="Gotham Book" w:cs="Helvetica"/>
          <w:lang w:val="en"/>
        </w:rPr>
        <w:t xml:space="preserve">‘Sexual Violence COMPASS Forum’ in February 2015: </w:t>
      </w:r>
      <w:r w:rsidRPr="00B73EB8">
        <w:t>Governance, Risk &amp; Compliance,</w:t>
      </w:r>
      <w:r>
        <w:t xml:space="preserve"> NSW Police Force,</w:t>
      </w:r>
      <w:r w:rsidRPr="00B73EB8">
        <w:t xml:space="preserve"> </w:t>
      </w:r>
      <w:r w:rsidRPr="00291EC4">
        <w:rPr>
          <w:i/>
        </w:rPr>
        <w:t>Child Protection Register – Governance and Accountability Arrangements for the NSW Police Force</w:t>
      </w:r>
      <w:r w:rsidRPr="00B73EB8">
        <w:t xml:space="preserve">, 12 December 2018, D/2018/1013232, </w:t>
      </w:r>
      <w:r>
        <w:t>NSW Police Force response to Law Enforcement Conduct Commission Notice 978 of 2018</w:t>
      </w:r>
      <w:r w:rsidRPr="00773480">
        <w:rPr>
          <w:rFonts w:ascii="Gotham Book" w:hAnsi="Gotham Book"/>
        </w:rPr>
        <w:t>, p</w:t>
      </w:r>
      <w:r w:rsidRPr="00773480">
        <w:t xml:space="preserve"> 4.</w:t>
      </w:r>
      <w:r>
        <w:t xml:space="preserve"> </w:t>
      </w:r>
    </w:p>
  </w:footnote>
  <w:footnote w:id="580">
    <w:p w14:paraId="4038E20C" w14:textId="3D8AEDAB" w:rsidR="0042789D" w:rsidRPr="00EE2F42" w:rsidRDefault="0042789D" w:rsidP="00EE2F42">
      <w:pPr>
        <w:pStyle w:val="FootnoteText"/>
        <w:spacing w:before="60" w:after="60"/>
      </w:pPr>
      <w:r w:rsidRPr="00EE2F42">
        <w:rPr>
          <w:rStyle w:val="FootnoteReference"/>
        </w:rPr>
        <w:footnoteRef/>
      </w:r>
      <w:r w:rsidRPr="00EE2F42">
        <w:t xml:space="preserve"> Governance, Risk &amp; Compliance, </w:t>
      </w:r>
      <w:r>
        <w:t>NSW Police Force</w:t>
      </w:r>
      <w:r w:rsidRPr="00EE2F42">
        <w:t xml:space="preserve">, </w:t>
      </w:r>
      <w:r w:rsidRPr="00EE2F42">
        <w:rPr>
          <w:i/>
        </w:rPr>
        <w:t>Child Protection Register – Governance and Accountability Arrangements for the NSW Police Force</w:t>
      </w:r>
      <w:r w:rsidRPr="00EE2F42">
        <w:t xml:space="preserve">, 12 December 2018, D/2018/1013232, </w:t>
      </w:r>
      <w:r>
        <w:t>NSW Police Force response</w:t>
      </w:r>
      <w:r w:rsidRPr="00EE2F42">
        <w:t xml:space="preserve"> to </w:t>
      </w:r>
      <w:r>
        <w:t>Law Enforcement Conduct Commission Notice</w:t>
      </w:r>
      <w:r w:rsidRPr="00EE2F42">
        <w:t xml:space="preserve"> 978 of 2018</w:t>
      </w:r>
      <w:r w:rsidRPr="00EE2F42">
        <w:rPr>
          <w:rFonts w:ascii="Gotham Book" w:hAnsi="Gotham Book"/>
        </w:rPr>
        <w:t>, p 4.</w:t>
      </w:r>
    </w:p>
  </w:footnote>
  <w:footnote w:id="581">
    <w:p w14:paraId="58D8C821" w14:textId="3062AB93" w:rsidR="0042789D" w:rsidRPr="00D75836" w:rsidRDefault="0042789D" w:rsidP="00EE2F42">
      <w:pPr>
        <w:pStyle w:val="FootnoteText"/>
        <w:spacing w:before="60" w:after="60"/>
      </w:pPr>
      <w:r w:rsidRPr="00D75836">
        <w:rPr>
          <w:rStyle w:val="FootnoteReference"/>
        </w:rPr>
        <w:footnoteRef/>
      </w:r>
      <w:r w:rsidRPr="00D75836">
        <w:t xml:space="preserve"> </w:t>
      </w:r>
      <w:r>
        <w:t xml:space="preserve">Ibid </w:t>
      </w:r>
      <w:r w:rsidRPr="00D75836">
        <w:rPr>
          <w:rFonts w:ascii="Gotham Book" w:hAnsi="Gotham Book"/>
        </w:rPr>
        <w:t>p 5.</w:t>
      </w:r>
    </w:p>
  </w:footnote>
  <w:footnote w:id="582">
    <w:p w14:paraId="2F74A4AC" w14:textId="60F2DE48" w:rsidR="0042789D" w:rsidRPr="00D75836" w:rsidRDefault="0042789D" w:rsidP="00EE2F42">
      <w:pPr>
        <w:pStyle w:val="FootnoteText"/>
        <w:spacing w:before="60" w:after="60"/>
      </w:pPr>
      <w:r w:rsidRPr="00D75836">
        <w:rPr>
          <w:rStyle w:val="FootnoteReference"/>
        </w:rPr>
        <w:footnoteRef/>
      </w:r>
      <w:r w:rsidRPr="00D75836">
        <w:t xml:space="preserve"> </w:t>
      </w:r>
      <w:r>
        <w:t>Manager</w:t>
      </w:r>
      <w:r w:rsidRPr="00F2681C">
        <w:t>,</w:t>
      </w:r>
      <w:r>
        <w:t xml:space="preserve"> Child Protection Registry, NSW Police Force,</w:t>
      </w:r>
      <w:r w:rsidRPr="00F2681C">
        <w:t xml:space="preserve"> </w:t>
      </w:r>
      <w:r w:rsidRPr="00F2681C">
        <w:rPr>
          <w:i/>
        </w:rPr>
        <w:t>Management of the Child Protection Register in New South Wales: Michael O’Brien Scholarship 2017</w:t>
      </w:r>
      <w:r w:rsidRPr="00F2681C">
        <w:t xml:space="preserve"> (2018)</w:t>
      </w:r>
      <w:r>
        <w:t>, NSW Police Force response to item 1 of Law Enforcement Conduct Commission Notice 929 of 2018</w:t>
      </w:r>
      <w:r w:rsidRPr="00D75836">
        <w:rPr>
          <w:rFonts w:ascii="Gotham Book" w:hAnsi="Gotham Book"/>
        </w:rPr>
        <w:t>, p 11.</w:t>
      </w:r>
    </w:p>
  </w:footnote>
  <w:footnote w:id="583">
    <w:p w14:paraId="156A6A10" w14:textId="08E41003" w:rsidR="0042789D" w:rsidRPr="00D75836" w:rsidRDefault="0042789D" w:rsidP="00EE2F42">
      <w:pPr>
        <w:pStyle w:val="FootnoteText"/>
        <w:spacing w:before="60" w:after="60"/>
      </w:pPr>
      <w:r w:rsidRPr="00D75836">
        <w:rPr>
          <w:rStyle w:val="FootnoteReference"/>
        </w:rPr>
        <w:footnoteRef/>
      </w:r>
      <w:r w:rsidRPr="00D75836">
        <w:t xml:space="preserve"> </w:t>
      </w:r>
      <w:r w:rsidRPr="00382C18">
        <w:t xml:space="preserve">The Workforce Intelligence Unit of the NSW Police Force established in its Register Staffing Review in 2017 that due to the under-resourcing of the Registry, Registry officers were struggling to manage the volume of administrative work required to administer the Register, which was pulling sergeants away from other duties:  Workforce Intelligence Unit, Human Resources Command, </w:t>
      </w:r>
      <w:r>
        <w:t>NSW Police Force</w:t>
      </w:r>
      <w:r w:rsidRPr="00382C18">
        <w:t xml:space="preserve">, </w:t>
      </w:r>
      <w:r w:rsidRPr="00382C18">
        <w:rPr>
          <w:i/>
        </w:rPr>
        <w:t>HR Analysis: Child Protection Register Staffing Review</w:t>
      </w:r>
      <w:r w:rsidRPr="00382C18">
        <w:t xml:space="preserve">, 20 July 2017, D/2017/630614, </w:t>
      </w:r>
      <w:r>
        <w:t>NSW Police Force response</w:t>
      </w:r>
      <w:r w:rsidRPr="00382C18">
        <w:t xml:space="preserve"> to item 1 of </w:t>
      </w:r>
      <w:r>
        <w:t>Law Enforcement Conduct Commission Notice</w:t>
      </w:r>
      <w:r w:rsidRPr="00382C18">
        <w:t xml:space="preserve"> 929 of 2017</w:t>
      </w:r>
      <w:r w:rsidRPr="00382C18">
        <w:rPr>
          <w:rFonts w:ascii="Gotham Book" w:hAnsi="Gotham Book"/>
        </w:rPr>
        <w:t>, p 5.</w:t>
      </w:r>
    </w:p>
  </w:footnote>
  <w:footnote w:id="584">
    <w:p w14:paraId="77AFBC72" w14:textId="2DD565B1" w:rsidR="0042789D" w:rsidRPr="00D75836" w:rsidRDefault="0042789D" w:rsidP="00EE2F42">
      <w:pPr>
        <w:pStyle w:val="FootnoteText"/>
        <w:spacing w:before="60" w:after="60"/>
      </w:pPr>
      <w:r w:rsidRPr="00D75836">
        <w:rPr>
          <w:rStyle w:val="FootnoteReference"/>
        </w:rPr>
        <w:footnoteRef/>
      </w:r>
      <w:r w:rsidRPr="00D75836">
        <w:t xml:space="preserve"> </w:t>
      </w:r>
      <w:r>
        <w:t>Manager</w:t>
      </w:r>
      <w:r w:rsidRPr="00F2681C">
        <w:t>,</w:t>
      </w:r>
      <w:r>
        <w:t xml:space="preserve"> Child Protection Registry, NSW Police Force,</w:t>
      </w:r>
      <w:r w:rsidRPr="00F2681C">
        <w:t xml:space="preserve"> </w:t>
      </w:r>
      <w:r w:rsidRPr="00F2681C">
        <w:rPr>
          <w:i/>
        </w:rPr>
        <w:t>Management of the Child Protection Register in New South Wales: Michael O’Brien Scholarship 2017</w:t>
      </w:r>
      <w:r w:rsidRPr="00F2681C">
        <w:t xml:space="preserve"> (2018)</w:t>
      </w:r>
      <w:r>
        <w:t>, NSW Police Force response to item 1 of Law Enforcement Conduct Commission Notice 929 of 2018</w:t>
      </w:r>
      <w:r w:rsidRPr="00D75836">
        <w:rPr>
          <w:rFonts w:ascii="Gotham Book" w:hAnsi="Gotham Book"/>
        </w:rPr>
        <w:t>, p 11.</w:t>
      </w:r>
    </w:p>
  </w:footnote>
  <w:footnote w:id="585">
    <w:p w14:paraId="7F901F48" w14:textId="346F9BBC" w:rsidR="0042789D" w:rsidRPr="00773480" w:rsidRDefault="0042789D" w:rsidP="00EE2F42">
      <w:pPr>
        <w:pStyle w:val="FootnoteText"/>
        <w:spacing w:before="60" w:after="60"/>
      </w:pPr>
      <w:r w:rsidRPr="00D75836">
        <w:rPr>
          <w:rStyle w:val="FootnoteReference"/>
        </w:rPr>
        <w:footnoteRef/>
      </w:r>
      <w:r w:rsidRPr="00D75836">
        <w:t xml:space="preserve"> </w:t>
      </w:r>
      <w:r w:rsidRPr="00B73EB8">
        <w:t>Governance, Risk &amp; Compliance,</w:t>
      </w:r>
      <w:r>
        <w:t xml:space="preserve"> NSW Police Force,</w:t>
      </w:r>
      <w:r w:rsidRPr="00B73EB8">
        <w:t xml:space="preserve"> </w:t>
      </w:r>
      <w:r w:rsidRPr="00291EC4">
        <w:rPr>
          <w:i/>
        </w:rPr>
        <w:t>Child Protection Register – Governance and Accountability Arrangements for the NSW Police Force</w:t>
      </w:r>
      <w:r w:rsidRPr="00B73EB8">
        <w:t xml:space="preserve">, 12 December 2018, D/2018/1013232, </w:t>
      </w:r>
      <w:r>
        <w:t>NSW Police Force response to Law Enforcement Conduct Commission Notice 978 of 2018</w:t>
      </w:r>
      <w:r w:rsidRPr="00D75836">
        <w:rPr>
          <w:rFonts w:ascii="Gotham Book" w:hAnsi="Gotham Book"/>
        </w:rPr>
        <w:t>, p 5.</w:t>
      </w:r>
    </w:p>
  </w:footnote>
  <w:footnote w:id="586">
    <w:p w14:paraId="5D317FA9" w14:textId="42101DE0" w:rsidR="0042789D" w:rsidRPr="00BD2E3B" w:rsidRDefault="0042789D" w:rsidP="00BD2E3B">
      <w:pPr>
        <w:pStyle w:val="FootnoteText"/>
        <w:spacing w:before="60" w:after="60"/>
      </w:pPr>
      <w:r w:rsidRPr="00BD2E3B">
        <w:rPr>
          <w:rStyle w:val="FootnoteReference"/>
        </w:rPr>
        <w:footnoteRef/>
      </w:r>
      <w:r w:rsidRPr="00BD2E3B">
        <w:t xml:space="preserve"> Manager, Child Protection Registry,</w:t>
      </w:r>
      <w:r>
        <w:t xml:space="preserve"> NSW Police Force,</w:t>
      </w:r>
      <w:r w:rsidRPr="00BD2E3B">
        <w:t xml:space="preserve"> </w:t>
      </w:r>
      <w:r w:rsidRPr="00BD2E3B">
        <w:rPr>
          <w:i/>
        </w:rPr>
        <w:t>Management of the Child Protection Register in New South Wales: Michael O’Brien Scholarship 2017</w:t>
      </w:r>
      <w:r w:rsidRPr="00BD2E3B">
        <w:t xml:space="preserve"> (2018), </w:t>
      </w:r>
      <w:r>
        <w:t>NSW Police Force response</w:t>
      </w:r>
      <w:r w:rsidRPr="00BD2E3B">
        <w:t xml:space="preserve"> to item 1 of </w:t>
      </w:r>
      <w:r>
        <w:t>Law Enforcement Conduct Commission Notice</w:t>
      </w:r>
      <w:r w:rsidRPr="00BD2E3B">
        <w:t xml:space="preserve"> 929 of 2018, pp 10-12 and see generally. </w:t>
      </w:r>
    </w:p>
  </w:footnote>
  <w:footnote w:id="587">
    <w:p w14:paraId="570B40BF" w14:textId="4C8FC40D" w:rsidR="0042789D" w:rsidRPr="00BD2E3B" w:rsidRDefault="0042789D" w:rsidP="00BD2E3B">
      <w:pPr>
        <w:pStyle w:val="FootnoteText"/>
        <w:spacing w:before="60" w:after="60"/>
      </w:pPr>
      <w:r w:rsidRPr="00BD2E3B">
        <w:rPr>
          <w:rStyle w:val="FootnoteReference"/>
        </w:rPr>
        <w:footnoteRef/>
      </w:r>
      <w:r w:rsidRPr="00BD2E3B">
        <w:t xml:space="preserve"> </w:t>
      </w:r>
      <w:r>
        <w:t>Ibid</w:t>
      </w:r>
      <w:r w:rsidRPr="00BD2E3B">
        <w:t xml:space="preserve"> p 88.</w:t>
      </w:r>
    </w:p>
  </w:footnote>
  <w:footnote w:id="588">
    <w:p w14:paraId="52D449F0" w14:textId="55364B4F" w:rsidR="0042789D" w:rsidRPr="00BD2E3B" w:rsidRDefault="0042789D" w:rsidP="00BD2E3B">
      <w:pPr>
        <w:pStyle w:val="FootnoteText"/>
        <w:spacing w:before="60" w:after="60"/>
      </w:pPr>
      <w:r w:rsidRPr="00BD2E3B">
        <w:rPr>
          <w:rStyle w:val="FootnoteReference"/>
        </w:rPr>
        <w:footnoteRef/>
      </w:r>
      <w:r w:rsidRPr="00BD2E3B">
        <w:t xml:space="preserve"> </w:t>
      </w:r>
      <w:r>
        <w:t>Ibid</w:t>
      </w:r>
      <w:r w:rsidRPr="00BD2E3B">
        <w:t>.</w:t>
      </w:r>
    </w:p>
  </w:footnote>
  <w:footnote w:id="589">
    <w:p w14:paraId="76D23F0A" w14:textId="7D9FF8F5" w:rsidR="0042789D" w:rsidRDefault="0042789D" w:rsidP="00BD2E3B">
      <w:pPr>
        <w:pStyle w:val="FootnoteText"/>
        <w:spacing w:before="60" w:after="60"/>
      </w:pPr>
      <w:r w:rsidRPr="00BD2E3B">
        <w:rPr>
          <w:rStyle w:val="FootnoteReference"/>
        </w:rPr>
        <w:footnoteRef/>
      </w:r>
      <w:r w:rsidRPr="00BD2E3B">
        <w:t xml:space="preserve"> </w:t>
      </w:r>
      <w:r>
        <w:t>Ibid</w:t>
      </w:r>
      <w:r w:rsidRPr="00BD2E3B">
        <w:t xml:space="preserve"> pp 10-12, and see the discussion on p 32 of the benefits of undertaking a case review in circumstances where a registered </w:t>
      </w:r>
      <w:r>
        <w:t>person</w:t>
      </w:r>
      <w:r w:rsidRPr="00BD2E3B">
        <w:t xml:space="preserve"> commits a further registrable offence such as a sexual assault.</w:t>
      </w:r>
    </w:p>
  </w:footnote>
  <w:footnote w:id="590">
    <w:p w14:paraId="1B62E205" w14:textId="458D7788" w:rsidR="0042789D" w:rsidRPr="0083178B" w:rsidRDefault="0042789D">
      <w:pPr>
        <w:pStyle w:val="FootnoteText"/>
      </w:pPr>
      <w:r w:rsidRPr="0083178B">
        <w:rPr>
          <w:rStyle w:val="FootnoteReference"/>
        </w:rPr>
        <w:footnoteRef/>
      </w:r>
      <w:r w:rsidRPr="0083178B">
        <w:t xml:space="preserve"> Letter from Commissioner of Police, </w:t>
      </w:r>
      <w:r>
        <w:t>NSW Police Force</w:t>
      </w:r>
      <w:r w:rsidRPr="0083178B">
        <w:t>, to Chief Commis</w:t>
      </w:r>
      <w:r>
        <w:t>sioner, Law Enforcement Conduct Commission, 30 September 2019</w:t>
      </w:r>
      <w:r w:rsidRPr="0083178B">
        <w:t xml:space="preserve"> </w:t>
      </w:r>
      <w:r>
        <w:t>(</w:t>
      </w:r>
      <w:r w:rsidRPr="0083178B">
        <w:t>Annexure B – Submissions on Proposed Recommendations</w:t>
      </w:r>
      <w:r>
        <w:t>)</w:t>
      </w:r>
      <w:r w:rsidRPr="0083178B">
        <w:t>.</w:t>
      </w:r>
    </w:p>
  </w:footnote>
  <w:footnote w:id="591">
    <w:p w14:paraId="7CC054E4" w14:textId="30B5D482" w:rsidR="0042789D" w:rsidRPr="006456F1" w:rsidRDefault="0042789D" w:rsidP="005338BC">
      <w:pPr>
        <w:pStyle w:val="FootnoteText"/>
        <w:spacing w:before="60" w:after="60"/>
      </w:pPr>
      <w:r w:rsidRPr="006456F1">
        <w:rPr>
          <w:rStyle w:val="FootnoteReference"/>
        </w:rPr>
        <w:footnoteRef/>
      </w:r>
      <w:r>
        <w:t xml:space="preserve"> </w:t>
      </w:r>
      <w:r w:rsidRPr="006456F1">
        <w:t>Ombudsman</w:t>
      </w:r>
      <w:r>
        <w:t xml:space="preserve"> Victoria</w:t>
      </w:r>
      <w:r w:rsidRPr="006456F1">
        <w:t xml:space="preserve">, </w:t>
      </w:r>
      <w:r w:rsidRPr="006456F1">
        <w:rPr>
          <w:rFonts w:ascii="Gotham Book" w:hAnsi="Gotham Book"/>
          <w:i/>
        </w:rPr>
        <w:t>Whis</w:t>
      </w:r>
      <w:r>
        <w:rPr>
          <w:rFonts w:ascii="Gotham Book" w:hAnsi="Gotham Book"/>
          <w:i/>
        </w:rPr>
        <w:t>tleblowers Protection Act 2001: Investigation into the failure of a</w:t>
      </w:r>
      <w:r w:rsidRPr="006456F1">
        <w:rPr>
          <w:rFonts w:ascii="Gotham Book" w:hAnsi="Gotham Book"/>
          <w:i/>
        </w:rPr>
        <w:t>gencies to manage registered sex offenders</w:t>
      </w:r>
      <w:r>
        <w:rPr>
          <w:rFonts w:ascii="Gotham Book" w:hAnsi="Gotham Book"/>
        </w:rPr>
        <w:t xml:space="preserve"> (</w:t>
      </w:r>
      <w:r w:rsidRPr="006456F1">
        <w:rPr>
          <w:rFonts w:ascii="Gotham Book" w:hAnsi="Gotham Book"/>
        </w:rPr>
        <w:t>2011</w:t>
      </w:r>
      <w:r>
        <w:rPr>
          <w:rFonts w:ascii="Gotham Book" w:hAnsi="Gotham Book"/>
        </w:rPr>
        <w:t>)</w:t>
      </w:r>
      <w:r w:rsidRPr="006456F1">
        <w:rPr>
          <w:rFonts w:ascii="Gotham Book" w:hAnsi="Gotham Book"/>
        </w:rPr>
        <w:t xml:space="preserve"> </w:t>
      </w:r>
      <w:r w:rsidRPr="006456F1">
        <w:t>p 7</w:t>
      </w:r>
      <w:r>
        <w:t>.</w:t>
      </w:r>
    </w:p>
  </w:footnote>
  <w:footnote w:id="592">
    <w:p w14:paraId="7985AFA0" w14:textId="7218985B" w:rsidR="0042789D" w:rsidRPr="006456F1" w:rsidRDefault="0042789D" w:rsidP="005338BC">
      <w:pPr>
        <w:pStyle w:val="FootnoteText"/>
        <w:spacing w:before="60" w:after="60"/>
      </w:pPr>
      <w:r w:rsidRPr="006456F1">
        <w:rPr>
          <w:rStyle w:val="FootnoteReference"/>
        </w:rPr>
        <w:footnoteRef/>
      </w:r>
      <w:r>
        <w:t xml:space="preserve"> Ibid</w:t>
      </w:r>
      <w:r w:rsidRPr="006456F1">
        <w:t>.</w:t>
      </w:r>
    </w:p>
  </w:footnote>
  <w:footnote w:id="593">
    <w:p w14:paraId="18AF969F" w14:textId="5579D25A" w:rsidR="0042789D" w:rsidRDefault="0042789D" w:rsidP="005338BC">
      <w:pPr>
        <w:pStyle w:val="FootnoteText"/>
        <w:spacing w:before="60" w:after="60"/>
      </w:pPr>
      <w:r w:rsidRPr="006456F1">
        <w:rPr>
          <w:rStyle w:val="FootnoteReference"/>
        </w:rPr>
        <w:footnoteRef/>
      </w:r>
      <w:r w:rsidRPr="006456F1">
        <w:t xml:space="preserve"> </w:t>
      </w:r>
      <w:r w:rsidRPr="006456F1">
        <w:rPr>
          <w:rFonts w:ascii="Gotham Book" w:hAnsi="Gotham Book"/>
          <w:i/>
        </w:rPr>
        <w:t>Sex Offenders Registration Act 2004</w:t>
      </w:r>
      <w:r w:rsidRPr="006456F1">
        <w:rPr>
          <w:rFonts w:ascii="Gotham Book" w:hAnsi="Gotham Book"/>
        </w:rPr>
        <w:t xml:space="preserve"> (Vic)</w:t>
      </w:r>
      <w:r>
        <w:rPr>
          <w:rFonts w:ascii="Gotham Book" w:hAnsi="Gotham Book"/>
        </w:rPr>
        <w:t xml:space="preserve"> </w:t>
      </w:r>
      <w:r>
        <w:t>p</w:t>
      </w:r>
      <w:r w:rsidRPr="006456F1">
        <w:t>t 5B</w:t>
      </w:r>
      <w:r>
        <w:t>,</w:t>
      </w:r>
      <w:r w:rsidRPr="006456F1">
        <w:t xml:space="preserve"> </w:t>
      </w:r>
      <w:r w:rsidRPr="006456F1">
        <w:rPr>
          <w:rFonts w:ascii="Gotham Book" w:hAnsi="Gotham Book"/>
        </w:rPr>
        <w:t>inserted by</w:t>
      </w:r>
      <w:r w:rsidRPr="00A020A1">
        <w:rPr>
          <w:rFonts w:ascii="Gotham Book" w:hAnsi="Gotham Book"/>
        </w:rPr>
        <w:t xml:space="preserve"> the</w:t>
      </w:r>
      <w:r w:rsidRPr="006456F1">
        <w:rPr>
          <w:rFonts w:ascii="Gotham Book" w:hAnsi="Gotham Book"/>
          <w:i/>
        </w:rPr>
        <w:t xml:space="preserve"> Sex Offenders Registration Amendment Act 2016</w:t>
      </w:r>
      <w:r w:rsidRPr="006456F1">
        <w:rPr>
          <w:rFonts w:ascii="Gotham Book" w:hAnsi="Gotham Book"/>
        </w:rPr>
        <w:t xml:space="preserve"> (Vic).</w:t>
      </w:r>
    </w:p>
  </w:footnote>
  <w:footnote w:id="594">
    <w:p w14:paraId="2332113A" w14:textId="4E7DE71C" w:rsidR="0042789D" w:rsidRPr="00B63A9B" w:rsidRDefault="0042789D" w:rsidP="005338BC">
      <w:pPr>
        <w:pStyle w:val="FootnoteText"/>
        <w:spacing w:before="60" w:after="60"/>
        <w:rPr>
          <w:rFonts w:ascii="Gotham Book" w:hAnsi="Gotham Book"/>
        </w:rPr>
      </w:pPr>
      <w:r w:rsidRPr="00B63A9B">
        <w:rPr>
          <w:rStyle w:val="FootnoteReference"/>
          <w:rFonts w:ascii="Gotham Book" w:hAnsi="Gotham Book"/>
        </w:rPr>
        <w:footnoteRef/>
      </w:r>
      <w:r w:rsidRPr="00B63A9B">
        <w:rPr>
          <w:rFonts w:ascii="Gotham Book" w:hAnsi="Gotham Book"/>
        </w:rPr>
        <w:t xml:space="preserve"> </w:t>
      </w:r>
      <w:r w:rsidRPr="00B63A9B">
        <w:rPr>
          <w:rFonts w:ascii="Gotham Book" w:hAnsi="Gotham Book"/>
          <w:i/>
        </w:rPr>
        <w:t>Sex Offenders Registration Act 2004</w:t>
      </w:r>
      <w:r w:rsidRPr="00B63A9B">
        <w:rPr>
          <w:rFonts w:ascii="Gotham Book" w:hAnsi="Gotham Book"/>
        </w:rPr>
        <w:t xml:space="preserve"> (Vic) s 70N(1) and </w:t>
      </w:r>
      <w:r>
        <w:rPr>
          <w:rFonts w:ascii="Gotham Book" w:hAnsi="Gotham Book"/>
        </w:rPr>
        <w:t xml:space="preserve">s </w:t>
      </w:r>
      <w:r w:rsidRPr="00B63A9B">
        <w:rPr>
          <w:rFonts w:ascii="Gotham Book" w:hAnsi="Gotham Book"/>
        </w:rPr>
        <w:t>70O.</w:t>
      </w:r>
    </w:p>
  </w:footnote>
  <w:footnote w:id="595">
    <w:p w14:paraId="52CBB224" w14:textId="77777777" w:rsidR="0042789D" w:rsidRPr="00B63A9B" w:rsidRDefault="0042789D" w:rsidP="005338BC">
      <w:pPr>
        <w:pStyle w:val="FootnoteText"/>
        <w:spacing w:before="60" w:after="60"/>
      </w:pPr>
      <w:r w:rsidRPr="00B63A9B">
        <w:rPr>
          <w:rStyle w:val="FootnoteReference"/>
        </w:rPr>
        <w:footnoteRef/>
      </w:r>
      <w:r w:rsidRPr="00B63A9B">
        <w:t xml:space="preserve"> </w:t>
      </w:r>
      <w:r w:rsidRPr="00B63A9B">
        <w:rPr>
          <w:rFonts w:ascii="Gotham Book" w:hAnsi="Gotham Book"/>
          <w:i/>
        </w:rPr>
        <w:t>Sex Offenders Registration Act 2004</w:t>
      </w:r>
      <w:r w:rsidRPr="00B63A9B">
        <w:rPr>
          <w:rFonts w:ascii="Gotham Book" w:hAnsi="Gotham Book"/>
        </w:rPr>
        <w:t xml:space="preserve"> (Vic) s 70O.</w:t>
      </w:r>
    </w:p>
  </w:footnote>
  <w:footnote w:id="596">
    <w:p w14:paraId="6B7DE146" w14:textId="77777777" w:rsidR="0042789D" w:rsidRPr="00B63A9B" w:rsidRDefault="0042789D" w:rsidP="005338BC">
      <w:pPr>
        <w:pStyle w:val="FootnoteText"/>
        <w:spacing w:before="60" w:after="60"/>
        <w:rPr>
          <w:rFonts w:ascii="Gotham Book" w:hAnsi="Gotham Book"/>
        </w:rPr>
      </w:pPr>
      <w:r w:rsidRPr="00B63A9B">
        <w:rPr>
          <w:rStyle w:val="FootnoteReference"/>
          <w:rFonts w:ascii="Gotham Book" w:hAnsi="Gotham Book"/>
        </w:rPr>
        <w:footnoteRef/>
      </w:r>
      <w:r w:rsidRPr="00B63A9B">
        <w:rPr>
          <w:rFonts w:ascii="Gotham Book" w:hAnsi="Gotham Book"/>
        </w:rPr>
        <w:t xml:space="preserve"> </w:t>
      </w:r>
      <w:r w:rsidRPr="00B63A9B">
        <w:rPr>
          <w:rFonts w:ascii="Gotham Book" w:hAnsi="Gotham Book"/>
          <w:i/>
        </w:rPr>
        <w:t>Sex Offenders Registration Act 2004</w:t>
      </w:r>
      <w:r w:rsidRPr="00B63A9B">
        <w:rPr>
          <w:rFonts w:ascii="Gotham Book" w:hAnsi="Gotham Book"/>
        </w:rPr>
        <w:t xml:space="preserve"> (Vic) s 70P(1).</w:t>
      </w:r>
    </w:p>
  </w:footnote>
  <w:footnote w:id="597">
    <w:p w14:paraId="57381E3C" w14:textId="75E88DE7" w:rsidR="0042789D" w:rsidRPr="00B63A9B" w:rsidRDefault="0042789D" w:rsidP="005338BC">
      <w:pPr>
        <w:pStyle w:val="FootnoteText"/>
        <w:spacing w:before="60" w:after="60"/>
      </w:pPr>
      <w:r w:rsidRPr="00B63A9B">
        <w:rPr>
          <w:rStyle w:val="FootnoteReference"/>
        </w:rPr>
        <w:footnoteRef/>
      </w:r>
      <w:r w:rsidRPr="00B63A9B">
        <w:t xml:space="preserve"> </w:t>
      </w:r>
      <w:r w:rsidRPr="00256010">
        <w:rPr>
          <w:rFonts w:ascii="Gotham Book" w:hAnsi="Gotham Book"/>
        </w:rPr>
        <w:t>Independent Broad-based Anti-corruption Commission</w:t>
      </w:r>
      <w:r w:rsidRPr="00256010">
        <w:t xml:space="preserve">, </w:t>
      </w:r>
      <w:r w:rsidRPr="00256010">
        <w:rPr>
          <w:rFonts w:ascii="Gotham Book" w:hAnsi="Gotham Book"/>
          <w:i/>
        </w:rPr>
        <w:t>Report to the Minister for Police</w:t>
      </w:r>
      <w:r>
        <w:rPr>
          <w:rFonts w:ascii="Gotham Book" w:hAnsi="Gotham Book"/>
          <w:i/>
        </w:rPr>
        <w:t xml:space="preserve"> P</w:t>
      </w:r>
      <w:r w:rsidRPr="00256010">
        <w:rPr>
          <w:rFonts w:ascii="Gotham Book" w:hAnsi="Gotham Book"/>
          <w:i/>
        </w:rPr>
        <w:t>ursuant to s 70N of the</w:t>
      </w:r>
      <w:r w:rsidRPr="00256010">
        <w:rPr>
          <w:rFonts w:ascii="Gotham Book" w:hAnsi="Gotham Book"/>
        </w:rPr>
        <w:t xml:space="preserve"> </w:t>
      </w:r>
      <w:r w:rsidRPr="00256010">
        <w:rPr>
          <w:rFonts w:ascii="Gotham Book" w:hAnsi="Gotham Book"/>
          <w:i/>
        </w:rPr>
        <w:t>Sex Offenders Registration Act 2004</w:t>
      </w:r>
      <w:r>
        <w:rPr>
          <w:rFonts w:ascii="Gotham Book" w:hAnsi="Gotham Book"/>
          <w:i/>
        </w:rPr>
        <w:t xml:space="preserve"> (Vic)</w:t>
      </w:r>
      <w:r w:rsidRPr="00256010">
        <w:rPr>
          <w:rFonts w:ascii="Gotham Book" w:hAnsi="Gotham Book"/>
          <w:i/>
        </w:rPr>
        <w:t>, 1 January 2015 to 31 December 2016</w:t>
      </w:r>
      <w:r>
        <w:rPr>
          <w:rFonts w:ascii="Gotham Book" w:hAnsi="Gotham Book"/>
        </w:rPr>
        <w:t xml:space="preserve"> </w:t>
      </w:r>
      <w:r w:rsidRPr="00256010">
        <w:rPr>
          <w:rFonts w:ascii="Gotham Book" w:hAnsi="Gotham Book"/>
        </w:rPr>
        <w:t xml:space="preserve">(2018) </w:t>
      </w:r>
      <w:r w:rsidRPr="00256010">
        <w:t>p 23.</w:t>
      </w:r>
    </w:p>
  </w:footnote>
  <w:footnote w:id="598">
    <w:p w14:paraId="1EECBB8A" w14:textId="6473CBEF" w:rsidR="0042789D" w:rsidRPr="00B63A9B" w:rsidRDefault="0042789D" w:rsidP="00845F40">
      <w:pPr>
        <w:pStyle w:val="FootnoteText"/>
        <w:spacing w:before="60" w:after="60"/>
      </w:pPr>
      <w:r w:rsidRPr="00B63A9B">
        <w:rPr>
          <w:rStyle w:val="FootnoteReference"/>
        </w:rPr>
        <w:footnoteRef/>
      </w:r>
      <w:r w:rsidRPr="00B63A9B">
        <w:t xml:space="preserve"> </w:t>
      </w:r>
      <w:r>
        <w:rPr>
          <w:rFonts w:ascii="Gotham Book" w:hAnsi="Gotham Book"/>
        </w:rPr>
        <w:t>Ibid</w:t>
      </w:r>
      <w:r w:rsidRPr="00B63A9B">
        <w:t>.</w:t>
      </w:r>
    </w:p>
  </w:footnote>
  <w:footnote w:id="599">
    <w:p w14:paraId="7AE36B81" w14:textId="18EB0D71" w:rsidR="0042789D" w:rsidRPr="00B63A9B" w:rsidRDefault="0042789D" w:rsidP="00845F40">
      <w:pPr>
        <w:pStyle w:val="FootnoteText"/>
        <w:spacing w:before="60" w:after="60"/>
      </w:pPr>
      <w:r w:rsidRPr="00B63A9B">
        <w:rPr>
          <w:rStyle w:val="FootnoteReference"/>
        </w:rPr>
        <w:footnoteRef/>
      </w:r>
      <w:r w:rsidRPr="00B63A9B">
        <w:t xml:space="preserve"> </w:t>
      </w:r>
      <w:r>
        <w:rPr>
          <w:rFonts w:ascii="Gotham Book" w:hAnsi="Gotham Book"/>
        </w:rPr>
        <w:t>Ibid</w:t>
      </w:r>
      <w:r w:rsidRPr="00B63A9B">
        <w:rPr>
          <w:rFonts w:ascii="Gotham Book" w:hAnsi="Gotham Book"/>
        </w:rPr>
        <w:t xml:space="preserve"> p 7.</w:t>
      </w:r>
    </w:p>
  </w:footnote>
  <w:footnote w:id="600">
    <w:p w14:paraId="01A033EB" w14:textId="19366521" w:rsidR="0042789D" w:rsidRPr="00B63A9B" w:rsidRDefault="0042789D" w:rsidP="00845F40">
      <w:pPr>
        <w:pStyle w:val="FootnoteText"/>
        <w:spacing w:before="60" w:after="60"/>
      </w:pPr>
      <w:r w:rsidRPr="00B63A9B">
        <w:rPr>
          <w:rStyle w:val="FootnoteReference"/>
        </w:rPr>
        <w:footnoteRef/>
      </w:r>
      <w:r w:rsidRPr="00B63A9B">
        <w:t xml:space="preserve"> </w:t>
      </w:r>
      <w:r>
        <w:rPr>
          <w:rFonts w:ascii="Gotham Book" w:hAnsi="Gotham Book"/>
        </w:rPr>
        <w:t>Ibid</w:t>
      </w:r>
      <w:r w:rsidRPr="00B63A9B">
        <w:rPr>
          <w:rFonts w:ascii="Gotham Book" w:hAnsi="Gotham Book"/>
        </w:rPr>
        <w:t xml:space="preserve"> </w:t>
      </w:r>
      <w:r w:rsidRPr="00B63A9B">
        <w:t>p 24.</w:t>
      </w:r>
    </w:p>
  </w:footnote>
  <w:footnote w:id="601">
    <w:p w14:paraId="2EA07367" w14:textId="214E74FD" w:rsidR="0042789D" w:rsidRPr="00B63A9B" w:rsidRDefault="0042789D" w:rsidP="00845F40">
      <w:pPr>
        <w:pStyle w:val="FootnoteText"/>
        <w:spacing w:before="60" w:after="60"/>
      </w:pPr>
      <w:r w:rsidRPr="00B63A9B">
        <w:rPr>
          <w:rStyle w:val="FootnoteReference"/>
        </w:rPr>
        <w:footnoteRef/>
      </w:r>
      <w:r w:rsidRPr="00B63A9B">
        <w:t xml:space="preserve"> New South Wales Ombudsman, </w:t>
      </w:r>
      <w:r w:rsidRPr="00B63A9B">
        <w:rPr>
          <w:i/>
        </w:rPr>
        <w:t>Review of the Child Prot</w:t>
      </w:r>
      <w:r>
        <w:rPr>
          <w:i/>
        </w:rPr>
        <w:t>ection Register: Report under s </w:t>
      </w:r>
      <w:r w:rsidRPr="00B63A9B">
        <w:rPr>
          <w:i/>
        </w:rPr>
        <w:t>25(1) of the Child Protection (Offenders Registration) Act 2000</w:t>
      </w:r>
      <w:r w:rsidRPr="00B63A9B">
        <w:t xml:space="preserve"> (2005)</w:t>
      </w:r>
      <w:r>
        <w:t>.</w:t>
      </w:r>
      <w:r w:rsidRPr="00B63A9B">
        <w:t xml:space="preserve"> </w:t>
      </w:r>
    </w:p>
  </w:footnote>
  <w:footnote w:id="602">
    <w:p w14:paraId="5C780DDC" w14:textId="0407A012" w:rsidR="0042789D" w:rsidRPr="00B63A9B" w:rsidRDefault="0042789D" w:rsidP="00845F40">
      <w:pPr>
        <w:pStyle w:val="FootnoteText"/>
        <w:spacing w:before="60" w:after="60"/>
      </w:pPr>
      <w:r w:rsidRPr="00B63A9B">
        <w:rPr>
          <w:rStyle w:val="FootnoteReference"/>
        </w:rPr>
        <w:footnoteRef/>
      </w:r>
      <w:r>
        <w:t xml:space="preserve"> Ministry for Police (NSW), </w:t>
      </w:r>
      <w:r w:rsidRPr="00B63A9B">
        <w:rPr>
          <w:i/>
        </w:rPr>
        <w:t>Report to Parliament: Review of Child Protection (Offenders Registration) Act 2000</w:t>
      </w:r>
      <w:r w:rsidRPr="00B63A9B">
        <w:t xml:space="preserve"> (2007)</w:t>
      </w:r>
      <w:r>
        <w:t>.</w:t>
      </w:r>
    </w:p>
  </w:footnote>
  <w:footnote w:id="603">
    <w:p w14:paraId="04B889CA" w14:textId="05E7C105" w:rsidR="0042789D" w:rsidRPr="001008EB" w:rsidRDefault="0042789D" w:rsidP="00845F40">
      <w:pPr>
        <w:spacing w:before="60" w:after="60" w:line="240" w:lineRule="auto"/>
      </w:pPr>
      <w:r w:rsidRPr="00B63A9B">
        <w:rPr>
          <w:rStyle w:val="FootnoteReference"/>
          <w:sz w:val="20"/>
        </w:rPr>
        <w:footnoteRef/>
      </w:r>
      <w:r>
        <w:rPr>
          <w:rFonts w:ascii="Gotham Book" w:hAnsi="Gotham Book"/>
          <w:sz w:val="20"/>
        </w:rPr>
        <w:t xml:space="preserve"> </w:t>
      </w:r>
      <w:r w:rsidRPr="0032540F">
        <w:rPr>
          <w:rFonts w:ascii="Gotham Book" w:hAnsi="Gotham Book"/>
          <w:sz w:val="20"/>
        </w:rPr>
        <w:t>Ministry for</w:t>
      </w:r>
      <w:r>
        <w:rPr>
          <w:rFonts w:ascii="Gotham Book" w:hAnsi="Gotham Book"/>
          <w:sz w:val="20"/>
        </w:rPr>
        <w:t xml:space="preserve"> Police and Emergency Services (NSW), </w:t>
      </w:r>
      <w:r w:rsidRPr="00047E9A">
        <w:rPr>
          <w:rFonts w:ascii="Gotham Book" w:hAnsi="Gotham Book"/>
          <w:i/>
          <w:sz w:val="20"/>
        </w:rPr>
        <w:t>Report:</w:t>
      </w:r>
      <w:r>
        <w:rPr>
          <w:rFonts w:ascii="Gotham Book" w:hAnsi="Gotham Book"/>
          <w:sz w:val="20"/>
        </w:rPr>
        <w:t xml:space="preserve"> </w:t>
      </w:r>
      <w:r w:rsidRPr="0032540F">
        <w:rPr>
          <w:rFonts w:ascii="Gotham Book" w:hAnsi="Gotham Book"/>
          <w:i/>
          <w:sz w:val="20"/>
        </w:rPr>
        <w:t>Statutory review of the</w:t>
      </w:r>
      <w:r w:rsidRPr="0032540F">
        <w:rPr>
          <w:rFonts w:ascii="Gotham Book" w:hAnsi="Gotham Book"/>
          <w:sz w:val="20"/>
        </w:rPr>
        <w:t xml:space="preserve"> </w:t>
      </w:r>
      <w:r w:rsidRPr="0032540F">
        <w:rPr>
          <w:rFonts w:ascii="Gotham Book" w:hAnsi="Gotham Book"/>
          <w:i/>
          <w:sz w:val="20"/>
        </w:rPr>
        <w:t xml:space="preserve">Child Protection (Offenders Registration) Act 2000 </w:t>
      </w:r>
      <w:r w:rsidRPr="0032540F">
        <w:rPr>
          <w:rFonts w:ascii="Gotham Book" w:hAnsi="Gotham Book"/>
          <w:sz w:val="20"/>
        </w:rPr>
        <w:t>(2013)</w:t>
      </w:r>
      <w:r w:rsidRPr="00B63A9B">
        <w:rPr>
          <w:sz w:val="20"/>
        </w:rPr>
        <w:t>.</w:t>
      </w:r>
    </w:p>
  </w:footnote>
  <w:footnote w:id="604">
    <w:p w14:paraId="368ACE32" w14:textId="37DD6DB9" w:rsidR="0042789D" w:rsidRPr="006740E6" w:rsidRDefault="0042789D" w:rsidP="00845F40">
      <w:pPr>
        <w:pStyle w:val="FootnoteText"/>
        <w:spacing w:before="60" w:after="60"/>
      </w:pPr>
      <w:r w:rsidRPr="00473ECE">
        <w:rPr>
          <w:rStyle w:val="FootnoteReference"/>
        </w:rPr>
        <w:footnoteRef/>
      </w:r>
      <w:r w:rsidRPr="00473ECE">
        <w:t xml:space="preserve"> Joint Select Committee on Sentencing of Child Sexual Assault Offenders, </w:t>
      </w:r>
      <w:r>
        <w:t xml:space="preserve">Parliament of New South Wales, </w:t>
      </w:r>
      <w:r w:rsidRPr="00A47494">
        <w:rPr>
          <w:i/>
        </w:rPr>
        <w:t xml:space="preserve">Every Sentence Tells a Story – Report on Sentencing of Child Sexual </w:t>
      </w:r>
      <w:r w:rsidRPr="006740E6">
        <w:rPr>
          <w:i/>
        </w:rPr>
        <w:t>Assault Offenders</w:t>
      </w:r>
      <w:r w:rsidRPr="006740E6">
        <w:t>, Report 1/55 (2014).</w:t>
      </w:r>
    </w:p>
  </w:footnote>
  <w:footnote w:id="605">
    <w:p w14:paraId="07427054" w14:textId="3C0E9298" w:rsidR="0042789D" w:rsidRDefault="0042789D">
      <w:pPr>
        <w:pStyle w:val="FootnoteText"/>
      </w:pPr>
      <w:r w:rsidRPr="006740E6">
        <w:rPr>
          <w:rStyle w:val="FootnoteReference"/>
        </w:rPr>
        <w:footnoteRef/>
      </w:r>
      <w:r w:rsidRPr="006740E6">
        <w:t xml:space="preserve"> Letter from Commissioner of Police, </w:t>
      </w:r>
      <w:r>
        <w:t>NSW Police Force</w:t>
      </w:r>
      <w:r w:rsidRPr="006740E6">
        <w:t>, to Chief Commis</w:t>
      </w:r>
      <w:r>
        <w:t>sioner, Law Enforcement Conduct Commission, 30 September 2019</w:t>
      </w:r>
      <w:r w:rsidRPr="006740E6">
        <w:t xml:space="preserve"> </w:t>
      </w:r>
      <w:r>
        <w:t>(</w:t>
      </w:r>
      <w:r w:rsidRPr="006740E6">
        <w:t>Annexure B – Submissions on Proposed Recommendations</w:t>
      </w:r>
      <w:r>
        <w:t>)</w:t>
      </w:r>
      <w:r w:rsidRPr="006740E6">
        <w:t>.</w:t>
      </w:r>
    </w:p>
  </w:footnote>
  <w:footnote w:id="606">
    <w:p w14:paraId="7894992D" w14:textId="70AA213C" w:rsidR="0042789D" w:rsidRPr="005F7CD1" w:rsidRDefault="0042789D" w:rsidP="00BD79D7">
      <w:pPr>
        <w:pStyle w:val="FootnoteText"/>
        <w:spacing w:before="60" w:after="60"/>
        <w:rPr>
          <w:rFonts w:ascii="Gotham Book" w:hAnsi="Gotham Book"/>
        </w:rPr>
      </w:pPr>
      <w:r w:rsidRPr="005F7CD1">
        <w:rPr>
          <w:rStyle w:val="FootnoteReference"/>
          <w:rFonts w:ascii="Gotham Book" w:hAnsi="Gotham Book"/>
        </w:rPr>
        <w:footnoteRef/>
      </w:r>
      <w:r w:rsidRPr="005F7CD1">
        <w:rPr>
          <w:rFonts w:ascii="Gotham Book" w:hAnsi="Gotham Book"/>
        </w:rPr>
        <w:t xml:space="preserve"> </w:t>
      </w:r>
      <w:r>
        <w:rPr>
          <w:rFonts w:ascii="Gotham Book" w:hAnsi="Gotham Book"/>
          <w:i/>
        </w:rPr>
        <w:t>NSW Police Force r</w:t>
      </w:r>
      <w:r w:rsidRPr="00636E3F">
        <w:rPr>
          <w:rFonts w:ascii="Gotham Book" w:hAnsi="Gotham Book"/>
          <w:i/>
        </w:rPr>
        <w:t>esponse to the interim report of Operation Tusket</w:t>
      </w:r>
      <w:r w:rsidRPr="00636E3F">
        <w:rPr>
          <w:rFonts w:ascii="Gotham Book" w:hAnsi="Gotham Book"/>
        </w:rPr>
        <w:t xml:space="preserve">, 23 October 2018, F/2018/94374; D/2018/851613, p 1; </w:t>
      </w:r>
      <w:r>
        <w:rPr>
          <w:rFonts w:ascii="Gotham Book" w:hAnsi="Gotham Book"/>
          <w:i/>
        </w:rPr>
        <w:t>Grand totals year to date 2018</w:t>
      </w:r>
      <w:r w:rsidRPr="00636E3F">
        <w:rPr>
          <w:rFonts w:ascii="Gotham Book" w:hAnsi="Gotham Book"/>
        </w:rPr>
        <w:t xml:space="preserve">, </w:t>
      </w:r>
      <w:r>
        <w:rPr>
          <w:rFonts w:ascii="Gotham Book" w:hAnsi="Gotham Book"/>
        </w:rPr>
        <w:t>NSW Police Force response</w:t>
      </w:r>
      <w:r w:rsidRPr="00636E3F">
        <w:rPr>
          <w:rFonts w:ascii="Gotham Book" w:hAnsi="Gotham Book"/>
        </w:rPr>
        <w:t xml:space="preserve"> to item 1 of </w:t>
      </w:r>
      <w:r>
        <w:rPr>
          <w:rFonts w:ascii="Gotham Book" w:hAnsi="Gotham Book"/>
        </w:rPr>
        <w:t>Law Enforcement Conduct Commission Notice</w:t>
      </w:r>
      <w:r w:rsidRPr="00636E3F">
        <w:rPr>
          <w:rFonts w:ascii="Gotham Book" w:hAnsi="Gotham Book"/>
        </w:rPr>
        <w:t xml:space="preserve"> 988 of 2018.</w:t>
      </w:r>
    </w:p>
  </w:footnote>
  <w:footnote w:id="607">
    <w:p w14:paraId="67EF5C4C" w14:textId="4018EB3A" w:rsidR="0042789D" w:rsidRDefault="0042789D" w:rsidP="00BD79D7">
      <w:pPr>
        <w:pStyle w:val="FootnoteText"/>
        <w:spacing w:before="60" w:after="60"/>
      </w:pPr>
      <w:r w:rsidRPr="005F7CD1">
        <w:rPr>
          <w:rStyle w:val="FootnoteReference"/>
        </w:rPr>
        <w:footnoteRef/>
      </w:r>
      <w:r w:rsidRPr="005F7CD1">
        <w:t xml:space="preserve"> </w:t>
      </w:r>
      <w:r>
        <w:t>NSW Police Force response</w:t>
      </w:r>
      <w:r w:rsidRPr="005F7CD1">
        <w:rPr>
          <w:rFonts w:ascii="Gotham Book" w:hAnsi="Gotham Book"/>
        </w:rPr>
        <w:t xml:space="preserve"> to item 1 of </w:t>
      </w:r>
      <w:r>
        <w:rPr>
          <w:rFonts w:ascii="Gotham Book" w:hAnsi="Gotham Book"/>
        </w:rPr>
        <w:t>Law Enforcement Conduct Commission Notice</w:t>
      </w:r>
      <w:r w:rsidRPr="005F7CD1">
        <w:rPr>
          <w:rFonts w:ascii="Gotham Book" w:hAnsi="Gotham Book"/>
        </w:rPr>
        <w:t xml:space="preserve"> 988 of 2018.</w:t>
      </w:r>
    </w:p>
  </w:footnote>
  <w:footnote w:id="608">
    <w:p w14:paraId="68E7B76B" w14:textId="77777777" w:rsidR="0042789D" w:rsidRPr="00F74F3A" w:rsidRDefault="0042789D" w:rsidP="00F74F3A">
      <w:pPr>
        <w:pStyle w:val="FootnoteText"/>
        <w:spacing w:before="60" w:after="60"/>
      </w:pPr>
      <w:r w:rsidRPr="00F74F3A">
        <w:rPr>
          <w:rStyle w:val="FootnoteReference"/>
        </w:rPr>
        <w:footnoteRef/>
      </w:r>
      <w:r w:rsidRPr="00F74F3A">
        <w:t xml:space="preserve"> </w:t>
      </w:r>
      <w:r w:rsidRPr="00F74F3A">
        <w:rPr>
          <w:i/>
        </w:rPr>
        <w:t>Child Protection (Offenders Registration) Act 2000</w:t>
      </w:r>
      <w:r w:rsidRPr="00F74F3A">
        <w:t xml:space="preserve"> (NSW) s 19.</w:t>
      </w:r>
    </w:p>
  </w:footnote>
  <w:footnote w:id="609">
    <w:p w14:paraId="1C747949" w14:textId="77777777" w:rsidR="0042789D" w:rsidRPr="00F74F3A" w:rsidRDefault="0042789D" w:rsidP="00F74F3A">
      <w:pPr>
        <w:pStyle w:val="FootnoteText"/>
        <w:spacing w:before="60" w:after="60"/>
      </w:pPr>
      <w:r w:rsidRPr="00F74F3A">
        <w:rPr>
          <w:rStyle w:val="FootnoteReference"/>
        </w:rPr>
        <w:footnoteRef/>
      </w:r>
      <w:r w:rsidRPr="00F74F3A">
        <w:t xml:space="preserve"> </w:t>
      </w:r>
      <w:r w:rsidRPr="00F74F3A">
        <w:rPr>
          <w:i/>
        </w:rPr>
        <w:t>Child Protection (Offenders Registration) Act 2000</w:t>
      </w:r>
      <w:r w:rsidRPr="00F74F3A">
        <w:t xml:space="preserve"> (NSW) ss 9 – 11F.</w:t>
      </w:r>
    </w:p>
  </w:footnote>
  <w:footnote w:id="610">
    <w:p w14:paraId="3B5DB133" w14:textId="77777777" w:rsidR="0042789D" w:rsidRPr="00F74F3A" w:rsidRDefault="0042789D" w:rsidP="00F74F3A">
      <w:pPr>
        <w:pStyle w:val="FootnoteText"/>
        <w:spacing w:before="60" w:after="60"/>
      </w:pPr>
      <w:r w:rsidRPr="00F74F3A">
        <w:rPr>
          <w:rStyle w:val="FootnoteReference"/>
        </w:rPr>
        <w:footnoteRef/>
      </w:r>
      <w:r w:rsidRPr="00F74F3A">
        <w:t xml:space="preserve"> </w:t>
      </w:r>
      <w:r w:rsidRPr="00F74F3A">
        <w:rPr>
          <w:i/>
        </w:rPr>
        <w:t>Child Protection (Offenders Registration) Act 2000</w:t>
      </w:r>
      <w:r w:rsidRPr="00F74F3A">
        <w:t xml:space="preserve"> (NSW) s 17.</w:t>
      </w:r>
    </w:p>
  </w:footnote>
  <w:footnote w:id="611">
    <w:p w14:paraId="1463B68A" w14:textId="351377CA" w:rsidR="0042789D" w:rsidRPr="00F74F3A" w:rsidRDefault="0042789D" w:rsidP="00F74F3A">
      <w:pPr>
        <w:pStyle w:val="FootnoteText"/>
        <w:spacing w:before="60" w:after="60"/>
      </w:pPr>
      <w:r w:rsidRPr="00F74F3A">
        <w:rPr>
          <w:rStyle w:val="FootnoteReference"/>
        </w:rPr>
        <w:footnoteRef/>
      </w:r>
      <w:r w:rsidRPr="00F74F3A">
        <w:t xml:space="preserve"> </w:t>
      </w:r>
      <w:r w:rsidRPr="00F74F3A">
        <w:rPr>
          <w:i/>
        </w:rPr>
        <w:t>Child Protection (Offenders Registration) Act 2000</w:t>
      </w:r>
      <w:r>
        <w:t xml:space="preserve"> (NSW) sch 2 pt 3, pt 4, and p</w:t>
      </w:r>
      <w:r w:rsidRPr="00F74F3A">
        <w:t>t 8.</w:t>
      </w:r>
    </w:p>
  </w:footnote>
  <w:footnote w:id="612">
    <w:p w14:paraId="505E8AC6" w14:textId="77777777" w:rsidR="0042789D" w:rsidRDefault="0042789D" w:rsidP="00F74F3A">
      <w:pPr>
        <w:pStyle w:val="FootnoteText"/>
        <w:spacing w:before="60" w:after="60"/>
      </w:pPr>
      <w:r w:rsidRPr="00F74F3A">
        <w:rPr>
          <w:rStyle w:val="FootnoteReference"/>
        </w:rPr>
        <w:footnoteRef/>
      </w:r>
      <w:r w:rsidRPr="00F74F3A">
        <w:t xml:space="preserve"> Throughout this appendix the term ‘Registry officers’ is used to refer collectively to the officers in the Registry unit and the legal officers in the State Crime Command who regularly assist them.</w:t>
      </w:r>
    </w:p>
  </w:footnote>
  <w:footnote w:id="613">
    <w:p w14:paraId="2586CA90" w14:textId="77777777" w:rsidR="0042789D" w:rsidRPr="00AE7B10" w:rsidRDefault="0042789D" w:rsidP="001B339F">
      <w:pPr>
        <w:pStyle w:val="FootnoteText"/>
      </w:pPr>
      <w:r w:rsidRPr="00AE7B10">
        <w:rPr>
          <w:rStyle w:val="FootnoteReference"/>
        </w:rPr>
        <w:footnoteRef/>
      </w:r>
      <w:r w:rsidRPr="00AE7B10">
        <w:t xml:space="preserve"> Letter from Commissioner of Police, </w:t>
      </w:r>
      <w:r>
        <w:t>NSW Police Force</w:t>
      </w:r>
      <w:r w:rsidRPr="00AE7B10">
        <w:t xml:space="preserve">, to Chief Commissioner, </w:t>
      </w:r>
      <w:r>
        <w:t>Law Enforcement Conduct Commission</w:t>
      </w:r>
      <w:r w:rsidRPr="00AE7B10">
        <w:t>, 30 September 2019, p 1.</w:t>
      </w:r>
    </w:p>
  </w:footnote>
  <w:footnote w:id="614">
    <w:p w14:paraId="331692E9" w14:textId="13DFBA16" w:rsidR="0042789D" w:rsidRPr="00252F4B" w:rsidRDefault="0042789D" w:rsidP="006E3995">
      <w:pPr>
        <w:pStyle w:val="FootnoteText"/>
        <w:spacing w:before="60" w:after="60"/>
      </w:pPr>
      <w:r w:rsidRPr="006E3995">
        <w:rPr>
          <w:rStyle w:val="FootnoteReference"/>
        </w:rPr>
        <w:footnoteRef/>
      </w:r>
      <w:r w:rsidRPr="006E3995">
        <w:t xml:space="preserve"> See </w:t>
      </w:r>
      <w:r w:rsidRPr="00252F4B">
        <w:t xml:space="preserve">Chapter 6, section </w:t>
      </w:r>
      <w:r w:rsidRPr="00252F4B">
        <w:fldChar w:fldCharType="begin"/>
      </w:r>
      <w:r w:rsidRPr="00252F4B">
        <w:instrText xml:space="preserve"> REF _Ref9928661 \r \h  \* MERGEFORMAT </w:instrText>
      </w:r>
      <w:r w:rsidRPr="00252F4B">
        <w:fldChar w:fldCharType="separate"/>
      </w:r>
      <w:r w:rsidR="00022664">
        <w:rPr>
          <w:rFonts w:hint="cs"/>
          <w:cs/>
        </w:rPr>
        <w:t>‎</w:t>
      </w:r>
      <w:r w:rsidR="00022664">
        <w:t>6.4</w:t>
      </w:r>
      <w:r w:rsidRPr="00252F4B">
        <w:fldChar w:fldCharType="end"/>
      </w:r>
      <w:r w:rsidRPr="00252F4B">
        <w:t>.</w:t>
      </w:r>
    </w:p>
  </w:footnote>
  <w:footnote w:id="615">
    <w:p w14:paraId="2770BE12" w14:textId="130AB105" w:rsidR="0042789D" w:rsidRDefault="0042789D" w:rsidP="006E3995">
      <w:pPr>
        <w:pStyle w:val="FootnoteText"/>
        <w:spacing w:before="60" w:after="60"/>
      </w:pPr>
      <w:r w:rsidRPr="00252F4B">
        <w:rPr>
          <w:rStyle w:val="FootnoteReference"/>
        </w:rPr>
        <w:footnoteRef/>
      </w:r>
      <w:r w:rsidRPr="00252F4B">
        <w:t xml:space="preserve"> See Chapter 9, section </w:t>
      </w:r>
      <w:r w:rsidRPr="00252F4B">
        <w:fldChar w:fldCharType="begin"/>
      </w:r>
      <w:r w:rsidRPr="00252F4B">
        <w:instrText xml:space="preserve"> REF _Ref9928992 \r \h  \* MERGEFORMAT </w:instrText>
      </w:r>
      <w:r w:rsidRPr="00252F4B">
        <w:fldChar w:fldCharType="separate"/>
      </w:r>
      <w:r w:rsidR="00022664">
        <w:rPr>
          <w:rFonts w:hint="cs"/>
          <w:cs/>
        </w:rPr>
        <w:t>‎</w:t>
      </w:r>
      <w:r w:rsidR="00022664">
        <w:t>9.4</w:t>
      </w:r>
      <w:r w:rsidRPr="00252F4B">
        <w:fldChar w:fldCharType="end"/>
      </w:r>
      <w:r w:rsidRPr="00252F4B">
        <w:t>.</w:t>
      </w:r>
    </w:p>
  </w:footnote>
  <w:footnote w:id="616">
    <w:p w14:paraId="7C89BF56" w14:textId="2F6F4545" w:rsidR="0042789D" w:rsidRPr="00FC671D" w:rsidRDefault="0042789D">
      <w:pPr>
        <w:pStyle w:val="FootnoteText"/>
      </w:pPr>
      <w:r w:rsidRPr="00FC671D">
        <w:rPr>
          <w:rStyle w:val="FootnoteReference"/>
        </w:rPr>
        <w:footnoteRef/>
      </w:r>
      <w:r w:rsidRPr="00FC671D">
        <w:t xml:space="preserve"> Letter from Commissioner of Police, </w:t>
      </w:r>
      <w:r>
        <w:t>NSW Police Force</w:t>
      </w:r>
      <w:r w:rsidRPr="00FC671D">
        <w:t>, to Chief Commis</w:t>
      </w:r>
      <w:r>
        <w:t>sioner, Law Enforcement Conduct Commission, 30 September 2019</w:t>
      </w:r>
      <w:r w:rsidRPr="00FC671D">
        <w:t xml:space="preserve"> </w:t>
      </w:r>
      <w:r>
        <w:t>(</w:t>
      </w:r>
      <w:r w:rsidRPr="00FC671D">
        <w:t>Annexure B – Submissions on Proposed Recommendations</w:t>
      </w:r>
      <w:r>
        <w:t>)</w:t>
      </w:r>
      <w:r w:rsidRPr="00FC671D">
        <w:t>.</w:t>
      </w:r>
    </w:p>
  </w:footnote>
  <w:footnote w:id="617">
    <w:p w14:paraId="29F05CD6" w14:textId="19787256" w:rsidR="0042789D" w:rsidRPr="00BF5CB9" w:rsidRDefault="0042789D" w:rsidP="008C0A2C">
      <w:pPr>
        <w:pStyle w:val="FootnoteText"/>
        <w:spacing w:before="60" w:after="60"/>
      </w:pPr>
      <w:r w:rsidRPr="00BF5CB9">
        <w:rPr>
          <w:rStyle w:val="FootnoteReference"/>
        </w:rPr>
        <w:footnoteRef/>
      </w:r>
      <w:r w:rsidRPr="00BF5CB9">
        <w:t xml:space="preserve"> </w:t>
      </w:r>
      <w:r w:rsidRPr="00FF58B1">
        <w:t xml:space="preserve">See </w:t>
      </w:r>
      <w:r>
        <w:t xml:space="preserve">Chapter 7, in particular </w:t>
      </w:r>
      <w:r w:rsidRPr="00FF58B1">
        <w:t xml:space="preserve">section </w:t>
      </w:r>
      <w:r w:rsidRPr="00FF58B1">
        <w:fldChar w:fldCharType="begin"/>
      </w:r>
      <w:r w:rsidRPr="00FF58B1">
        <w:instrText xml:space="preserve"> REF _Ref9429432 \r \h </w:instrText>
      </w:r>
      <w:r>
        <w:instrText xml:space="preserve"> \* MERGEFORMAT </w:instrText>
      </w:r>
      <w:r w:rsidRPr="00FF58B1">
        <w:fldChar w:fldCharType="separate"/>
      </w:r>
      <w:r w:rsidR="00022664">
        <w:rPr>
          <w:rFonts w:hint="cs"/>
          <w:cs/>
        </w:rPr>
        <w:t>‎</w:t>
      </w:r>
      <w:r w:rsidR="00022664">
        <w:t>7.7</w:t>
      </w:r>
      <w:r w:rsidRPr="00FF58B1">
        <w:fldChar w:fldCharType="end"/>
      </w:r>
      <w:r w:rsidRPr="00FF58B1">
        <w:t>.</w:t>
      </w:r>
    </w:p>
  </w:footnote>
  <w:footnote w:id="618">
    <w:p w14:paraId="39C7234A" w14:textId="77777777" w:rsidR="0042789D" w:rsidRPr="004815CB" w:rsidRDefault="0042789D" w:rsidP="004815CB">
      <w:pPr>
        <w:pStyle w:val="FootnoteText"/>
        <w:spacing w:before="60" w:after="60"/>
      </w:pPr>
      <w:r w:rsidRPr="004815CB">
        <w:rPr>
          <w:rStyle w:val="FootnoteReference"/>
        </w:rPr>
        <w:footnoteRef/>
      </w:r>
      <w:r w:rsidRPr="004815CB">
        <w:t xml:space="preserve"> </w:t>
      </w:r>
      <w:r w:rsidRPr="004815CB">
        <w:rPr>
          <w:i/>
        </w:rPr>
        <w:t>Child Protection (Offenders Registration) Act 2000</w:t>
      </w:r>
      <w:r w:rsidRPr="004815CB">
        <w:t xml:space="preserve"> (NSW) s 3(1) (definition of ‘registrable offence’).</w:t>
      </w:r>
    </w:p>
  </w:footnote>
  <w:footnote w:id="619">
    <w:p w14:paraId="27A19FF3" w14:textId="422FBCC8" w:rsidR="0042789D" w:rsidRPr="004815CB" w:rsidRDefault="0042789D" w:rsidP="001078B0">
      <w:pPr>
        <w:pStyle w:val="FootnoteText"/>
        <w:spacing w:before="60" w:after="60"/>
      </w:pPr>
      <w:r w:rsidRPr="004815CB">
        <w:rPr>
          <w:rStyle w:val="FootnoteReference"/>
        </w:rPr>
        <w:footnoteRef/>
      </w:r>
      <w:r w:rsidRPr="004815CB">
        <w:t xml:space="preserve"> </w:t>
      </w:r>
      <w:r>
        <w:t>NSW Police Force response</w:t>
      </w:r>
      <w:r w:rsidRPr="004815CB">
        <w:t xml:space="preserve"> to item 3 of </w:t>
      </w:r>
      <w:r>
        <w:t>Law Enforcement Conduct Commission Notice</w:t>
      </w:r>
      <w:r w:rsidRPr="004815CB">
        <w:t xml:space="preserve"> 929 of 2017.</w:t>
      </w:r>
    </w:p>
  </w:footnote>
  <w:footnote w:id="620">
    <w:p w14:paraId="7850E57A" w14:textId="77777777" w:rsidR="0042789D" w:rsidRPr="00767670" w:rsidRDefault="0042789D" w:rsidP="001078B0">
      <w:pPr>
        <w:pStyle w:val="FootnoteText"/>
        <w:spacing w:before="60" w:after="60"/>
      </w:pPr>
      <w:r w:rsidRPr="004815CB">
        <w:rPr>
          <w:rStyle w:val="FootnoteReference"/>
        </w:rPr>
        <w:footnoteRef/>
      </w:r>
      <w:r w:rsidRPr="004815CB">
        <w:t xml:space="preserve"> </w:t>
      </w:r>
      <w:r w:rsidRPr="004815CB">
        <w:rPr>
          <w:i/>
        </w:rPr>
        <w:t>Child Protection (Offenders Registration) Act 2000</w:t>
      </w:r>
      <w:r w:rsidRPr="004815CB">
        <w:t xml:space="preserve"> (NSW) s 3(1) (definitions of ‘Class 1 offence’ and ‘Class 2 offence’).</w:t>
      </w:r>
    </w:p>
  </w:footnote>
  <w:footnote w:id="621">
    <w:p w14:paraId="52808164" w14:textId="77777777" w:rsidR="0042789D" w:rsidRPr="00490CCA" w:rsidRDefault="0042789D" w:rsidP="001078B0">
      <w:pPr>
        <w:pStyle w:val="FootnoteText"/>
        <w:spacing w:before="60" w:after="60"/>
      </w:pPr>
      <w:r w:rsidRPr="00490CCA">
        <w:rPr>
          <w:rStyle w:val="FootnoteReference"/>
        </w:rPr>
        <w:footnoteRef/>
      </w:r>
      <w:r w:rsidRPr="00490CCA">
        <w:t xml:space="preserve"> </w:t>
      </w:r>
      <w:r w:rsidRPr="00490CCA">
        <w:rPr>
          <w:i/>
        </w:rPr>
        <w:t>Child Protection (Offenders Registration) Act 2000</w:t>
      </w:r>
      <w:r w:rsidRPr="00490CCA">
        <w:t xml:space="preserve"> (NSW) s 3(1) (definition of ‘Class 2 offence’ para (b)).</w:t>
      </w:r>
    </w:p>
  </w:footnote>
  <w:footnote w:id="622">
    <w:p w14:paraId="18BF08E1" w14:textId="77777777" w:rsidR="0042789D" w:rsidRPr="00490CCA" w:rsidRDefault="0042789D" w:rsidP="00D562B9">
      <w:pPr>
        <w:pStyle w:val="FootnoteText"/>
        <w:spacing w:before="60" w:after="60"/>
      </w:pPr>
      <w:r w:rsidRPr="00490CCA">
        <w:rPr>
          <w:rStyle w:val="FootnoteReference"/>
        </w:rPr>
        <w:footnoteRef/>
      </w:r>
      <w:r w:rsidRPr="00490CCA">
        <w:t xml:space="preserve"> </w:t>
      </w:r>
      <w:r w:rsidRPr="00490CCA">
        <w:rPr>
          <w:i/>
        </w:rPr>
        <w:t>Criminal Legislation Amendment (Child Sexual Abuse) Act 2018</w:t>
      </w:r>
      <w:r w:rsidRPr="00490CCA">
        <w:t xml:space="preserve"> (NSW) sch 2 cl 1.</w:t>
      </w:r>
    </w:p>
  </w:footnote>
  <w:footnote w:id="623">
    <w:p w14:paraId="73C47095" w14:textId="77777777" w:rsidR="0042789D" w:rsidRPr="00490CCA" w:rsidRDefault="0042789D" w:rsidP="00D562B9">
      <w:pPr>
        <w:pStyle w:val="FootnoteText"/>
        <w:spacing w:before="60" w:after="60"/>
      </w:pPr>
      <w:r w:rsidRPr="00490CCA">
        <w:rPr>
          <w:rStyle w:val="FootnoteReference"/>
        </w:rPr>
        <w:footnoteRef/>
      </w:r>
      <w:r w:rsidRPr="00490CCA">
        <w:t xml:space="preserve"> </w:t>
      </w:r>
      <w:r w:rsidRPr="00490CCA">
        <w:rPr>
          <w:i/>
        </w:rPr>
        <w:t>R v Moss</w:t>
      </w:r>
      <w:r w:rsidRPr="00490CCA">
        <w:t xml:space="preserve"> [2013] NSWDC 207 (9 May 2013) [39]-[40].</w:t>
      </w:r>
    </w:p>
  </w:footnote>
  <w:footnote w:id="624">
    <w:p w14:paraId="522003F5" w14:textId="77777777" w:rsidR="0042789D" w:rsidRPr="00490CCA" w:rsidRDefault="0042789D" w:rsidP="00D562B9">
      <w:pPr>
        <w:pStyle w:val="FootnoteText"/>
        <w:spacing w:before="60" w:after="60"/>
      </w:pPr>
      <w:r w:rsidRPr="00490CCA">
        <w:rPr>
          <w:rStyle w:val="FootnoteReference"/>
        </w:rPr>
        <w:footnoteRef/>
      </w:r>
      <w:r w:rsidRPr="00490CCA">
        <w:t xml:space="preserve"> </w:t>
      </w:r>
      <w:r w:rsidRPr="00490CCA">
        <w:rPr>
          <w:i/>
        </w:rPr>
        <w:t>R v Moss</w:t>
      </w:r>
      <w:r w:rsidRPr="00490CCA">
        <w:t xml:space="preserve"> [2013] NSWDC 207 (9 May 2013) [32]-[40].</w:t>
      </w:r>
    </w:p>
  </w:footnote>
  <w:footnote w:id="625">
    <w:p w14:paraId="3144A359" w14:textId="77777777" w:rsidR="0042789D" w:rsidRPr="00F3498E" w:rsidRDefault="0042789D" w:rsidP="00F3498E">
      <w:pPr>
        <w:pStyle w:val="FootnoteText"/>
        <w:spacing w:before="60" w:after="60"/>
      </w:pPr>
      <w:r w:rsidRPr="00F3498E">
        <w:rPr>
          <w:rStyle w:val="FootnoteReference"/>
        </w:rPr>
        <w:footnoteRef/>
      </w:r>
      <w:r w:rsidRPr="00F3498E">
        <w:t xml:space="preserve"> Section 61HC of the </w:t>
      </w:r>
      <w:r w:rsidRPr="00F3498E">
        <w:rPr>
          <w:i/>
        </w:rPr>
        <w:t xml:space="preserve">Crimes Act 1900 (NSW) </w:t>
      </w:r>
      <w:r w:rsidRPr="00F3498E">
        <w:t>defines</w:t>
      </w:r>
      <w:r w:rsidRPr="00F3498E">
        <w:rPr>
          <w:i/>
        </w:rPr>
        <w:t xml:space="preserve"> </w:t>
      </w:r>
      <w:r w:rsidRPr="00F3498E">
        <w:t>a ‘sexual act’ as ‘an act (other than sexual touching) carried out in circumstances where a reasonable person would consider the act to be sexual’.</w:t>
      </w:r>
    </w:p>
  </w:footnote>
  <w:footnote w:id="626">
    <w:p w14:paraId="587A87D8" w14:textId="77777777" w:rsidR="0042789D" w:rsidRPr="00F3498E" w:rsidRDefault="0042789D" w:rsidP="00F3498E">
      <w:pPr>
        <w:pStyle w:val="FootnoteText"/>
        <w:spacing w:before="60" w:after="60"/>
      </w:pPr>
      <w:r w:rsidRPr="00F3498E">
        <w:rPr>
          <w:rStyle w:val="FootnoteReference"/>
        </w:rPr>
        <w:footnoteRef/>
      </w:r>
      <w:r w:rsidRPr="00F3498E">
        <w:t xml:space="preserve"> </w:t>
      </w:r>
      <w:r w:rsidRPr="00F3498E">
        <w:rPr>
          <w:i/>
        </w:rPr>
        <w:t>Child Protection (Offenders Registration) Act 2000</w:t>
      </w:r>
      <w:r w:rsidRPr="00F3498E">
        <w:t xml:space="preserve"> (NSW) s 3(1) (definition of ‘Class 1 offence’ para (d) and ‘Class 2 offence’ para (g)).</w:t>
      </w:r>
    </w:p>
  </w:footnote>
  <w:footnote w:id="627">
    <w:p w14:paraId="6FBA4D7F" w14:textId="77777777" w:rsidR="0042789D" w:rsidRPr="00F3498E" w:rsidRDefault="0042789D" w:rsidP="00F3498E">
      <w:pPr>
        <w:pStyle w:val="FootnoteText"/>
        <w:spacing w:before="60" w:after="60"/>
      </w:pPr>
      <w:r w:rsidRPr="00F3498E">
        <w:rPr>
          <w:rStyle w:val="FootnoteReference"/>
        </w:rPr>
        <w:footnoteRef/>
      </w:r>
      <w:r w:rsidRPr="00F3498E">
        <w:t xml:space="preserve"> </w:t>
      </w:r>
      <w:r w:rsidRPr="00F3498E">
        <w:rPr>
          <w:i/>
        </w:rPr>
        <w:t>Child Protection (Offenders Registration) Act 2000</w:t>
      </w:r>
      <w:r w:rsidRPr="00F3498E">
        <w:t xml:space="preserve"> (NSW) s 3(1) (definition of ‘Class 2 offence’ para (h)).</w:t>
      </w:r>
    </w:p>
  </w:footnote>
  <w:footnote w:id="628">
    <w:p w14:paraId="593BEDC8" w14:textId="77777777" w:rsidR="0042789D" w:rsidRPr="00F3498E" w:rsidRDefault="0042789D" w:rsidP="00F3498E">
      <w:pPr>
        <w:pStyle w:val="FootnoteText"/>
        <w:spacing w:before="60" w:after="60"/>
      </w:pPr>
      <w:r w:rsidRPr="00F3498E">
        <w:rPr>
          <w:rStyle w:val="FootnoteReference"/>
        </w:rPr>
        <w:footnoteRef/>
      </w:r>
      <w:r w:rsidRPr="00F3498E">
        <w:t xml:space="preserve"> </w:t>
      </w:r>
      <w:r w:rsidRPr="00F3498E">
        <w:rPr>
          <w:i/>
        </w:rPr>
        <w:t>Crimes Legislation Amendment (Slavery, Slavery-like Conditions and People Trafficking) Act 2013</w:t>
      </w:r>
      <w:r w:rsidRPr="00F3498E">
        <w:t xml:space="preserve"> (Cth).</w:t>
      </w:r>
    </w:p>
  </w:footnote>
  <w:footnote w:id="629">
    <w:p w14:paraId="6CBC0164" w14:textId="77777777" w:rsidR="0042789D" w:rsidRDefault="0042789D" w:rsidP="00F3498E">
      <w:pPr>
        <w:pStyle w:val="FootnoteText"/>
        <w:spacing w:before="60" w:after="60"/>
      </w:pPr>
      <w:r w:rsidRPr="00F3498E">
        <w:rPr>
          <w:rStyle w:val="FootnoteReference"/>
        </w:rPr>
        <w:footnoteRef/>
      </w:r>
      <w:r w:rsidRPr="00F3498E">
        <w:t xml:space="preserve"> </w:t>
      </w:r>
      <w:r w:rsidRPr="00F3498E">
        <w:rPr>
          <w:i/>
        </w:rPr>
        <w:t>Child Protection (Offenders Registration) Act 2000</w:t>
      </w:r>
      <w:r w:rsidRPr="00F3498E">
        <w:t xml:space="preserve"> (NSW) s 3(1).</w:t>
      </w:r>
    </w:p>
  </w:footnote>
  <w:footnote w:id="630">
    <w:p w14:paraId="2BD5D1B3" w14:textId="6846B4B1" w:rsidR="0042789D" w:rsidRPr="00767670" w:rsidRDefault="0042789D" w:rsidP="00F3526E">
      <w:pPr>
        <w:pStyle w:val="FootnoteText"/>
        <w:spacing w:before="60" w:after="60"/>
      </w:pPr>
      <w:r w:rsidRPr="00767670">
        <w:rPr>
          <w:rStyle w:val="FootnoteReference"/>
        </w:rPr>
        <w:footnoteRef/>
      </w:r>
      <w:r w:rsidRPr="00767670">
        <w:t xml:space="preserve"> </w:t>
      </w:r>
      <w:r w:rsidRPr="00767670">
        <w:rPr>
          <w:i/>
        </w:rPr>
        <w:t xml:space="preserve">Sex Offenders Registration Act 2004 </w:t>
      </w:r>
      <w:r>
        <w:t>(Vic) s</w:t>
      </w:r>
      <w:r w:rsidRPr="00767670">
        <w:t xml:space="preserve">chs 1-4; </w:t>
      </w:r>
      <w:r w:rsidRPr="00767670">
        <w:rPr>
          <w:i/>
        </w:rPr>
        <w:t>Child Protection (Offender Reporting and Offender Prohibition Order) Act 2004</w:t>
      </w:r>
      <w:r>
        <w:t xml:space="preserve"> (Qld) s</w:t>
      </w:r>
      <w:r w:rsidRPr="00767670">
        <w:t xml:space="preserve">ch 1; </w:t>
      </w:r>
      <w:r w:rsidRPr="00767670">
        <w:rPr>
          <w:i/>
        </w:rPr>
        <w:t>Community Protection (Offender Reporting) Act 2005</w:t>
      </w:r>
      <w:r>
        <w:t xml:space="preserve"> (Tas) s</w:t>
      </w:r>
      <w:r w:rsidRPr="00767670">
        <w:t xml:space="preserve">chs 1-3 (but also ss 13-15); </w:t>
      </w:r>
      <w:r w:rsidRPr="00767670">
        <w:rPr>
          <w:i/>
        </w:rPr>
        <w:t xml:space="preserve">Child Protection (Offender Reporting and Registration) Act 2004 </w:t>
      </w:r>
      <w:r>
        <w:t>(NT) s</w:t>
      </w:r>
      <w:r w:rsidRPr="00767670">
        <w:t xml:space="preserve">chs 1 - 2 (but also s 12); </w:t>
      </w:r>
      <w:r w:rsidRPr="00767670">
        <w:rPr>
          <w:i/>
        </w:rPr>
        <w:t xml:space="preserve">Crimes (Child Sex Offenders) Act 2005 </w:t>
      </w:r>
      <w:r>
        <w:t>(ACT) s</w:t>
      </w:r>
      <w:r w:rsidRPr="00767670">
        <w:t xml:space="preserve">chs 1 and 2; </w:t>
      </w:r>
      <w:r w:rsidRPr="00767670">
        <w:rPr>
          <w:i/>
        </w:rPr>
        <w:t>Child Sex Offenders Registration Act 2006</w:t>
      </w:r>
      <w:r>
        <w:t xml:space="preserve"> (SA) s</w:t>
      </w:r>
      <w:r w:rsidRPr="00767670">
        <w:t xml:space="preserve">ch 1; </w:t>
      </w:r>
      <w:r w:rsidRPr="00767670">
        <w:rPr>
          <w:i/>
        </w:rPr>
        <w:t>Community Protection (Offender Reporting) Act 2004</w:t>
      </w:r>
      <w:r>
        <w:t xml:space="preserve"> (WA) schs 1 </w:t>
      </w:r>
      <w:r w:rsidRPr="00DF355A">
        <w:t xml:space="preserve">&amp; 2 (but also ss 9 - 11, and </w:t>
      </w:r>
      <w:r w:rsidRPr="00DF355A">
        <w:rPr>
          <w:i/>
          <w:lang w:val="en"/>
        </w:rPr>
        <w:t>Community Protection (Offender Reporting) Regulations 2004</w:t>
      </w:r>
      <w:r w:rsidRPr="00DF355A">
        <w:rPr>
          <w:lang w:val="en"/>
        </w:rPr>
        <w:t xml:space="preserve"> (WA) regs 10 and 11</w:t>
      </w:r>
      <w:r w:rsidRPr="00DF355A">
        <w:t xml:space="preserve">); </w:t>
      </w:r>
      <w:r w:rsidRPr="00DF355A">
        <w:rPr>
          <w:i/>
        </w:rPr>
        <w:t>Child Protection (Child Sex Offender Government Agency Registration) Act 2016</w:t>
      </w:r>
      <w:r w:rsidRPr="00DF355A">
        <w:t xml:space="preserve"> (NZ) sch 2.</w:t>
      </w:r>
    </w:p>
  </w:footnote>
  <w:footnote w:id="631">
    <w:p w14:paraId="44DA93CC" w14:textId="24B29941" w:rsidR="0042789D" w:rsidRPr="00767670" w:rsidRDefault="0042789D" w:rsidP="00F3526E">
      <w:pPr>
        <w:pStyle w:val="FootnoteText"/>
        <w:spacing w:before="60" w:after="60"/>
      </w:pPr>
      <w:r w:rsidRPr="00767670">
        <w:rPr>
          <w:rStyle w:val="FootnoteReference"/>
        </w:rPr>
        <w:footnoteRef/>
      </w:r>
      <w:r w:rsidRPr="00767670">
        <w:t xml:space="preserve"> </w:t>
      </w:r>
      <w:r w:rsidRPr="00767670">
        <w:rPr>
          <w:i/>
        </w:rPr>
        <w:t xml:space="preserve">Crimes (Child Sex Offenders) Act 2005 </w:t>
      </w:r>
      <w:r>
        <w:t>(ACT) s</w:t>
      </w:r>
      <w:r w:rsidRPr="00767670">
        <w:t xml:space="preserve">chs 1 and 2; </w:t>
      </w:r>
      <w:r w:rsidRPr="00767670">
        <w:rPr>
          <w:i/>
        </w:rPr>
        <w:t>Child Protection (Child Sex Offender Government Agency Registration) Act 2016</w:t>
      </w:r>
      <w:r>
        <w:t xml:space="preserve"> (NZ) s</w:t>
      </w:r>
      <w:r w:rsidRPr="00767670">
        <w:t>ch 2.</w:t>
      </w:r>
    </w:p>
  </w:footnote>
  <w:footnote w:id="632">
    <w:p w14:paraId="58520C74" w14:textId="04007BE6" w:rsidR="0042789D" w:rsidRPr="00FB3427" w:rsidRDefault="0042789D" w:rsidP="008B2178">
      <w:pPr>
        <w:pStyle w:val="FootnoteText"/>
        <w:spacing w:before="60" w:after="60"/>
      </w:pPr>
      <w:r w:rsidRPr="00FB3427">
        <w:rPr>
          <w:rStyle w:val="FootnoteReference"/>
        </w:rPr>
        <w:footnoteRef/>
      </w:r>
      <w:r w:rsidRPr="00FB3427">
        <w:t xml:space="preserve"> </w:t>
      </w:r>
      <w:r>
        <w:t>Law Enforcement Conduct Commission</w:t>
      </w:r>
      <w:r w:rsidRPr="00FB3427">
        <w:t xml:space="preserve"> consultation with the NSW Police Force, Sydney, 26 July 2018; </w:t>
      </w:r>
      <w:r>
        <w:t>Law Enforcement Conduct Commission</w:t>
      </w:r>
      <w:r w:rsidRPr="00FB3427">
        <w:t xml:space="preserve"> consultation with NSW Police Force, </w:t>
      </w:r>
      <w:r>
        <w:t xml:space="preserve">Parramatta, </w:t>
      </w:r>
      <w:r w:rsidRPr="00FB3427">
        <w:t>18 October 2018.</w:t>
      </w:r>
    </w:p>
  </w:footnote>
  <w:footnote w:id="633">
    <w:p w14:paraId="5EB4A0F8" w14:textId="77777777" w:rsidR="0042789D" w:rsidRPr="00FB3427" w:rsidRDefault="0042789D" w:rsidP="008B2178">
      <w:pPr>
        <w:pStyle w:val="FootnoteText"/>
        <w:spacing w:before="60" w:after="60"/>
      </w:pPr>
      <w:r w:rsidRPr="00FB3427">
        <w:rPr>
          <w:rStyle w:val="FootnoteReference"/>
        </w:rPr>
        <w:footnoteRef/>
      </w:r>
      <w:r w:rsidRPr="00FB3427">
        <w:t xml:space="preserve"> </w:t>
      </w:r>
      <w:r w:rsidRPr="00FB3427">
        <w:rPr>
          <w:i/>
        </w:rPr>
        <w:t>Criminal Legislation Amendment (Child Sexual Abuse) Act 2018</w:t>
      </w:r>
      <w:r w:rsidRPr="00FB3427">
        <w:t xml:space="preserve"> (NSW) sch 1 cl 20.</w:t>
      </w:r>
    </w:p>
  </w:footnote>
  <w:footnote w:id="634">
    <w:p w14:paraId="125CD084" w14:textId="427F9706" w:rsidR="0042789D" w:rsidRPr="00FB3427" w:rsidRDefault="0042789D" w:rsidP="00440839">
      <w:pPr>
        <w:pStyle w:val="FootnoteText"/>
        <w:spacing w:before="60" w:after="60"/>
      </w:pPr>
      <w:r w:rsidRPr="00FB3427">
        <w:rPr>
          <w:rStyle w:val="FootnoteReference"/>
        </w:rPr>
        <w:footnoteRef/>
      </w:r>
      <w:r w:rsidRPr="00FB3427">
        <w:t xml:space="preserve"> </w:t>
      </w:r>
      <w:r>
        <w:t xml:space="preserve">Mr EE’s CPR case file was produced by the NSW Police Force in </w:t>
      </w:r>
      <w:r w:rsidRPr="00FB3427">
        <w:t xml:space="preserve">response to item 2(f) of </w:t>
      </w:r>
      <w:r>
        <w:t>Law Enforcement Conduct Commission</w:t>
      </w:r>
      <w:r w:rsidRPr="00FB3427">
        <w:t xml:space="preserve"> Notice 929 of 2018.</w:t>
      </w:r>
    </w:p>
  </w:footnote>
  <w:footnote w:id="635">
    <w:p w14:paraId="7E0B7D80" w14:textId="09ED2F3C" w:rsidR="0042789D" w:rsidRDefault="0042789D" w:rsidP="001A3BD6">
      <w:pPr>
        <w:pStyle w:val="FootnoteText"/>
        <w:spacing w:before="60" w:after="60"/>
      </w:pPr>
      <w:r w:rsidRPr="001A3BD6">
        <w:rPr>
          <w:rStyle w:val="FootnoteReference"/>
        </w:rPr>
        <w:footnoteRef/>
      </w:r>
      <w:r>
        <w:t xml:space="preserve"> Mr DD’s case file was produced by the NSW Police Force in response to item 2(e) of Law Enforcement Conduct Commission Notice 929 of</w:t>
      </w:r>
      <w:r w:rsidRPr="00EF2E1E">
        <w:t xml:space="preserve"> 2018</w:t>
      </w:r>
      <w:r>
        <w:t xml:space="preserve">. Mr DD’s case is also the subject of Case </w:t>
      </w:r>
      <w:r w:rsidRPr="0033390C">
        <w:t>Study 4 in</w:t>
      </w:r>
      <w:r>
        <w:t xml:space="preserve"> Chapter 3 of the report.</w:t>
      </w:r>
    </w:p>
  </w:footnote>
  <w:footnote w:id="636">
    <w:p w14:paraId="0A7B191F" w14:textId="1B9F41D9" w:rsidR="0042789D" w:rsidRPr="001F5E00" w:rsidRDefault="0042789D" w:rsidP="001A3BD6">
      <w:pPr>
        <w:pStyle w:val="FootnoteText"/>
        <w:spacing w:before="60" w:after="60"/>
      </w:pPr>
      <w:r w:rsidRPr="001F5E00">
        <w:rPr>
          <w:rStyle w:val="FootnoteReference"/>
        </w:rPr>
        <w:footnoteRef/>
      </w:r>
      <w:r>
        <w:t xml:space="preserve"> </w:t>
      </w:r>
      <w:r w:rsidRPr="001F5E00">
        <w:rPr>
          <w:rFonts w:cs="Arial"/>
          <w:i/>
        </w:rPr>
        <w:t>Child Protection (Offenders Registration) Act 2000</w:t>
      </w:r>
      <w:r w:rsidRPr="001F5E00">
        <w:rPr>
          <w:rFonts w:cs="Arial"/>
        </w:rPr>
        <w:t xml:space="preserve"> (N</w:t>
      </w:r>
      <w:r>
        <w:rPr>
          <w:rFonts w:cs="Arial"/>
        </w:rPr>
        <w:t>SW) s 3(3), 3A(2)(c)(i) and (5).</w:t>
      </w:r>
    </w:p>
  </w:footnote>
  <w:footnote w:id="637">
    <w:p w14:paraId="6CD13378" w14:textId="77777777" w:rsidR="0042789D" w:rsidRPr="00B77C9D" w:rsidRDefault="0042789D" w:rsidP="00354736">
      <w:pPr>
        <w:pStyle w:val="FootnoteText"/>
        <w:spacing w:before="60" w:after="60"/>
      </w:pPr>
      <w:r w:rsidRPr="00B77C9D">
        <w:rPr>
          <w:rStyle w:val="FootnoteReference"/>
        </w:rPr>
        <w:footnoteRef/>
      </w:r>
      <w:r w:rsidRPr="00B77C9D">
        <w:t xml:space="preserve"> </w:t>
      </w:r>
      <w:r w:rsidRPr="00B77C9D">
        <w:rPr>
          <w:i/>
        </w:rPr>
        <w:t>Child Protection (Offenders Registration) Act 2000</w:t>
      </w:r>
      <w:r w:rsidRPr="00B77C9D">
        <w:t xml:space="preserve"> (NSW) s 3A(2)(c)(ii).</w:t>
      </w:r>
    </w:p>
  </w:footnote>
  <w:footnote w:id="638">
    <w:p w14:paraId="30B08173" w14:textId="77777777" w:rsidR="0042789D" w:rsidRPr="00F969F3" w:rsidRDefault="0042789D" w:rsidP="00354736">
      <w:pPr>
        <w:pStyle w:val="FootnoteText"/>
        <w:spacing w:before="60" w:after="60"/>
      </w:pPr>
      <w:r w:rsidRPr="00F969F3">
        <w:rPr>
          <w:rStyle w:val="FootnoteReference"/>
        </w:rPr>
        <w:footnoteRef/>
      </w:r>
      <w:r w:rsidRPr="00F969F3">
        <w:t xml:space="preserve"> </w:t>
      </w:r>
      <w:r w:rsidRPr="00F969F3">
        <w:rPr>
          <w:i/>
        </w:rPr>
        <w:t>Child Protection (Offenders Registration) Act 2000</w:t>
      </w:r>
      <w:r w:rsidRPr="00F969F3">
        <w:t xml:space="preserve"> (NSW) s 3A(5).</w:t>
      </w:r>
    </w:p>
  </w:footnote>
  <w:footnote w:id="639">
    <w:p w14:paraId="7E62E02E" w14:textId="77777777" w:rsidR="0042789D" w:rsidRPr="00F969F3" w:rsidRDefault="0042789D" w:rsidP="00354736">
      <w:pPr>
        <w:pStyle w:val="FootnoteText"/>
        <w:spacing w:before="60" w:after="60"/>
      </w:pPr>
      <w:r w:rsidRPr="00F969F3">
        <w:rPr>
          <w:rStyle w:val="FootnoteReference"/>
        </w:rPr>
        <w:footnoteRef/>
      </w:r>
      <w:r w:rsidRPr="00F969F3">
        <w:t xml:space="preserve"> </w:t>
      </w:r>
      <w:r w:rsidRPr="00F969F3">
        <w:rPr>
          <w:i/>
        </w:rPr>
        <w:t>Child Protection (Offenders Registration) Act 2000</w:t>
      </w:r>
      <w:r w:rsidRPr="00F969F3">
        <w:t xml:space="preserve"> (NSW) s 3(3).</w:t>
      </w:r>
    </w:p>
  </w:footnote>
  <w:footnote w:id="640">
    <w:p w14:paraId="40A76517" w14:textId="3A2C021D" w:rsidR="0042789D" w:rsidRPr="00F969F3" w:rsidRDefault="0042789D">
      <w:pPr>
        <w:pStyle w:val="FootnoteText"/>
      </w:pPr>
      <w:r w:rsidRPr="00F969F3">
        <w:rPr>
          <w:rStyle w:val="FootnoteReference"/>
        </w:rPr>
        <w:footnoteRef/>
      </w:r>
      <w:r w:rsidRPr="00F969F3">
        <w:t xml:space="preserve"> This was the argument raised by legal representatives in the case of Mr PP (Example 7 discussed below in part </w:t>
      </w:r>
      <w:r w:rsidRPr="00F969F3">
        <w:fldChar w:fldCharType="begin"/>
      </w:r>
      <w:r w:rsidRPr="00F969F3">
        <w:instrText xml:space="preserve"> REF _Ref10037328 \r \h  \* MERGEFORMAT </w:instrText>
      </w:r>
      <w:r w:rsidRPr="00F969F3">
        <w:fldChar w:fldCharType="separate"/>
      </w:r>
      <w:r w:rsidR="00022664">
        <w:rPr>
          <w:rFonts w:hint="cs"/>
          <w:cs/>
        </w:rPr>
        <w:t>‎</w:t>
      </w:r>
      <w:r w:rsidR="00022664">
        <w:t>5.3</w:t>
      </w:r>
      <w:r w:rsidRPr="00F969F3">
        <w:fldChar w:fldCharType="end"/>
      </w:r>
      <w:r w:rsidRPr="00F969F3">
        <w:t>).</w:t>
      </w:r>
    </w:p>
  </w:footnote>
  <w:footnote w:id="641">
    <w:p w14:paraId="1C25133F" w14:textId="23847396" w:rsidR="0042789D" w:rsidRDefault="0042789D">
      <w:pPr>
        <w:pStyle w:val="FootnoteText"/>
      </w:pPr>
      <w:r w:rsidRPr="00F969F3">
        <w:rPr>
          <w:rStyle w:val="FootnoteReference"/>
        </w:rPr>
        <w:footnoteRef/>
      </w:r>
      <w:r w:rsidRPr="00F969F3">
        <w:t xml:space="preserve"> Mr </w:t>
      </w:r>
      <w:r w:rsidRPr="006310D3">
        <w:t>RR’s CPR case file was produced by the NSW Police Force in response to item 2(b) of Law Enforcement Conduct Commission Notice 929 of 2018. Mr RR is also the subject of Case Study 11 in Chapter 8.</w:t>
      </w:r>
    </w:p>
  </w:footnote>
  <w:footnote w:id="642">
    <w:p w14:paraId="49D6B2EE" w14:textId="77777777" w:rsidR="0042789D" w:rsidRPr="009D312B" w:rsidRDefault="0042789D" w:rsidP="0097778E">
      <w:pPr>
        <w:pStyle w:val="FootnoteText"/>
      </w:pPr>
      <w:r w:rsidRPr="009D312B">
        <w:rPr>
          <w:rStyle w:val="FootnoteReference"/>
        </w:rPr>
        <w:footnoteRef/>
      </w:r>
      <w:r w:rsidRPr="009D312B">
        <w:t xml:space="preserve"> </w:t>
      </w:r>
      <w:r w:rsidRPr="009D312B">
        <w:rPr>
          <w:i/>
        </w:rPr>
        <w:t>KE (by his next friend and tutor NE) v Commissioner of Police &amp; Ors</w:t>
      </w:r>
      <w:r w:rsidRPr="009D312B">
        <w:t xml:space="preserve"> [2018] NSWSC 941, [29].</w:t>
      </w:r>
    </w:p>
  </w:footnote>
  <w:footnote w:id="643">
    <w:p w14:paraId="4C9B42C1" w14:textId="77777777" w:rsidR="0042789D" w:rsidRPr="009D312B" w:rsidRDefault="0042789D" w:rsidP="00C43D95">
      <w:pPr>
        <w:pStyle w:val="FootnoteText"/>
        <w:spacing w:before="60" w:after="60"/>
      </w:pPr>
      <w:r w:rsidRPr="009D312B">
        <w:rPr>
          <w:rStyle w:val="FootnoteReference"/>
        </w:rPr>
        <w:footnoteRef/>
      </w:r>
      <w:r w:rsidRPr="009D312B">
        <w:t xml:space="preserve"> </w:t>
      </w:r>
      <w:r w:rsidRPr="009D312B">
        <w:rPr>
          <w:i/>
        </w:rPr>
        <w:t>KE (by his next friend and tutor NE) v Commissioner of Police &amp; Ors</w:t>
      </w:r>
      <w:r w:rsidRPr="009D312B">
        <w:t xml:space="preserve"> [2018] NSWSC 941.</w:t>
      </w:r>
    </w:p>
  </w:footnote>
  <w:footnote w:id="644">
    <w:p w14:paraId="7B5CCE56" w14:textId="77777777" w:rsidR="0042789D" w:rsidRPr="009D312B" w:rsidRDefault="0042789D" w:rsidP="00C43D95">
      <w:pPr>
        <w:pStyle w:val="FootnoteText"/>
        <w:spacing w:before="60" w:after="60"/>
      </w:pPr>
      <w:r w:rsidRPr="009D312B">
        <w:rPr>
          <w:rStyle w:val="FootnoteReference"/>
        </w:rPr>
        <w:footnoteRef/>
      </w:r>
      <w:r w:rsidRPr="009D312B">
        <w:t xml:space="preserve"> </w:t>
      </w:r>
      <w:r w:rsidRPr="009D312B">
        <w:rPr>
          <w:i/>
        </w:rPr>
        <w:t>KE (by his next friend and tutor NE) v Commissioner of Police &amp; Ors</w:t>
      </w:r>
      <w:r w:rsidRPr="009D312B">
        <w:t xml:space="preserve"> [2018] NSWSC 941, [28] and [45].</w:t>
      </w:r>
    </w:p>
  </w:footnote>
  <w:footnote w:id="645">
    <w:p w14:paraId="3264AC7C" w14:textId="77777777" w:rsidR="0042789D" w:rsidRPr="00E5706A" w:rsidRDefault="0042789D" w:rsidP="00C43D95">
      <w:pPr>
        <w:pStyle w:val="FootnoteText"/>
        <w:spacing w:before="60" w:after="60"/>
      </w:pPr>
      <w:r w:rsidRPr="009D312B">
        <w:rPr>
          <w:rStyle w:val="FootnoteReference"/>
        </w:rPr>
        <w:footnoteRef/>
      </w:r>
      <w:r w:rsidRPr="009D312B">
        <w:t xml:space="preserve"> </w:t>
      </w:r>
      <w:r w:rsidRPr="009D312B">
        <w:rPr>
          <w:i/>
        </w:rPr>
        <w:t xml:space="preserve">KE (by his next friend and </w:t>
      </w:r>
      <w:r w:rsidRPr="00E5706A">
        <w:rPr>
          <w:i/>
        </w:rPr>
        <w:t>tutor NE) v Commissioner of Police &amp; Ors</w:t>
      </w:r>
      <w:r w:rsidRPr="00E5706A">
        <w:t xml:space="preserve"> [2018] NSWSC 941, [41]-[45].</w:t>
      </w:r>
    </w:p>
  </w:footnote>
  <w:footnote w:id="646">
    <w:p w14:paraId="5EC126A2" w14:textId="69A78A55" w:rsidR="0042789D" w:rsidRPr="00C70833" w:rsidRDefault="0042789D" w:rsidP="00C43D95">
      <w:pPr>
        <w:pStyle w:val="FootnoteText"/>
        <w:spacing w:before="60" w:after="60"/>
      </w:pPr>
      <w:r w:rsidRPr="00E5706A">
        <w:rPr>
          <w:rStyle w:val="FootnoteReference"/>
        </w:rPr>
        <w:footnoteRef/>
      </w:r>
      <w:r w:rsidRPr="00E5706A">
        <w:t xml:space="preserve"> </w:t>
      </w:r>
      <w:r w:rsidRPr="00E5706A">
        <w:rPr>
          <w:i/>
        </w:rPr>
        <w:t>Child Protection (Offenders Registration) Act 2000</w:t>
      </w:r>
      <w:r w:rsidRPr="00E5706A">
        <w:t xml:space="preserve"> (NSW) s 3A(5)(c)(ii). ‘Foreign jurisdiction’ for the purposes of the CPOR Act is defined as including a jurisdic</w:t>
      </w:r>
      <w:r>
        <w:t>tion in Australia other than New South Wales</w:t>
      </w:r>
      <w:r w:rsidRPr="00E5706A">
        <w:t xml:space="preserve">: </w:t>
      </w:r>
      <w:r w:rsidRPr="00E5706A">
        <w:rPr>
          <w:i/>
        </w:rPr>
        <w:t>Child Protection (Offenders Registration) Act 2000</w:t>
      </w:r>
      <w:r w:rsidRPr="00E5706A">
        <w:t xml:space="preserve"> (NSW) s 3 (definition of ‘foreign jurisdiction’).</w:t>
      </w:r>
    </w:p>
  </w:footnote>
  <w:footnote w:id="647">
    <w:p w14:paraId="32F40937" w14:textId="74842142" w:rsidR="0042789D" w:rsidRDefault="0042789D" w:rsidP="00C43D95">
      <w:pPr>
        <w:pStyle w:val="FootnoteText"/>
        <w:spacing w:before="60" w:after="60"/>
      </w:pPr>
      <w:r w:rsidRPr="00C70833">
        <w:rPr>
          <w:rStyle w:val="FootnoteReference"/>
        </w:rPr>
        <w:footnoteRef/>
      </w:r>
      <w:r w:rsidRPr="00C70833">
        <w:t xml:space="preserve"> An offence against s 474.22 is a Class 2 offence: </w:t>
      </w:r>
      <w:r w:rsidRPr="00C70833">
        <w:rPr>
          <w:i/>
        </w:rPr>
        <w:t>Child Protection (Offenders Registration) Act 2000</w:t>
      </w:r>
      <w:r>
        <w:rPr>
          <w:i/>
        </w:rPr>
        <w:t xml:space="preserve"> </w:t>
      </w:r>
      <w:r w:rsidRPr="005F3E0C">
        <w:t>(NSW)</w:t>
      </w:r>
      <w:r w:rsidRPr="00C70833">
        <w:rPr>
          <w:i/>
        </w:rPr>
        <w:t xml:space="preserve"> </w:t>
      </w:r>
      <w:r>
        <w:t>s </w:t>
      </w:r>
      <w:r w:rsidRPr="00C70833">
        <w:t>3 (definition of ‘Class 2 offence’, para (g).</w:t>
      </w:r>
    </w:p>
  </w:footnote>
  <w:footnote w:id="648">
    <w:p w14:paraId="57126031" w14:textId="0658BDA3" w:rsidR="0042789D" w:rsidRPr="00B42044" w:rsidRDefault="0042789D" w:rsidP="00B42044">
      <w:pPr>
        <w:spacing w:before="60" w:after="60" w:line="240" w:lineRule="auto"/>
        <w:rPr>
          <w:sz w:val="20"/>
          <w:szCs w:val="20"/>
        </w:rPr>
      </w:pPr>
      <w:r w:rsidRPr="00B42044">
        <w:rPr>
          <w:rStyle w:val="FootnoteReference"/>
          <w:sz w:val="20"/>
          <w:szCs w:val="20"/>
        </w:rPr>
        <w:footnoteRef/>
      </w:r>
      <w:r w:rsidRPr="00B42044">
        <w:rPr>
          <w:sz w:val="20"/>
          <w:szCs w:val="20"/>
        </w:rPr>
        <w:t xml:space="preserve"> The offence of accessing ch</w:t>
      </w:r>
      <w:r>
        <w:rPr>
          <w:sz w:val="20"/>
          <w:szCs w:val="20"/>
        </w:rPr>
        <w:t xml:space="preserve">ild abuse material online in </w:t>
      </w:r>
      <w:r w:rsidRPr="00B42044">
        <w:rPr>
          <w:sz w:val="20"/>
          <w:szCs w:val="20"/>
        </w:rPr>
        <w:t xml:space="preserve">s 474.22 of the Commonwealth Code includes ‘the </w:t>
      </w:r>
      <w:r w:rsidRPr="00B42044">
        <w:rPr>
          <w:b/>
          <w:sz w:val="20"/>
          <w:szCs w:val="20"/>
        </w:rPr>
        <w:t>display</w:t>
      </w:r>
      <w:r w:rsidRPr="00B42044">
        <w:rPr>
          <w:sz w:val="20"/>
          <w:szCs w:val="20"/>
        </w:rPr>
        <w:t xml:space="preserve"> of the material by a computer or any other </w:t>
      </w:r>
      <w:r w:rsidRPr="00B42044">
        <w:rPr>
          <w:b/>
          <w:sz w:val="20"/>
          <w:szCs w:val="20"/>
        </w:rPr>
        <w:t>output</w:t>
      </w:r>
      <w:r w:rsidRPr="00B42044">
        <w:rPr>
          <w:sz w:val="20"/>
          <w:szCs w:val="20"/>
        </w:rPr>
        <w:t xml:space="preserve"> of the material from a computer’: s 473.1</w:t>
      </w:r>
      <w:r>
        <w:rPr>
          <w:sz w:val="20"/>
          <w:szCs w:val="20"/>
        </w:rPr>
        <w:t xml:space="preserve"> (emphasis added)</w:t>
      </w:r>
      <w:r w:rsidRPr="00B42044">
        <w:rPr>
          <w:sz w:val="20"/>
          <w:szCs w:val="20"/>
        </w:rPr>
        <w:t>. ‘Possessing, controlling, supplying or obtaining child abuse material for us</w:t>
      </w:r>
      <w:r>
        <w:rPr>
          <w:sz w:val="20"/>
          <w:szCs w:val="20"/>
        </w:rPr>
        <w:t>e through a carriage service’ is</w:t>
      </w:r>
      <w:r w:rsidRPr="00B42044">
        <w:rPr>
          <w:sz w:val="20"/>
          <w:szCs w:val="20"/>
        </w:rPr>
        <w:t xml:space="preserve"> an offence under s 474.23. The Code defines ‘possession’ of material or data as being interchangeable with ‘control’, and states that possession includes ‘having possession of a computer or data storage device that </w:t>
      </w:r>
      <w:r w:rsidRPr="00B42044">
        <w:rPr>
          <w:b/>
          <w:sz w:val="20"/>
          <w:szCs w:val="20"/>
        </w:rPr>
        <w:t>holds</w:t>
      </w:r>
      <w:r w:rsidRPr="00B42044">
        <w:rPr>
          <w:sz w:val="20"/>
          <w:szCs w:val="20"/>
        </w:rPr>
        <w:t xml:space="preserve"> or </w:t>
      </w:r>
      <w:r w:rsidRPr="00B42044">
        <w:rPr>
          <w:b/>
          <w:sz w:val="20"/>
          <w:szCs w:val="20"/>
        </w:rPr>
        <w:t>contains</w:t>
      </w:r>
      <w:r w:rsidRPr="00B42044">
        <w:rPr>
          <w:sz w:val="20"/>
          <w:szCs w:val="20"/>
        </w:rPr>
        <w:t xml:space="preserve"> the data’: s 473.2.</w:t>
      </w:r>
    </w:p>
  </w:footnote>
  <w:footnote w:id="649">
    <w:p w14:paraId="77011023" w14:textId="77777777" w:rsidR="0042789D" w:rsidRDefault="0042789D" w:rsidP="00B42044">
      <w:pPr>
        <w:pStyle w:val="FootnoteText"/>
        <w:spacing w:before="60" w:after="60"/>
      </w:pPr>
      <w:r w:rsidRPr="00B42044">
        <w:rPr>
          <w:rStyle w:val="FootnoteReference"/>
        </w:rPr>
        <w:footnoteRef/>
      </w:r>
      <w:r w:rsidRPr="00B42044">
        <w:t xml:space="preserve"> </w:t>
      </w:r>
      <w:r w:rsidRPr="00B42044">
        <w:rPr>
          <w:i/>
        </w:rPr>
        <w:t>Criminal Code Act 1995</w:t>
      </w:r>
      <w:r w:rsidRPr="00B42044">
        <w:t xml:space="preserve"> (Cth) s 473.2.</w:t>
      </w:r>
    </w:p>
  </w:footnote>
  <w:footnote w:id="650">
    <w:p w14:paraId="047D1A59" w14:textId="77777777" w:rsidR="0042789D" w:rsidRPr="00116631" w:rsidRDefault="0042789D" w:rsidP="00D254C2">
      <w:pPr>
        <w:pStyle w:val="FootnoteText"/>
        <w:spacing w:before="60" w:after="60"/>
      </w:pPr>
      <w:r w:rsidRPr="00116631">
        <w:rPr>
          <w:rStyle w:val="FootnoteReference"/>
        </w:rPr>
        <w:footnoteRef/>
      </w:r>
      <w:r w:rsidRPr="00116631">
        <w:t xml:space="preserve"> </w:t>
      </w:r>
      <w:r w:rsidRPr="00116631">
        <w:rPr>
          <w:i/>
        </w:rPr>
        <w:t>Criminal Legislation Amendment (Child Sexual Abuse) Act 2018</w:t>
      </w:r>
      <w:r w:rsidRPr="00116631">
        <w:t xml:space="preserve"> (NSW) sch 2 cl 6.</w:t>
      </w:r>
    </w:p>
  </w:footnote>
  <w:footnote w:id="651">
    <w:p w14:paraId="4E687284" w14:textId="77777777" w:rsidR="0042789D" w:rsidRDefault="0042789D" w:rsidP="00D254C2">
      <w:pPr>
        <w:pStyle w:val="FootnoteText"/>
        <w:spacing w:before="60" w:after="60"/>
      </w:pPr>
      <w:r w:rsidRPr="00116631">
        <w:rPr>
          <w:rStyle w:val="FootnoteReference"/>
        </w:rPr>
        <w:footnoteRef/>
      </w:r>
      <w:r>
        <w:t xml:space="preserve"> Sub-section 3C(4) </w:t>
      </w:r>
      <w:r w:rsidRPr="00116631">
        <w:t>provide</w:t>
      </w:r>
      <w:r>
        <w:t>s</w:t>
      </w:r>
      <w:r w:rsidRPr="00116631">
        <w:t xml:space="preserve"> that ‘this section…does not limit section 3A(2)(c) as it applies to </w:t>
      </w:r>
      <w:r>
        <w:t>offences committed by children’</w:t>
      </w:r>
      <w:r w:rsidRPr="00116631">
        <w:t>.</w:t>
      </w:r>
    </w:p>
  </w:footnote>
  <w:footnote w:id="652">
    <w:p w14:paraId="0D93AC2E" w14:textId="77777777" w:rsidR="0042789D" w:rsidRPr="00BF5864" w:rsidRDefault="0042789D" w:rsidP="00FE1B60">
      <w:pPr>
        <w:pStyle w:val="FootnoteText"/>
      </w:pPr>
      <w:r w:rsidRPr="00BF5864">
        <w:rPr>
          <w:rStyle w:val="FootnoteReference"/>
        </w:rPr>
        <w:footnoteRef/>
      </w:r>
      <w:r w:rsidRPr="00BF5864">
        <w:t xml:space="preserve"> </w:t>
      </w:r>
      <w:r w:rsidRPr="00BF5864">
        <w:rPr>
          <w:i/>
        </w:rPr>
        <w:t>Child Protection (Offenders Registration) Act 2000</w:t>
      </w:r>
      <w:r w:rsidRPr="00BF5864">
        <w:t xml:space="preserve"> (NSW) s 14B.</w:t>
      </w:r>
    </w:p>
  </w:footnote>
  <w:footnote w:id="653">
    <w:p w14:paraId="75410EF0" w14:textId="2922190B" w:rsidR="0042789D" w:rsidRPr="00767670" w:rsidRDefault="0042789D" w:rsidP="00D15BAC">
      <w:pPr>
        <w:spacing w:before="60" w:after="60" w:line="240" w:lineRule="auto"/>
        <w:rPr>
          <w:sz w:val="20"/>
        </w:rPr>
      </w:pPr>
      <w:r w:rsidRPr="00BF5864">
        <w:rPr>
          <w:rStyle w:val="FootnoteReference"/>
          <w:sz w:val="20"/>
        </w:rPr>
        <w:footnoteRef/>
      </w:r>
      <w:r w:rsidRPr="00BF5864">
        <w:rPr>
          <w:sz w:val="20"/>
        </w:rPr>
        <w:t xml:space="preserve"> </w:t>
      </w:r>
      <w:r>
        <w:rPr>
          <w:sz w:val="20"/>
        </w:rPr>
        <w:t>Workforce Intelligence</w:t>
      </w:r>
      <w:r w:rsidRPr="00802C2E">
        <w:rPr>
          <w:sz w:val="20"/>
        </w:rPr>
        <w:t xml:space="preserve"> Unit, </w:t>
      </w:r>
      <w:r>
        <w:rPr>
          <w:sz w:val="20"/>
        </w:rPr>
        <w:t>Human Resources Command, NSW Police Force,</w:t>
      </w:r>
      <w:r w:rsidRPr="00802C2E">
        <w:rPr>
          <w:sz w:val="20"/>
        </w:rPr>
        <w:t xml:space="preserve"> </w:t>
      </w:r>
      <w:r w:rsidRPr="00802C2E">
        <w:rPr>
          <w:i/>
          <w:sz w:val="20"/>
        </w:rPr>
        <w:t>HR Analysis: Child Protection Register Staffing Review</w:t>
      </w:r>
      <w:r w:rsidRPr="00802C2E">
        <w:rPr>
          <w:sz w:val="20"/>
        </w:rPr>
        <w:t xml:space="preserve">, 20 July 2017, D/2017/630614, </w:t>
      </w:r>
      <w:r>
        <w:rPr>
          <w:sz w:val="20"/>
        </w:rPr>
        <w:t>NSW Police Force response</w:t>
      </w:r>
      <w:r w:rsidRPr="00802C2E">
        <w:rPr>
          <w:sz w:val="20"/>
        </w:rPr>
        <w:t xml:space="preserve"> to item 1 of </w:t>
      </w:r>
      <w:r>
        <w:rPr>
          <w:sz w:val="20"/>
        </w:rPr>
        <w:t>Law Enforcement Conduct Commission Notice</w:t>
      </w:r>
      <w:r w:rsidRPr="00802C2E">
        <w:rPr>
          <w:sz w:val="20"/>
        </w:rPr>
        <w:t xml:space="preserve"> 929 of 2017</w:t>
      </w:r>
      <w:r w:rsidRPr="00BF5864">
        <w:rPr>
          <w:sz w:val="20"/>
        </w:rPr>
        <w:t>, p 50.</w:t>
      </w:r>
    </w:p>
  </w:footnote>
  <w:footnote w:id="654">
    <w:p w14:paraId="5BE71029" w14:textId="77777777" w:rsidR="0042789D" w:rsidRPr="00465385" w:rsidRDefault="0042789D" w:rsidP="00DF42EF">
      <w:pPr>
        <w:pStyle w:val="FootnoteText"/>
        <w:spacing w:before="60" w:after="60"/>
      </w:pPr>
      <w:r w:rsidRPr="00465385">
        <w:rPr>
          <w:rStyle w:val="FootnoteReference"/>
        </w:rPr>
        <w:footnoteRef/>
      </w:r>
      <w:r w:rsidRPr="00465385">
        <w:t xml:space="preserve"> </w:t>
      </w:r>
      <w:r w:rsidRPr="00465385">
        <w:rPr>
          <w:i/>
        </w:rPr>
        <w:t>Child Protection (Offenders Registration) Act 2000</w:t>
      </w:r>
      <w:r w:rsidRPr="00465385">
        <w:t xml:space="preserve"> (NSW) s 14A(1)(c) and (2).</w:t>
      </w:r>
    </w:p>
  </w:footnote>
  <w:footnote w:id="655">
    <w:p w14:paraId="51494342" w14:textId="33845F07" w:rsidR="0042789D" w:rsidRPr="00DF42EF" w:rsidRDefault="0042789D" w:rsidP="00DF42EF">
      <w:pPr>
        <w:pStyle w:val="FootnoteText"/>
        <w:spacing w:before="60" w:after="60"/>
      </w:pPr>
      <w:r w:rsidRPr="00DF42EF">
        <w:rPr>
          <w:rStyle w:val="FootnoteReference"/>
        </w:rPr>
        <w:footnoteRef/>
      </w:r>
      <w:r w:rsidRPr="00DF42EF">
        <w:t xml:space="preserve"> See the discussion in part </w:t>
      </w:r>
      <w:r w:rsidRPr="00DF42EF">
        <w:fldChar w:fldCharType="begin"/>
      </w:r>
      <w:r w:rsidRPr="00DF42EF">
        <w:instrText xml:space="preserve"> REF _Ref10038697 \r \h  \* MERGEFORMAT </w:instrText>
      </w:r>
      <w:r w:rsidRPr="00DF42EF">
        <w:fldChar w:fldCharType="separate"/>
      </w:r>
      <w:r w:rsidR="00022664">
        <w:rPr>
          <w:rFonts w:hint="cs"/>
          <w:cs/>
        </w:rPr>
        <w:t>‎</w:t>
      </w:r>
      <w:r w:rsidR="00022664">
        <w:t>3</w:t>
      </w:r>
      <w:r w:rsidRPr="00DF42EF">
        <w:fldChar w:fldCharType="end"/>
      </w:r>
      <w:r w:rsidRPr="00DF42EF">
        <w:t xml:space="preserve"> of this appendix.</w:t>
      </w:r>
    </w:p>
  </w:footnote>
  <w:footnote w:id="656">
    <w:p w14:paraId="47088DFA" w14:textId="55361589" w:rsidR="0042789D" w:rsidRDefault="0042789D" w:rsidP="00DF42EF">
      <w:pPr>
        <w:pStyle w:val="FootnoteText"/>
        <w:spacing w:before="60" w:after="60"/>
      </w:pPr>
      <w:r w:rsidRPr="00DF42EF">
        <w:rPr>
          <w:rStyle w:val="FootnoteReference"/>
        </w:rPr>
        <w:footnoteRef/>
      </w:r>
      <w:r w:rsidRPr="00DF42EF">
        <w:t xml:space="preserve"> See the discussion in parts </w:t>
      </w:r>
      <w:r w:rsidRPr="00DF42EF">
        <w:fldChar w:fldCharType="begin"/>
      </w:r>
      <w:r w:rsidRPr="00DF42EF">
        <w:instrText xml:space="preserve"> REF _Ref10038884 \r \h  \* MERGEFORMAT </w:instrText>
      </w:r>
      <w:r w:rsidRPr="00DF42EF">
        <w:fldChar w:fldCharType="separate"/>
      </w:r>
      <w:r w:rsidR="00022664">
        <w:rPr>
          <w:rFonts w:hint="cs"/>
          <w:cs/>
        </w:rPr>
        <w:t>‎</w:t>
      </w:r>
      <w:r w:rsidR="00022664">
        <w:t>4.1</w:t>
      </w:r>
      <w:r w:rsidRPr="00DF42EF">
        <w:fldChar w:fldCharType="end"/>
      </w:r>
      <w:r w:rsidRPr="00DF42EF">
        <w:t xml:space="preserve"> and </w:t>
      </w:r>
      <w:r w:rsidRPr="00DF42EF">
        <w:fldChar w:fldCharType="begin"/>
      </w:r>
      <w:r w:rsidRPr="00DF42EF">
        <w:instrText xml:space="preserve"> REF _Ref10038889 \r \h  \* MERGEFORMAT </w:instrText>
      </w:r>
      <w:r w:rsidRPr="00DF42EF">
        <w:fldChar w:fldCharType="separate"/>
      </w:r>
      <w:r w:rsidR="00022664">
        <w:rPr>
          <w:rFonts w:hint="cs"/>
          <w:cs/>
        </w:rPr>
        <w:t>‎</w:t>
      </w:r>
      <w:r w:rsidR="00022664">
        <w:t>4.2</w:t>
      </w:r>
      <w:r w:rsidRPr="00DF42EF">
        <w:fldChar w:fldCharType="end"/>
      </w:r>
      <w:r w:rsidRPr="00DF42EF">
        <w:t xml:space="preserve"> of this appendix.</w:t>
      </w:r>
    </w:p>
  </w:footnote>
  <w:footnote w:id="657">
    <w:p w14:paraId="4A63E237" w14:textId="32160EFD" w:rsidR="0042789D" w:rsidRPr="00465385" w:rsidRDefault="0042789D" w:rsidP="00DF42EF">
      <w:pPr>
        <w:spacing w:before="60" w:after="60" w:line="240" w:lineRule="auto"/>
        <w:rPr>
          <w:sz w:val="20"/>
        </w:rPr>
      </w:pPr>
      <w:r w:rsidRPr="00465385">
        <w:rPr>
          <w:rStyle w:val="FootnoteReference"/>
          <w:sz w:val="20"/>
        </w:rPr>
        <w:footnoteRef/>
      </w:r>
      <w:r w:rsidRPr="00465385">
        <w:rPr>
          <w:sz w:val="20"/>
        </w:rPr>
        <w:t xml:space="preserve"> </w:t>
      </w:r>
      <w:r>
        <w:rPr>
          <w:sz w:val="20"/>
        </w:rPr>
        <w:t>Workforce Intelligence</w:t>
      </w:r>
      <w:r w:rsidRPr="00802C2E">
        <w:rPr>
          <w:sz w:val="20"/>
        </w:rPr>
        <w:t xml:space="preserve"> Unit, </w:t>
      </w:r>
      <w:r>
        <w:rPr>
          <w:sz w:val="20"/>
        </w:rPr>
        <w:t>Human Resources Command, NSW Police Force,</w:t>
      </w:r>
      <w:r w:rsidRPr="00802C2E">
        <w:rPr>
          <w:sz w:val="20"/>
        </w:rPr>
        <w:t xml:space="preserve"> </w:t>
      </w:r>
      <w:r w:rsidRPr="00802C2E">
        <w:rPr>
          <w:i/>
          <w:sz w:val="20"/>
        </w:rPr>
        <w:t>HR Analysis: Child Protection Register Staffing Review</w:t>
      </w:r>
      <w:r w:rsidRPr="00802C2E">
        <w:rPr>
          <w:sz w:val="20"/>
        </w:rPr>
        <w:t xml:space="preserve">, 20 July 2017, D/2017/630614, </w:t>
      </w:r>
      <w:r>
        <w:rPr>
          <w:sz w:val="20"/>
        </w:rPr>
        <w:t>NSW Police Force response</w:t>
      </w:r>
      <w:r w:rsidRPr="00802C2E">
        <w:rPr>
          <w:sz w:val="20"/>
        </w:rPr>
        <w:t xml:space="preserve"> to item 1 of </w:t>
      </w:r>
      <w:r>
        <w:rPr>
          <w:sz w:val="20"/>
        </w:rPr>
        <w:t>Law Enforcement Conduct Commission Notice</w:t>
      </w:r>
      <w:r w:rsidRPr="00802C2E">
        <w:rPr>
          <w:sz w:val="20"/>
        </w:rPr>
        <w:t xml:space="preserve"> 929 of 2017</w:t>
      </w:r>
      <w:r w:rsidRPr="00465385">
        <w:rPr>
          <w:sz w:val="20"/>
        </w:rPr>
        <w:t>, p 64.</w:t>
      </w:r>
    </w:p>
  </w:footnote>
  <w:footnote w:id="658">
    <w:p w14:paraId="74EA3257" w14:textId="28263BBC" w:rsidR="0042789D" w:rsidRPr="00767670" w:rsidRDefault="0042789D" w:rsidP="00DF42EF">
      <w:pPr>
        <w:spacing w:before="60" w:after="60" w:line="240" w:lineRule="auto"/>
        <w:rPr>
          <w:sz w:val="20"/>
        </w:rPr>
      </w:pPr>
      <w:r w:rsidRPr="00465385">
        <w:rPr>
          <w:rStyle w:val="FootnoteReference"/>
          <w:sz w:val="20"/>
        </w:rPr>
        <w:footnoteRef/>
      </w:r>
      <w:r w:rsidRPr="00465385">
        <w:rPr>
          <w:sz w:val="20"/>
        </w:rPr>
        <w:t xml:space="preserve"> </w:t>
      </w:r>
      <w:r>
        <w:rPr>
          <w:sz w:val="20"/>
        </w:rPr>
        <w:t xml:space="preserve">Ibid </w:t>
      </w:r>
      <w:r w:rsidRPr="00465385">
        <w:rPr>
          <w:sz w:val="20"/>
        </w:rPr>
        <w:t xml:space="preserve">p 52; </w:t>
      </w:r>
      <w:r>
        <w:rPr>
          <w:sz w:val="20"/>
        </w:rPr>
        <w:t>Officer</w:t>
      </w:r>
      <w:r w:rsidRPr="00465385">
        <w:rPr>
          <w:sz w:val="20"/>
        </w:rPr>
        <w:t xml:space="preserve">, Child Protection Registry, </w:t>
      </w:r>
      <w:r w:rsidRPr="00465385">
        <w:rPr>
          <w:i/>
          <w:sz w:val="20"/>
        </w:rPr>
        <w:t>Serious concerns raised regarding the Child Protection Register (CPR) reporting period timeframes and the lack of review of matters prior to case finalisation</w:t>
      </w:r>
      <w:r w:rsidRPr="00465385">
        <w:rPr>
          <w:sz w:val="20"/>
        </w:rPr>
        <w:t xml:space="preserve">, 26 May 2016, D/2016/277899, </w:t>
      </w:r>
      <w:r>
        <w:rPr>
          <w:sz w:val="20"/>
        </w:rPr>
        <w:t>NSW Police Force response</w:t>
      </w:r>
      <w:r w:rsidRPr="00465385">
        <w:rPr>
          <w:sz w:val="20"/>
        </w:rPr>
        <w:t xml:space="preserve"> to </w:t>
      </w:r>
      <w:r>
        <w:rPr>
          <w:sz w:val="20"/>
        </w:rPr>
        <w:t>Law Enforcement Conduct Commission Notice</w:t>
      </w:r>
      <w:r w:rsidRPr="00465385">
        <w:rPr>
          <w:sz w:val="20"/>
        </w:rPr>
        <w:t xml:space="preserve"> 914 of 2017, p 2.</w:t>
      </w:r>
    </w:p>
  </w:footnote>
  <w:footnote w:id="659">
    <w:p w14:paraId="579A360E" w14:textId="45F3358A" w:rsidR="0042789D" w:rsidRPr="00770710" w:rsidRDefault="0042789D" w:rsidP="004A46A8">
      <w:pPr>
        <w:pStyle w:val="FootnoteText"/>
        <w:spacing w:before="60" w:after="60"/>
      </w:pPr>
      <w:r w:rsidRPr="00DB3EE8">
        <w:rPr>
          <w:rStyle w:val="FootnoteReference"/>
        </w:rPr>
        <w:footnoteRef/>
      </w:r>
      <w:r w:rsidRPr="00DB3EE8">
        <w:rPr>
          <w:i/>
        </w:rPr>
        <w:t xml:space="preserve"> </w:t>
      </w:r>
      <w:r w:rsidRPr="00DB3EE8">
        <w:t xml:space="preserve">See the categories ‘reporting period increased’ and ‘reporting period decreased’ in the </w:t>
      </w:r>
      <w:r w:rsidRPr="00770710">
        <w:t xml:space="preserve">table in Appendix 1. </w:t>
      </w:r>
    </w:p>
  </w:footnote>
  <w:footnote w:id="660">
    <w:p w14:paraId="4C2BF739" w14:textId="77777777" w:rsidR="0042789D" w:rsidRPr="00770710" w:rsidRDefault="0042789D" w:rsidP="004A46A8">
      <w:pPr>
        <w:pStyle w:val="FootnoteText"/>
        <w:spacing w:before="60" w:after="60"/>
      </w:pPr>
      <w:r w:rsidRPr="00770710">
        <w:rPr>
          <w:rStyle w:val="FootnoteReference"/>
        </w:rPr>
        <w:footnoteRef/>
      </w:r>
      <w:r w:rsidRPr="00770710">
        <w:t xml:space="preserve"> </w:t>
      </w:r>
      <w:r w:rsidRPr="00770710">
        <w:rPr>
          <w:i/>
        </w:rPr>
        <w:t>Child Protection (Offenders Registration) Act 2000</w:t>
      </w:r>
      <w:r w:rsidRPr="00770710">
        <w:t xml:space="preserve"> (NSW) s 14B.</w:t>
      </w:r>
    </w:p>
  </w:footnote>
  <w:footnote w:id="661">
    <w:p w14:paraId="1DD7C541" w14:textId="7951A29D" w:rsidR="0042789D" w:rsidRPr="00DB3EE8" w:rsidRDefault="0042789D" w:rsidP="004A46A8">
      <w:pPr>
        <w:pStyle w:val="FootnoteText"/>
        <w:spacing w:before="60" w:after="60"/>
      </w:pPr>
      <w:r w:rsidRPr="00770710">
        <w:rPr>
          <w:rStyle w:val="FootnoteReference"/>
        </w:rPr>
        <w:footnoteRef/>
      </w:r>
      <w:r w:rsidRPr="00770710">
        <w:t xml:space="preserve"> Mr CC’s CPR case file was produced by the NSW Police Force in response to item 2(p) of Law Enforcement Conduct Commission Notice 929 of 2018. Mr CC’s case is also the subject of Case Study 6 in Chapter </w:t>
      </w:r>
      <w:r w:rsidRPr="00770710">
        <w:fldChar w:fldCharType="begin"/>
      </w:r>
      <w:r w:rsidRPr="00770710">
        <w:instrText xml:space="preserve"> REF _Ref10040293 \r \h  \* MERGEFORMAT </w:instrText>
      </w:r>
      <w:r w:rsidRPr="00770710">
        <w:fldChar w:fldCharType="separate"/>
      </w:r>
      <w:r w:rsidR="00022664">
        <w:rPr>
          <w:rFonts w:hint="cs"/>
          <w:cs/>
        </w:rPr>
        <w:t>‎</w:t>
      </w:r>
      <w:r w:rsidR="00022664">
        <w:t>3</w:t>
      </w:r>
      <w:r w:rsidRPr="00770710">
        <w:fldChar w:fldCharType="end"/>
      </w:r>
      <w:r w:rsidRPr="00770710">
        <w:t xml:space="preserve"> and Case Study 8 in Chapter </w:t>
      </w:r>
      <w:r w:rsidRPr="00770710">
        <w:fldChar w:fldCharType="begin"/>
      </w:r>
      <w:r w:rsidRPr="00770710">
        <w:instrText xml:space="preserve"> REF _Ref9349261 \r \h  \* MERGEFORMAT </w:instrText>
      </w:r>
      <w:r w:rsidRPr="00770710">
        <w:fldChar w:fldCharType="separate"/>
      </w:r>
      <w:r w:rsidR="00022664">
        <w:rPr>
          <w:rFonts w:hint="cs"/>
          <w:cs/>
        </w:rPr>
        <w:t>‎</w:t>
      </w:r>
      <w:r w:rsidR="00022664">
        <w:t>4</w:t>
      </w:r>
      <w:r w:rsidRPr="00770710">
        <w:fldChar w:fldCharType="end"/>
      </w:r>
      <w:r w:rsidRPr="00770710">
        <w:t>.</w:t>
      </w:r>
    </w:p>
  </w:footnote>
  <w:footnote w:id="662">
    <w:p w14:paraId="26B4351C" w14:textId="18F24DE3" w:rsidR="0042789D" w:rsidRPr="00DB3EE8" w:rsidRDefault="0042789D" w:rsidP="004A46A8">
      <w:pPr>
        <w:pStyle w:val="FootnoteText"/>
        <w:spacing w:before="60" w:after="60"/>
      </w:pPr>
      <w:r w:rsidRPr="00DB3EE8">
        <w:rPr>
          <w:rStyle w:val="FootnoteReference"/>
        </w:rPr>
        <w:footnoteRef/>
      </w:r>
      <w:r>
        <w:t xml:space="preserve"> </w:t>
      </w:r>
      <w:r w:rsidRPr="00DB3EE8">
        <w:rPr>
          <w:rFonts w:cs="Arial"/>
        </w:rPr>
        <w:t xml:space="preserve">Mr CC was sentenced to a good </w:t>
      </w:r>
      <w:r>
        <w:rPr>
          <w:rFonts w:cs="Arial"/>
        </w:rPr>
        <w:t>behaviour bond for a period of three</w:t>
      </w:r>
      <w:r w:rsidRPr="00DB3EE8">
        <w:rPr>
          <w:rFonts w:cs="Arial"/>
        </w:rPr>
        <w:t xml:space="preserve"> years, and therefore was an</w:t>
      </w:r>
      <w:r>
        <w:rPr>
          <w:rFonts w:cs="Arial"/>
        </w:rPr>
        <w:t xml:space="preserve"> ‘existing controlled person’ on</w:t>
      </w:r>
      <w:r w:rsidRPr="00DB3EE8">
        <w:rPr>
          <w:rFonts w:cs="Arial"/>
        </w:rPr>
        <w:t xml:space="preserve"> the date the CPOR Act commenced (15 October 2001): </w:t>
      </w:r>
      <w:r w:rsidRPr="00DB3EE8">
        <w:t xml:space="preserve">See </w:t>
      </w:r>
      <w:r w:rsidRPr="00DB3EE8">
        <w:rPr>
          <w:i/>
        </w:rPr>
        <w:t>Child Protection (Offenders Registration) Act 2000</w:t>
      </w:r>
      <w:r w:rsidRPr="00DB3EE8">
        <w:t xml:space="preserve"> (NSW) s 3 (definition of ‘existing controlled person’, limb (f))</w:t>
      </w:r>
    </w:p>
  </w:footnote>
  <w:footnote w:id="663">
    <w:p w14:paraId="269BB720" w14:textId="2B0F1196" w:rsidR="0042789D" w:rsidRPr="00266757" w:rsidRDefault="0042789D" w:rsidP="00370ABD">
      <w:pPr>
        <w:pStyle w:val="Footnote"/>
        <w:rPr>
          <w:szCs w:val="20"/>
        </w:rPr>
      </w:pPr>
      <w:r w:rsidRPr="00266757">
        <w:rPr>
          <w:rStyle w:val="FootnoteReference"/>
          <w:rFonts w:ascii="Gotham Book" w:hAnsi="Gotham Book"/>
          <w:szCs w:val="20"/>
        </w:rPr>
        <w:footnoteRef/>
      </w:r>
      <w:r w:rsidRPr="00266757">
        <w:rPr>
          <w:szCs w:val="20"/>
        </w:rPr>
        <w:t xml:space="preserve"> </w:t>
      </w:r>
      <w:r>
        <w:rPr>
          <w:szCs w:val="20"/>
        </w:rPr>
        <w:t>Law Enforcement Conduct Commission</w:t>
      </w:r>
      <w:r w:rsidRPr="00266757">
        <w:rPr>
          <w:szCs w:val="20"/>
        </w:rPr>
        <w:t xml:space="preserve"> review of JusticeLink.</w:t>
      </w:r>
    </w:p>
  </w:footnote>
  <w:footnote w:id="664">
    <w:p w14:paraId="242FB58C" w14:textId="77777777" w:rsidR="0042789D" w:rsidRPr="00266757" w:rsidRDefault="0042789D" w:rsidP="00370ABD">
      <w:pPr>
        <w:pStyle w:val="FootnoteText"/>
        <w:spacing w:before="60" w:after="60"/>
      </w:pPr>
      <w:r w:rsidRPr="00266757">
        <w:rPr>
          <w:rStyle w:val="FootnoteReference"/>
        </w:rPr>
        <w:footnoteRef/>
      </w:r>
      <w:r w:rsidRPr="00266757">
        <w:t xml:space="preserve"> </w:t>
      </w:r>
      <w:r w:rsidRPr="00266757">
        <w:rPr>
          <w:i/>
        </w:rPr>
        <w:t>Child Protection (Offenders Registration) Act 2000</w:t>
      </w:r>
      <w:r w:rsidRPr="00266757">
        <w:t xml:space="preserve"> (NSW) s 14A(4)(a).</w:t>
      </w:r>
    </w:p>
  </w:footnote>
  <w:footnote w:id="665">
    <w:p w14:paraId="3D07E45A" w14:textId="4E86FC91" w:rsidR="0042789D" w:rsidRPr="00266757" w:rsidRDefault="0042789D" w:rsidP="00370ABD">
      <w:pPr>
        <w:pStyle w:val="FootnoteText"/>
        <w:spacing w:before="60" w:after="60"/>
      </w:pPr>
      <w:r w:rsidRPr="00266757">
        <w:rPr>
          <w:rStyle w:val="FootnoteReference"/>
        </w:rPr>
        <w:footnoteRef/>
      </w:r>
      <w:r>
        <w:t xml:space="preserve"> Mr MM’s CPR case file was produced by the NSW Police Force in response</w:t>
      </w:r>
      <w:r w:rsidRPr="00363F30">
        <w:t xml:space="preserve"> to item 2(o) of </w:t>
      </w:r>
      <w:r>
        <w:t>Law Enforcement Conduct Commission Notice</w:t>
      </w:r>
      <w:r w:rsidRPr="00363F30">
        <w:t xml:space="preserve"> 929 of 2018</w:t>
      </w:r>
      <w:r w:rsidRPr="00266757">
        <w:t>.</w:t>
      </w:r>
    </w:p>
  </w:footnote>
  <w:footnote w:id="666">
    <w:p w14:paraId="55FEA980" w14:textId="39787551" w:rsidR="0042789D" w:rsidRPr="00F063A5" w:rsidRDefault="0042789D" w:rsidP="00F46948">
      <w:pPr>
        <w:pStyle w:val="FootnoteText"/>
        <w:spacing w:before="60" w:after="60"/>
      </w:pPr>
      <w:r w:rsidRPr="00F063A5">
        <w:rPr>
          <w:rStyle w:val="FootnoteReference"/>
        </w:rPr>
        <w:footnoteRef/>
      </w:r>
      <w:r w:rsidRPr="00F063A5">
        <w:t xml:space="preserve"> </w:t>
      </w:r>
      <w:r>
        <w:t>A d</w:t>
      </w:r>
      <w:r w:rsidRPr="00F063A5">
        <w:t xml:space="preserve">raft letter from the </w:t>
      </w:r>
      <w:r>
        <w:t>NSW Police Force</w:t>
      </w:r>
      <w:r w:rsidRPr="00F063A5">
        <w:t xml:space="preserve"> to Mr VV,</w:t>
      </w:r>
      <w:r>
        <w:t xml:space="preserve"> dated</w:t>
      </w:r>
      <w:r w:rsidRPr="00F063A5">
        <w:t xml:space="preserve"> 22 June 2016, </w:t>
      </w:r>
      <w:r>
        <w:t>was produced by the NSW Police Force in response</w:t>
      </w:r>
      <w:r w:rsidRPr="00F063A5">
        <w:t xml:space="preserve"> to </w:t>
      </w:r>
      <w:r>
        <w:t>Law Enforcement Conduct Commission Notice</w:t>
      </w:r>
      <w:r w:rsidRPr="00F063A5">
        <w:t xml:space="preserve"> 977 of 2018</w:t>
      </w:r>
      <w:r w:rsidRPr="00F46948">
        <w:t>.</w:t>
      </w:r>
    </w:p>
  </w:footnote>
  <w:footnote w:id="667">
    <w:p w14:paraId="567196F7" w14:textId="1AC5BEB6" w:rsidR="0042789D" w:rsidRPr="00F063A5" w:rsidRDefault="0042789D" w:rsidP="00F46948">
      <w:pPr>
        <w:pStyle w:val="FootnoteText"/>
        <w:spacing w:before="60" w:after="60"/>
      </w:pPr>
      <w:r w:rsidRPr="00F063A5">
        <w:rPr>
          <w:rStyle w:val="FootnoteReference"/>
        </w:rPr>
        <w:footnoteRef/>
      </w:r>
      <w:r w:rsidRPr="00F063A5">
        <w:t xml:space="preserve"> </w:t>
      </w:r>
      <w:r w:rsidRPr="00F063A5">
        <w:rPr>
          <w:i/>
        </w:rPr>
        <w:t>Child Protection (Offenders Registration) Act 2000</w:t>
      </w:r>
      <w:r w:rsidRPr="00F063A5">
        <w:t xml:space="preserve"> (NSW) (version i</w:t>
      </w:r>
      <w:r>
        <w:t>n force as at 19 August 2008) s </w:t>
      </w:r>
      <w:r w:rsidRPr="00F063A5">
        <w:t>14A(1)(b)(ii).</w:t>
      </w:r>
    </w:p>
  </w:footnote>
  <w:footnote w:id="668">
    <w:p w14:paraId="59199AAB" w14:textId="70F55F6E" w:rsidR="0042789D" w:rsidRPr="000F3566" w:rsidRDefault="0042789D" w:rsidP="00481FA9">
      <w:pPr>
        <w:pStyle w:val="FootnoteText"/>
      </w:pPr>
      <w:r w:rsidRPr="00F063A5">
        <w:rPr>
          <w:rStyle w:val="FootnoteReference"/>
        </w:rPr>
        <w:footnoteRef/>
      </w:r>
      <w:r w:rsidRPr="00F063A5">
        <w:t xml:space="preserve"> </w:t>
      </w:r>
      <w:r w:rsidRPr="00F063A5">
        <w:rPr>
          <w:i/>
        </w:rPr>
        <w:t>Child Protection Register</w:t>
      </w:r>
      <w:r w:rsidRPr="00F063A5">
        <w:t xml:space="preserve"> - </w:t>
      </w:r>
      <w:r w:rsidRPr="00F063A5">
        <w:rPr>
          <w:i/>
        </w:rPr>
        <w:t>Business Risk Committee – December 2017</w:t>
      </w:r>
      <w:r w:rsidRPr="00F063A5">
        <w:t xml:space="preserve">, </w:t>
      </w:r>
      <w:r>
        <w:t>NSW Police Force response</w:t>
      </w:r>
      <w:r w:rsidRPr="00F063A5">
        <w:t xml:space="preserve"> to item 19(a) of </w:t>
      </w:r>
      <w:r>
        <w:t>Law Enforcement Conduct Commission Notice</w:t>
      </w:r>
      <w:r w:rsidRPr="00F063A5">
        <w:t xml:space="preserve"> 929 of 2017, p 3.</w:t>
      </w:r>
    </w:p>
  </w:footnote>
  <w:footnote w:id="669">
    <w:p w14:paraId="240364FB" w14:textId="0CA5AF53" w:rsidR="0042789D" w:rsidRPr="000F3566" w:rsidRDefault="0042789D" w:rsidP="00980329">
      <w:pPr>
        <w:pStyle w:val="FootnoteText"/>
        <w:spacing w:before="60" w:after="60"/>
      </w:pPr>
      <w:r w:rsidRPr="000F3566">
        <w:rPr>
          <w:rStyle w:val="FootnoteReference"/>
        </w:rPr>
        <w:footnoteRef/>
      </w:r>
      <w:r w:rsidRPr="000F3566">
        <w:t xml:space="preserve"> </w:t>
      </w:r>
      <w:r>
        <w:t>Mr WW’s CPR case file was produced by the NSW Police Force in response</w:t>
      </w:r>
      <w:r w:rsidRPr="000F3566">
        <w:t xml:space="preserve"> to item 2(d) of </w:t>
      </w:r>
      <w:r>
        <w:t>Law Enforcement Conduct Commission Notice</w:t>
      </w:r>
      <w:r w:rsidRPr="000F3566">
        <w:t xml:space="preserve"> 929 of 2018.</w:t>
      </w:r>
    </w:p>
  </w:footnote>
  <w:footnote w:id="670">
    <w:p w14:paraId="59372ECD" w14:textId="3721354F" w:rsidR="0042789D" w:rsidRPr="00427DE1" w:rsidRDefault="0042789D" w:rsidP="00980329">
      <w:pPr>
        <w:pStyle w:val="FootnoteText"/>
        <w:spacing w:before="60" w:after="60"/>
      </w:pPr>
      <w:r w:rsidRPr="000F3566">
        <w:rPr>
          <w:rStyle w:val="FootnoteReference"/>
        </w:rPr>
        <w:footnoteRef/>
      </w:r>
      <w:r w:rsidRPr="000F3566">
        <w:t xml:space="preserve"> </w:t>
      </w:r>
      <w:r w:rsidRPr="000F3566">
        <w:rPr>
          <w:i/>
        </w:rPr>
        <w:t>Child Protection (Offenders Registration) Act 2000</w:t>
      </w:r>
      <w:r w:rsidRPr="000F3566">
        <w:t xml:space="preserve"> (NSW) </w:t>
      </w:r>
      <w:r w:rsidRPr="00427DE1">
        <w:t>(version in f</w:t>
      </w:r>
      <w:r>
        <w:t>orce as at May 2004) s 14(3)(b)</w:t>
      </w:r>
      <w:r w:rsidRPr="00427DE1">
        <w:t>.</w:t>
      </w:r>
    </w:p>
  </w:footnote>
  <w:footnote w:id="671">
    <w:p w14:paraId="2CD68105" w14:textId="4B9E36C9" w:rsidR="0042789D" w:rsidRPr="002F1817" w:rsidRDefault="0042789D" w:rsidP="00980329">
      <w:pPr>
        <w:pStyle w:val="FootnoteText"/>
        <w:spacing w:before="60" w:after="60"/>
      </w:pPr>
      <w:r w:rsidRPr="002F1817">
        <w:rPr>
          <w:rStyle w:val="FootnoteReference"/>
        </w:rPr>
        <w:footnoteRef/>
      </w:r>
      <w:r w:rsidRPr="002F1817">
        <w:t xml:space="preserve"> </w:t>
      </w:r>
      <w:r w:rsidRPr="002F1817">
        <w:rPr>
          <w:i/>
        </w:rPr>
        <w:t>KE (by his next friend and tutor NE) v Commissioner of Police &amp; Ors</w:t>
      </w:r>
      <w:r w:rsidRPr="002F1817">
        <w:t xml:space="preserve"> [2018] NSWSC 941, [45].</w:t>
      </w:r>
      <w:r>
        <w:t xml:space="preserve"> </w:t>
      </w:r>
      <w:r w:rsidRPr="00980329">
        <w:t>This case is discussed in part 4.2.2 of this appendix</w:t>
      </w:r>
      <w:r>
        <w:t>.</w:t>
      </w:r>
    </w:p>
  </w:footnote>
  <w:footnote w:id="672">
    <w:p w14:paraId="05818F88" w14:textId="7E71BF4A" w:rsidR="0042789D" w:rsidRPr="002F1817" w:rsidRDefault="0042789D" w:rsidP="00871DB9">
      <w:pPr>
        <w:pStyle w:val="FootnoteText"/>
        <w:spacing w:before="60" w:after="60"/>
      </w:pPr>
      <w:r w:rsidRPr="002F1817">
        <w:rPr>
          <w:rStyle w:val="FootnoteReference"/>
        </w:rPr>
        <w:footnoteRef/>
      </w:r>
      <w:r w:rsidRPr="002F1817">
        <w:t xml:space="preserve"> </w:t>
      </w:r>
      <w:r>
        <w:t>Mr PP’s CPR case file was produced by the NSW Police Force in response</w:t>
      </w:r>
      <w:r w:rsidRPr="002F1817">
        <w:t xml:space="preserve"> to item 2(n) of </w:t>
      </w:r>
      <w:r>
        <w:t>Law Enforcement Conduct Commission Notice</w:t>
      </w:r>
      <w:r w:rsidRPr="002F1817">
        <w:t xml:space="preserve"> 929 of 2018.</w:t>
      </w:r>
    </w:p>
  </w:footnote>
  <w:footnote w:id="673">
    <w:p w14:paraId="105C3309" w14:textId="7823A7E2" w:rsidR="0042789D" w:rsidRDefault="0042789D" w:rsidP="000A4483">
      <w:pPr>
        <w:pStyle w:val="FootnoteText"/>
        <w:spacing w:before="60" w:after="60"/>
      </w:pPr>
      <w:r w:rsidRPr="002E0B52">
        <w:rPr>
          <w:rStyle w:val="FootnoteReference"/>
        </w:rPr>
        <w:footnoteRef/>
      </w:r>
      <w:r w:rsidRPr="002E0B52">
        <w:t xml:space="preserve"> Letter from </w:t>
      </w:r>
      <w:r>
        <w:t>Mr PP’s legal representatives</w:t>
      </w:r>
      <w:r w:rsidRPr="002E0B52">
        <w:t xml:space="preserve"> to </w:t>
      </w:r>
      <w:r>
        <w:t>the NSW Police Force,</w:t>
      </w:r>
      <w:r w:rsidRPr="002E0B52">
        <w:t xml:space="preserve"> 3 March 2018, </w:t>
      </w:r>
      <w:r>
        <w:t>NSW Police Force response</w:t>
      </w:r>
      <w:r w:rsidRPr="002E0B52">
        <w:t xml:space="preserve"> to </w:t>
      </w:r>
      <w:r>
        <w:t>item 2(n) of Law Enforcement Conduct Commission Notice 929 of 2018</w:t>
      </w:r>
      <w:r w:rsidRPr="002E0B52">
        <w:t>, p 4.</w:t>
      </w:r>
    </w:p>
  </w:footnote>
  <w:footnote w:id="674">
    <w:p w14:paraId="3C1E96D1" w14:textId="19088D5B" w:rsidR="0042789D" w:rsidRPr="00363F30" w:rsidRDefault="0042789D" w:rsidP="000A4483">
      <w:pPr>
        <w:pStyle w:val="FootnoteText"/>
        <w:spacing w:before="60" w:after="60"/>
      </w:pPr>
      <w:r w:rsidRPr="00363F30">
        <w:rPr>
          <w:rStyle w:val="FootnoteReference"/>
        </w:rPr>
        <w:footnoteRef/>
      </w:r>
      <w:r w:rsidRPr="00363F30">
        <w:t xml:space="preserve"> </w:t>
      </w:r>
      <w:r w:rsidRPr="002E0B52">
        <w:t xml:space="preserve">Letter from </w:t>
      </w:r>
      <w:r>
        <w:t>Mr PP’s legal representatives</w:t>
      </w:r>
      <w:r w:rsidRPr="002E0B52">
        <w:t xml:space="preserve"> to the </w:t>
      </w:r>
      <w:r>
        <w:t>NSW Police Force,</w:t>
      </w:r>
      <w:r w:rsidRPr="002E0B52">
        <w:t xml:space="preserve"> 3 March 2018, </w:t>
      </w:r>
      <w:r>
        <w:t>NSW Police Force response</w:t>
      </w:r>
      <w:r w:rsidRPr="002E0B52">
        <w:t xml:space="preserve"> to </w:t>
      </w:r>
      <w:r>
        <w:t>item 2(n) of Law Enforcement Conduct Commission Notice 929 of 2018</w:t>
      </w:r>
      <w:r w:rsidRPr="00363F30">
        <w:t>, p 7.</w:t>
      </w:r>
    </w:p>
  </w:footnote>
  <w:footnote w:id="675">
    <w:p w14:paraId="7C8CB2C1" w14:textId="059215CE" w:rsidR="0042789D" w:rsidRPr="00363F30" w:rsidRDefault="0042789D" w:rsidP="000A4483">
      <w:pPr>
        <w:pStyle w:val="FootnoteText"/>
        <w:spacing w:before="60" w:after="60"/>
      </w:pPr>
      <w:r w:rsidRPr="00363F30">
        <w:rPr>
          <w:rStyle w:val="FootnoteReference"/>
        </w:rPr>
        <w:footnoteRef/>
      </w:r>
      <w:r w:rsidRPr="00363F30">
        <w:t xml:space="preserve"> Letter from </w:t>
      </w:r>
      <w:r>
        <w:t>the NSW Police Force</w:t>
      </w:r>
      <w:r w:rsidRPr="00363F30">
        <w:t xml:space="preserve"> to</w:t>
      </w:r>
      <w:r>
        <w:t xml:space="preserve"> Mr PP’s legal representatives</w:t>
      </w:r>
      <w:r w:rsidRPr="00363F30">
        <w:t xml:space="preserve">, 13 March 2018, </w:t>
      </w:r>
      <w:r>
        <w:t>NSW Police Force response</w:t>
      </w:r>
      <w:r w:rsidRPr="00363F30">
        <w:t xml:space="preserve"> to item 2(n) of </w:t>
      </w:r>
      <w:r>
        <w:t>Law Enforcement Conduct Commission Notice</w:t>
      </w:r>
      <w:r w:rsidRPr="00363F30">
        <w:t xml:space="preserve"> 929 of 2018.</w:t>
      </w:r>
    </w:p>
  </w:footnote>
  <w:footnote w:id="676">
    <w:p w14:paraId="4BFDBD31" w14:textId="446EF37B" w:rsidR="0042789D" w:rsidRPr="00767670" w:rsidRDefault="0042789D" w:rsidP="004A4D13">
      <w:pPr>
        <w:pStyle w:val="FootnoteText"/>
        <w:spacing w:before="60" w:after="60"/>
      </w:pPr>
      <w:r w:rsidRPr="000222F6">
        <w:rPr>
          <w:rStyle w:val="FootnoteReference"/>
        </w:rPr>
        <w:footnoteRef/>
      </w:r>
      <w:r w:rsidRPr="000222F6">
        <w:t xml:space="preserve"> </w:t>
      </w:r>
      <w:r>
        <w:t>The</w:t>
      </w:r>
      <w:r w:rsidRPr="00E14AA6">
        <w:t xml:space="preserve"> formulas in those jurisdictions do not involve assessing whether registrable offences were committed after the person had been put on the register and notified of their obligations, which mak</w:t>
      </w:r>
      <w:r>
        <w:t>es them more simple than the</w:t>
      </w:r>
      <w:r w:rsidRPr="00E14AA6">
        <w:t xml:space="preserve"> formulas in s 14</w:t>
      </w:r>
      <w:r>
        <w:t>A</w:t>
      </w:r>
      <w:r w:rsidRPr="00E14AA6">
        <w:t>(1)(c)</w:t>
      </w:r>
      <w:r>
        <w:t xml:space="preserve"> of the CPOR Act</w:t>
      </w:r>
      <w:r w:rsidRPr="00E14AA6">
        <w:t xml:space="preserve">: </w:t>
      </w:r>
      <w:r w:rsidRPr="00E14AA6">
        <w:rPr>
          <w:i/>
        </w:rPr>
        <w:t xml:space="preserve">Sex Offenders Registration Act 2004 </w:t>
      </w:r>
      <w:r w:rsidRPr="00E14AA6">
        <w:t>(Vic)</w:t>
      </w:r>
      <w:r w:rsidRPr="00E14AA6">
        <w:rPr>
          <w:i/>
        </w:rPr>
        <w:t xml:space="preserve"> </w:t>
      </w:r>
      <w:r w:rsidRPr="00E14AA6">
        <w:t xml:space="preserve">s 34; </w:t>
      </w:r>
      <w:r w:rsidRPr="00E14AA6">
        <w:rPr>
          <w:i/>
        </w:rPr>
        <w:t>Crimes (Child Sex Offenders) Act 2005</w:t>
      </w:r>
      <w:r w:rsidRPr="00E14AA6">
        <w:t xml:space="preserve"> (ACT) ss 84-87; </w:t>
      </w:r>
      <w:r w:rsidRPr="00E14AA6">
        <w:rPr>
          <w:i/>
        </w:rPr>
        <w:t xml:space="preserve">Child Sex Offenders Registration Act 2006 </w:t>
      </w:r>
      <w:r w:rsidRPr="00E14AA6">
        <w:t>(SA) s 34(1).</w:t>
      </w:r>
    </w:p>
  </w:footnote>
  <w:footnote w:id="677">
    <w:p w14:paraId="604FE8E0" w14:textId="77777777" w:rsidR="0042789D" w:rsidRPr="00767670" w:rsidRDefault="0042789D" w:rsidP="004A4D13">
      <w:pPr>
        <w:pStyle w:val="FootnoteText"/>
        <w:spacing w:before="60" w:after="60"/>
      </w:pPr>
      <w:r w:rsidRPr="00767670">
        <w:rPr>
          <w:rStyle w:val="FootnoteReference"/>
        </w:rPr>
        <w:footnoteRef/>
      </w:r>
      <w:r w:rsidRPr="00767670">
        <w:t xml:space="preserve"> </w:t>
      </w:r>
      <w:r w:rsidRPr="00767670">
        <w:rPr>
          <w:i/>
        </w:rPr>
        <w:t xml:space="preserve">Sex Offenders Registration Act 2004 </w:t>
      </w:r>
      <w:r w:rsidRPr="00767670">
        <w:t>(Vic)</w:t>
      </w:r>
      <w:r w:rsidRPr="00767670">
        <w:rPr>
          <w:i/>
        </w:rPr>
        <w:t xml:space="preserve"> </w:t>
      </w:r>
      <w:r w:rsidRPr="00767670">
        <w:t>s 5</w:t>
      </w:r>
      <w:r>
        <w:t>(1)</w:t>
      </w:r>
      <w:r w:rsidRPr="00767670">
        <w:rPr>
          <w:i/>
        </w:rPr>
        <w:t xml:space="preserve"> </w:t>
      </w:r>
      <w:r w:rsidRPr="00767670">
        <w:t>and s 34(3);</w:t>
      </w:r>
      <w:r w:rsidRPr="00767670">
        <w:rPr>
          <w:i/>
        </w:rPr>
        <w:t xml:space="preserve"> Crimes (Child Sex Offenders) Act 2005</w:t>
      </w:r>
      <w:r w:rsidRPr="00767670">
        <w:t xml:space="preserve"> (ACT) s 90</w:t>
      </w:r>
      <w:r>
        <w:t xml:space="preserve"> (and see definition of ‘same incident’ in the Dictionary)</w:t>
      </w:r>
      <w:r w:rsidRPr="00767670">
        <w:t xml:space="preserve">; </w:t>
      </w:r>
      <w:r w:rsidRPr="00767670">
        <w:rPr>
          <w:i/>
        </w:rPr>
        <w:t xml:space="preserve">Child Sex Offenders Registration Act 2006 </w:t>
      </w:r>
      <w:r w:rsidRPr="00767670">
        <w:t>(SA) s 4(2) and s 34(3).</w:t>
      </w:r>
    </w:p>
  </w:footnote>
  <w:footnote w:id="678">
    <w:p w14:paraId="74A5BEAD" w14:textId="5E8594C5" w:rsidR="0042789D" w:rsidRPr="00767670" w:rsidRDefault="0042789D" w:rsidP="004A4D13">
      <w:pPr>
        <w:pStyle w:val="FootnoteText"/>
        <w:spacing w:before="60" w:after="60"/>
      </w:pPr>
      <w:r w:rsidRPr="00767670">
        <w:rPr>
          <w:rStyle w:val="FootnoteReference"/>
        </w:rPr>
        <w:footnoteRef/>
      </w:r>
      <w:r w:rsidRPr="00767670">
        <w:t xml:space="preserve"> </w:t>
      </w:r>
      <w:r w:rsidRPr="00767670">
        <w:rPr>
          <w:i/>
        </w:rPr>
        <w:t>Child Protection (Child Sex Offender Government Agency Registration) Act 2016 (</w:t>
      </w:r>
      <w:r>
        <w:t>NZ) s </w:t>
      </w:r>
      <w:r w:rsidRPr="00767670">
        <w:t>35(1).</w:t>
      </w:r>
      <w:r>
        <w:t xml:space="preserve"> It should be noted that under the NZ Act class 1 offences are those that attract criminal penalties at the lower end of the scale, and class 3 offences are those that attract the higher penalties.</w:t>
      </w:r>
    </w:p>
  </w:footnote>
  <w:footnote w:id="679">
    <w:p w14:paraId="1590E2DE" w14:textId="409DD127" w:rsidR="0042789D" w:rsidRPr="00767670" w:rsidRDefault="0042789D" w:rsidP="004A4D13">
      <w:pPr>
        <w:pStyle w:val="FootnoteText"/>
        <w:spacing w:before="60" w:after="60"/>
      </w:pPr>
      <w:r w:rsidRPr="00767670">
        <w:rPr>
          <w:rStyle w:val="FootnoteReference"/>
        </w:rPr>
        <w:footnoteRef/>
      </w:r>
      <w:r w:rsidRPr="00767670">
        <w:t xml:space="preserve"> </w:t>
      </w:r>
      <w:r w:rsidRPr="00767670">
        <w:rPr>
          <w:i/>
        </w:rPr>
        <w:t>Child Protection (Child Sex Offender Government Agency Registration) Act 2016 (</w:t>
      </w:r>
      <w:r>
        <w:t>NZ) s </w:t>
      </w:r>
      <w:r w:rsidRPr="00767670">
        <w:t>35(5).</w:t>
      </w:r>
    </w:p>
  </w:footnote>
  <w:footnote w:id="680">
    <w:p w14:paraId="3BBDBC8B" w14:textId="77777777" w:rsidR="0042789D" w:rsidRDefault="0042789D" w:rsidP="00766424">
      <w:pPr>
        <w:pStyle w:val="FootnoteText"/>
        <w:spacing w:before="60" w:after="60"/>
      </w:pPr>
      <w:r w:rsidRPr="00DA1899">
        <w:rPr>
          <w:rStyle w:val="FootnoteReference"/>
        </w:rPr>
        <w:footnoteRef/>
      </w:r>
      <w:r>
        <w:t xml:space="preserve"> </w:t>
      </w:r>
      <w:r w:rsidRPr="00675828">
        <w:rPr>
          <w:i/>
        </w:rPr>
        <w:t>Child Protection (Offenders Registration) Act 2000</w:t>
      </w:r>
      <w:r w:rsidRPr="00675828">
        <w:t xml:space="preserve"> (NSW) s 3 (para (e) of the definition of ‘Class 1 offence’ and para (j) of the definition of ‘Class 2 offence’).</w:t>
      </w:r>
    </w:p>
  </w:footnote>
  <w:footnote w:id="681">
    <w:p w14:paraId="78F700DA" w14:textId="77777777" w:rsidR="0042789D" w:rsidRDefault="0042789D" w:rsidP="00766424">
      <w:pPr>
        <w:pStyle w:val="FootnoteText"/>
        <w:spacing w:before="60" w:after="60"/>
      </w:pPr>
      <w:r w:rsidRPr="00DA1899">
        <w:rPr>
          <w:rStyle w:val="FootnoteReference"/>
        </w:rPr>
        <w:footnoteRef/>
      </w:r>
      <w:r>
        <w:t xml:space="preserve"> </w:t>
      </w:r>
      <w:r w:rsidRPr="00675828">
        <w:rPr>
          <w:i/>
        </w:rPr>
        <w:t>Child Protection (Offenders Registration) Act 2000</w:t>
      </w:r>
      <w:r w:rsidRPr="00675828">
        <w:t xml:space="preserve"> (NSW) s 3 (para (e) of the definition of ‘Class 1 offence’ and para (j) of the definition of ‘Class 2 offence’).</w:t>
      </w:r>
    </w:p>
  </w:footnote>
  <w:footnote w:id="682">
    <w:p w14:paraId="36E89BAA" w14:textId="57FB6100" w:rsidR="0042789D" w:rsidRDefault="0042789D" w:rsidP="00766424">
      <w:pPr>
        <w:pStyle w:val="FootnoteText"/>
        <w:spacing w:before="60" w:after="60"/>
      </w:pPr>
      <w:r>
        <w:rPr>
          <w:rStyle w:val="FootnoteReference"/>
        </w:rPr>
        <w:footnoteRef/>
      </w:r>
      <w:r>
        <w:t xml:space="preserve"> </w:t>
      </w:r>
      <w:r>
        <w:rPr>
          <w:i/>
        </w:rPr>
        <w:t>Child Protection (Offenders Registration) Act 2000</w:t>
      </w:r>
      <w:r>
        <w:t xml:space="preserve"> (NSW) s 3.</w:t>
      </w:r>
    </w:p>
  </w:footnote>
  <w:footnote w:id="683">
    <w:p w14:paraId="0526B514" w14:textId="77777777" w:rsidR="0042789D" w:rsidRPr="00271ACC" w:rsidRDefault="0042789D" w:rsidP="00484B40">
      <w:pPr>
        <w:pStyle w:val="FootnoteText"/>
        <w:spacing w:before="60" w:after="60"/>
      </w:pPr>
      <w:r w:rsidRPr="00271ACC">
        <w:rPr>
          <w:rStyle w:val="FootnoteReference"/>
        </w:rPr>
        <w:footnoteRef/>
      </w:r>
      <w:r w:rsidRPr="00271ACC">
        <w:t xml:space="preserve"> </w:t>
      </w:r>
      <w:r w:rsidRPr="00271ACC">
        <w:rPr>
          <w:i/>
        </w:rPr>
        <w:t>Child Protection (Offenders Registration) Act 2000</w:t>
      </w:r>
      <w:r w:rsidRPr="00271ACC">
        <w:t xml:space="preserve"> (NSW) s 19BB(1).</w:t>
      </w:r>
    </w:p>
  </w:footnote>
  <w:footnote w:id="684">
    <w:p w14:paraId="38FD78FD" w14:textId="77777777" w:rsidR="0042789D" w:rsidRPr="00271ACC" w:rsidRDefault="0042789D" w:rsidP="00484B40">
      <w:pPr>
        <w:pStyle w:val="FootnoteText"/>
        <w:spacing w:before="60" w:after="60"/>
      </w:pPr>
      <w:r w:rsidRPr="00271ACC">
        <w:rPr>
          <w:rStyle w:val="FootnoteReference"/>
        </w:rPr>
        <w:footnoteRef/>
      </w:r>
      <w:r w:rsidRPr="00271ACC">
        <w:t xml:space="preserve"> </w:t>
      </w:r>
      <w:r w:rsidRPr="00271ACC">
        <w:rPr>
          <w:i/>
        </w:rPr>
        <w:t>Child Protection (Offenders Registration) Act 2000</w:t>
      </w:r>
      <w:r w:rsidRPr="00271ACC">
        <w:t xml:space="preserve"> (NSW) s 19BB(2).</w:t>
      </w:r>
    </w:p>
  </w:footnote>
  <w:footnote w:id="685">
    <w:p w14:paraId="6F1748A4" w14:textId="5154E123" w:rsidR="0042789D" w:rsidRPr="00271ACC" w:rsidRDefault="0042789D" w:rsidP="00484B40">
      <w:pPr>
        <w:pStyle w:val="FootnoteText"/>
        <w:spacing w:before="60" w:after="60"/>
      </w:pPr>
      <w:r w:rsidRPr="00271ACC">
        <w:rPr>
          <w:rStyle w:val="FootnoteReference"/>
        </w:rPr>
        <w:footnoteRef/>
      </w:r>
      <w:r w:rsidRPr="00271ACC">
        <w:t xml:space="preserve"> </w:t>
      </w:r>
      <w:r w:rsidRPr="00271ACC">
        <w:rPr>
          <w:i/>
        </w:rPr>
        <w:t>Child Protection (Offenders Registration) Act 2000</w:t>
      </w:r>
      <w:r w:rsidRPr="00271ACC">
        <w:t xml:space="preserve"> (NSW) s 19BB and </w:t>
      </w:r>
      <w:r>
        <w:t xml:space="preserve">s </w:t>
      </w:r>
      <w:r w:rsidRPr="00271ACC">
        <w:t>19BC.</w:t>
      </w:r>
    </w:p>
  </w:footnote>
  <w:footnote w:id="686">
    <w:p w14:paraId="671CFDF6" w14:textId="139C091D" w:rsidR="0042789D" w:rsidRPr="00231359" w:rsidRDefault="0042789D">
      <w:pPr>
        <w:pStyle w:val="FootnoteText"/>
      </w:pPr>
      <w:r w:rsidRPr="00231359">
        <w:rPr>
          <w:rStyle w:val="FootnoteReference"/>
        </w:rPr>
        <w:footnoteRef/>
      </w:r>
      <w:r w:rsidRPr="00231359">
        <w:t xml:space="preserve"> </w:t>
      </w:r>
      <w:r w:rsidRPr="00231359">
        <w:rPr>
          <w:i/>
        </w:rPr>
        <w:t>Child Protection (Offenders Registration) Act 2000</w:t>
      </w:r>
      <w:r w:rsidRPr="00231359">
        <w:t xml:space="preserve"> (NSW) s 3 (definition of ‘Class 2 offence’</w:t>
      </w:r>
      <w:r>
        <w:t xml:space="preserve"> para (a)</w:t>
      </w:r>
      <w:r w:rsidRPr="00231359">
        <w:t xml:space="preserve">) and </w:t>
      </w:r>
      <w:r w:rsidRPr="00231359">
        <w:rPr>
          <w:i/>
        </w:rPr>
        <w:t>Crimes (Child Sex Offenders) Act 2005</w:t>
      </w:r>
      <w:r w:rsidRPr="00231359">
        <w:t xml:space="preserve"> (ACT) s 10 and schs 1 and 2.</w:t>
      </w:r>
    </w:p>
  </w:footnote>
  <w:footnote w:id="687">
    <w:p w14:paraId="2A04DC95" w14:textId="78FF6AB7" w:rsidR="0042789D" w:rsidRPr="00231359" w:rsidRDefault="0042789D" w:rsidP="00484B40">
      <w:pPr>
        <w:pStyle w:val="FootnoteText"/>
        <w:spacing w:before="60" w:after="60"/>
      </w:pPr>
      <w:r w:rsidRPr="00231359">
        <w:rPr>
          <w:rStyle w:val="FootnoteReference"/>
        </w:rPr>
        <w:footnoteRef/>
      </w:r>
      <w:r w:rsidRPr="00231359">
        <w:t xml:space="preserve"> </w:t>
      </w:r>
      <w:r w:rsidRPr="00231359">
        <w:rPr>
          <w:i/>
        </w:rPr>
        <w:t>Crimes (Child Sex Offenders) Act 2005</w:t>
      </w:r>
      <w:r w:rsidRPr="00231359">
        <w:t xml:space="preserve"> (ACT) s 84 and sch 1; </w:t>
      </w:r>
      <w:r w:rsidRPr="00231359">
        <w:rPr>
          <w:i/>
        </w:rPr>
        <w:t>Crimes Act 1900</w:t>
      </w:r>
      <w:r w:rsidRPr="00231359">
        <w:t xml:space="preserve"> (ACT) s 57.</w:t>
      </w:r>
    </w:p>
  </w:footnote>
  <w:footnote w:id="688">
    <w:p w14:paraId="178F0298" w14:textId="5C86AD79" w:rsidR="0042789D" w:rsidRPr="003206FA" w:rsidRDefault="0042789D" w:rsidP="00484B40">
      <w:pPr>
        <w:pStyle w:val="FootnoteText"/>
        <w:spacing w:before="60" w:after="60"/>
      </w:pPr>
      <w:r w:rsidRPr="00231359">
        <w:rPr>
          <w:rStyle w:val="FootnoteReference"/>
        </w:rPr>
        <w:footnoteRef/>
      </w:r>
      <w:r w:rsidRPr="00231359">
        <w:t xml:space="preserve"> Under either para (a2) or (l) and (a1) of the definition of </w:t>
      </w:r>
      <w:r>
        <w:t>‘Class 2 offence’</w:t>
      </w:r>
      <w:r w:rsidRPr="00231359">
        <w:t xml:space="preserve"> in s 3 of the </w:t>
      </w:r>
      <w:r w:rsidRPr="00231359">
        <w:rPr>
          <w:i/>
        </w:rPr>
        <w:t>Child Protection (Offenders Registration) Act 2000</w:t>
      </w:r>
      <w:r w:rsidRPr="00231359">
        <w:t xml:space="preserve"> (NSW).</w:t>
      </w:r>
      <w:r w:rsidRPr="003206FA">
        <w:t xml:space="preserve"> </w:t>
      </w:r>
    </w:p>
  </w:footnote>
  <w:footnote w:id="689">
    <w:p w14:paraId="1EF41593" w14:textId="323AE893" w:rsidR="0042789D" w:rsidRPr="00AA77D2" w:rsidRDefault="0042789D" w:rsidP="00E53476">
      <w:pPr>
        <w:pStyle w:val="FootnoteText"/>
        <w:spacing w:before="60" w:after="60"/>
      </w:pPr>
      <w:r w:rsidRPr="00AA77D2">
        <w:rPr>
          <w:rStyle w:val="FootnoteReference"/>
        </w:rPr>
        <w:footnoteRef/>
      </w:r>
      <w:r w:rsidRPr="00AA77D2">
        <w:t xml:space="preserve"> </w:t>
      </w:r>
      <w:r>
        <w:t>Mr GG’s CPR case file was produced by the NSW Police Force in response</w:t>
      </w:r>
      <w:r w:rsidRPr="00AA77D2">
        <w:t xml:space="preserve"> to item 2(g) of </w:t>
      </w:r>
      <w:r>
        <w:t>Law Enforcement Conduct Commission Notice</w:t>
      </w:r>
      <w:r w:rsidRPr="00AA77D2">
        <w:t xml:space="preserve"> 929 of 2018.</w:t>
      </w:r>
    </w:p>
  </w:footnote>
  <w:footnote w:id="690">
    <w:p w14:paraId="35CAECAF" w14:textId="5BA24D49" w:rsidR="0042789D" w:rsidRPr="00AA77D2" w:rsidRDefault="0042789D" w:rsidP="00E33D4E">
      <w:pPr>
        <w:pStyle w:val="FootnoteText"/>
        <w:spacing w:before="60" w:after="60"/>
      </w:pPr>
      <w:r w:rsidRPr="00AA77D2">
        <w:rPr>
          <w:rStyle w:val="FootnoteReference"/>
        </w:rPr>
        <w:footnoteRef/>
      </w:r>
      <w:r w:rsidRPr="00AA77D2">
        <w:rPr>
          <w:i/>
        </w:rPr>
        <w:t xml:space="preserve"> Child Protection (Offenders Registration) Act 2000</w:t>
      </w:r>
      <w:r w:rsidRPr="00AA77D2">
        <w:t xml:space="preserve"> (NSW) (version in force as at May 2008) s 3C.</w:t>
      </w:r>
    </w:p>
  </w:footnote>
  <w:footnote w:id="691">
    <w:p w14:paraId="7ED6197F" w14:textId="27265E6D" w:rsidR="0042789D" w:rsidRPr="00597B3A" w:rsidRDefault="0042789D" w:rsidP="00E33D4E">
      <w:pPr>
        <w:pStyle w:val="FootnoteText"/>
        <w:spacing w:before="60" w:after="60"/>
      </w:pPr>
      <w:r w:rsidRPr="00597B3A">
        <w:rPr>
          <w:rStyle w:val="FootnoteReference"/>
        </w:rPr>
        <w:footnoteRef/>
      </w:r>
      <w:r w:rsidRPr="00597B3A">
        <w:t xml:space="preserve"> </w:t>
      </w:r>
      <w:r>
        <w:t>Law Enforcement Conduct Commission</w:t>
      </w:r>
      <w:r w:rsidRPr="00597B3A">
        <w:t xml:space="preserve"> review of Just</w:t>
      </w:r>
      <w:r>
        <w:t>icelink</w:t>
      </w:r>
      <w:r w:rsidRPr="00597B3A">
        <w:t>.</w:t>
      </w:r>
    </w:p>
  </w:footnote>
  <w:footnote w:id="692">
    <w:p w14:paraId="769D1DDC" w14:textId="77777777" w:rsidR="0042789D" w:rsidRPr="00597B3A" w:rsidRDefault="0042789D" w:rsidP="00E33D4E">
      <w:pPr>
        <w:pStyle w:val="FootnoteText"/>
        <w:spacing w:before="60" w:after="60"/>
      </w:pPr>
      <w:r w:rsidRPr="00597B3A">
        <w:rPr>
          <w:rStyle w:val="FootnoteReference"/>
        </w:rPr>
        <w:footnoteRef/>
      </w:r>
      <w:r w:rsidRPr="00597B3A">
        <w:t xml:space="preserve"> </w:t>
      </w:r>
      <w:r w:rsidRPr="00597B3A">
        <w:rPr>
          <w:i/>
        </w:rPr>
        <w:t>Child Protection (Offenders Registration) Amendment Act 2007</w:t>
      </w:r>
      <w:r w:rsidRPr="00597B3A">
        <w:t xml:space="preserve"> (NSW)</w:t>
      </w:r>
      <w:r w:rsidRPr="00597B3A">
        <w:rPr>
          <w:i/>
        </w:rPr>
        <w:t>; Child Protection (Offenders Registration) Act 2000</w:t>
      </w:r>
      <w:r w:rsidRPr="00597B3A">
        <w:t xml:space="preserve"> (NSW) (version in force as at 20 October 2008) s 3C.</w:t>
      </w:r>
    </w:p>
  </w:footnote>
  <w:footnote w:id="693">
    <w:p w14:paraId="048F8387" w14:textId="14906CB3" w:rsidR="0042789D" w:rsidRPr="003B5C33" w:rsidRDefault="0042789D" w:rsidP="00E33D4E">
      <w:pPr>
        <w:pStyle w:val="FootnoteText"/>
        <w:spacing w:before="60" w:after="60"/>
      </w:pPr>
      <w:r w:rsidRPr="00597B3A">
        <w:rPr>
          <w:rStyle w:val="FootnoteReference"/>
        </w:rPr>
        <w:footnoteRef/>
      </w:r>
      <w:r w:rsidRPr="00597B3A">
        <w:t xml:space="preserve"> </w:t>
      </w:r>
      <w:r w:rsidRPr="00597B3A">
        <w:rPr>
          <w:i/>
        </w:rPr>
        <w:t>Child Protection (Offenders Registration) Act 2000</w:t>
      </w:r>
      <w:r>
        <w:t xml:space="preserve"> (NSW) sch 2 pt 5</w:t>
      </w:r>
      <w:r w:rsidRPr="00597B3A">
        <w:t xml:space="preserve"> cl 13.</w:t>
      </w:r>
    </w:p>
  </w:footnote>
  <w:footnote w:id="694">
    <w:p w14:paraId="10B5763D" w14:textId="2ADB29AC" w:rsidR="0042789D" w:rsidRPr="00C73E03" w:rsidRDefault="0042789D" w:rsidP="00C73E03">
      <w:pPr>
        <w:pStyle w:val="FootnoteText"/>
        <w:spacing w:before="60" w:after="60"/>
      </w:pPr>
      <w:r w:rsidRPr="00C73E03">
        <w:rPr>
          <w:rStyle w:val="FootnoteReference"/>
        </w:rPr>
        <w:footnoteRef/>
      </w:r>
      <w:r w:rsidRPr="00C73E03">
        <w:t xml:space="preserve"> </w:t>
      </w:r>
      <w:r w:rsidRPr="00C73E03">
        <w:rPr>
          <w:i/>
        </w:rPr>
        <w:t>Child Protection (Offenders Registration) Act 2000</w:t>
      </w:r>
      <w:r w:rsidRPr="00C73E03">
        <w:t xml:space="preserve"> (NSW) (version in</w:t>
      </w:r>
      <w:r>
        <w:t xml:space="preserve"> force as at 20 October 2008) s </w:t>
      </w:r>
      <w:r w:rsidRPr="00C73E03">
        <w:t>3C(b) and 14D.</w:t>
      </w:r>
    </w:p>
  </w:footnote>
  <w:footnote w:id="695">
    <w:p w14:paraId="73871D9F" w14:textId="4521BF6D" w:rsidR="0042789D" w:rsidRPr="007869AB" w:rsidRDefault="0042789D" w:rsidP="007869AB">
      <w:pPr>
        <w:pStyle w:val="FootnoteText"/>
        <w:spacing w:before="60" w:after="60"/>
      </w:pPr>
      <w:r w:rsidRPr="007869AB">
        <w:rPr>
          <w:rStyle w:val="FootnoteReference"/>
        </w:rPr>
        <w:footnoteRef/>
      </w:r>
      <w:r w:rsidRPr="007869AB">
        <w:t xml:space="preserve"> </w:t>
      </w:r>
      <w:r w:rsidRPr="007869AB">
        <w:rPr>
          <w:i/>
        </w:rPr>
        <w:t>Child Protection (Offenders Registration) Act 2000</w:t>
      </w:r>
      <w:r w:rsidRPr="007869AB">
        <w:t xml:space="preserve"> (NSW) (version in force as at April 2008) s 3 (definition of ‘Class 2 offence’ para (a)).</w:t>
      </w:r>
    </w:p>
  </w:footnote>
  <w:footnote w:id="696">
    <w:p w14:paraId="1C85AB60" w14:textId="1A7C6807" w:rsidR="0042789D" w:rsidRPr="00C73E03" w:rsidRDefault="0042789D" w:rsidP="007869AB">
      <w:pPr>
        <w:pStyle w:val="FootnoteText"/>
        <w:spacing w:before="60" w:after="60"/>
      </w:pPr>
      <w:r w:rsidRPr="00C73E03">
        <w:rPr>
          <w:rStyle w:val="FootnoteReference"/>
        </w:rPr>
        <w:footnoteRef/>
      </w:r>
      <w:r w:rsidRPr="00C73E03">
        <w:t xml:space="preserve"> The exception in s 3A(2)(a) did not apply to Mr GG, as the orders made in his case by the Tasmanian court were not equivalent orders to an order under s 33(1)(a) of the </w:t>
      </w:r>
      <w:r w:rsidRPr="00C73E03">
        <w:rPr>
          <w:i/>
        </w:rPr>
        <w:t xml:space="preserve">Children (Criminal Proceedings) Act 1987 </w:t>
      </w:r>
      <w:r w:rsidRPr="00C73E03">
        <w:t xml:space="preserve">(NSW): see </w:t>
      </w:r>
      <w:r w:rsidRPr="00C73E03">
        <w:rPr>
          <w:i/>
        </w:rPr>
        <w:t>Youth Justice Act 1997</w:t>
      </w:r>
      <w:r>
        <w:t xml:space="preserve"> (Tas) s 47(1)(d) and s </w:t>
      </w:r>
      <w:r w:rsidRPr="00C73E03">
        <w:t>47(1)(f).</w:t>
      </w:r>
    </w:p>
  </w:footnote>
  <w:footnote w:id="697">
    <w:p w14:paraId="4F0C319B" w14:textId="4A6448B9" w:rsidR="0042789D" w:rsidRDefault="0042789D" w:rsidP="007869AB">
      <w:pPr>
        <w:pStyle w:val="FootnoteText"/>
        <w:spacing w:before="60" w:after="60"/>
      </w:pPr>
      <w:r w:rsidRPr="00C73E03">
        <w:rPr>
          <w:rStyle w:val="FootnoteReference"/>
        </w:rPr>
        <w:footnoteRef/>
      </w:r>
      <w:r w:rsidRPr="00C73E03">
        <w:t xml:space="preserve"> </w:t>
      </w:r>
      <w:r w:rsidRPr="00C73E03">
        <w:rPr>
          <w:i/>
        </w:rPr>
        <w:t>Child Protection (Offenders Registration) Act 2000</w:t>
      </w:r>
      <w:r w:rsidRPr="00C73E03">
        <w:t xml:space="preserve"> (NSW) (versi</w:t>
      </w:r>
      <w:r>
        <w:t>on in force as at April 2008) s </w:t>
      </w:r>
      <w:r w:rsidRPr="00C73E03">
        <w:t>14A(1)(b)(ii) and s 14B.</w:t>
      </w:r>
    </w:p>
  </w:footnote>
  <w:footnote w:id="698">
    <w:p w14:paraId="21D7D5D6" w14:textId="6899D705" w:rsidR="0042789D" w:rsidRPr="005715AA" w:rsidRDefault="0042789D" w:rsidP="007869AB">
      <w:pPr>
        <w:pStyle w:val="FootnoteText"/>
        <w:spacing w:before="60" w:after="60"/>
      </w:pPr>
      <w:r w:rsidRPr="005715AA">
        <w:rPr>
          <w:rStyle w:val="FootnoteReference"/>
        </w:rPr>
        <w:footnoteRef/>
      </w:r>
      <w:r>
        <w:t xml:space="preserve"> H</w:t>
      </w:r>
      <w:r w:rsidRPr="005715AA">
        <w:t xml:space="preserve">is reporting period would </w:t>
      </w:r>
      <w:r>
        <w:t xml:space="preserve">have </w:t>
      </w:r>
      <w:r w:rsidRPr="005715AA">
        <w:t>be</w:t>
      </w:r>
      <w:r>
        <w:t>en</w:t>
      </w:r>
      <w:r w:rsidRPr="005715AA">
        <w:t xml:space="preserve"> backdated to begin from the date his sentence was imposed in Tasmania: </w:t>
      </w:r>
      <w:r w:rsidRPr="005715AA">
        <w:rPr>
          <w:i/>
        </w:rPr>
        <w:t>Child Protection (Offenders Registration) Act 2000</w:t>
      </w:r>
      <w:r w:rsidRPr="005715AA">
        <w:t xml:space="preserve"> (NSW) s 14.</w:t>
      </w:r>
    </w:p>
  </w:footnote>
  <w:footnote w:id="699">
    <w:p w14:paraId="5BD0EBB1" w14:textId="77777777" w:rsidR="0042789D" w:rsidRPr="00755F9E" w:rsidRDefault="0042789D" w:rsidP="00E1590A">
      <w:pPr>
        <w:pStyle w:val="FootnoteText"/>
        <w:spacing w:before="60" w:after="60"/>
      </w:pPr>
      <w:r w:rsidRPr="00755F9E">
        <w:rPr>
          <w:rStyle w:val="FootnoteReference"/>
        </w:rPr>
        <w:footnoteRef/>
      </w:r>
      <w:r w:rsidRPr="00755F9E">
        <w:t xml:space="preserve"> </w:t>
      </w:r>
      <w:r w:rsidRPr="00755F9E">
        <w:rPr>
          <w:i/>
        </w:rPr>
        <w:t>Child Protection (Offenders Registration) Act 2000</w:t>
      </w:r>
      <w:r w:rsidRPr="00755F9E">
        <w:t xml:space="preserve"> (NSW) s 19BB(1) (emphasis added).</w:t>
      </w:r>
    </w:p>
  </w:footnote>
  <w:footnote w:id="700">
    <w:p w14:paraId="0947E007" w14:textId="77777777" w:rsidR="0042789D" w:rsidRPr="00767670" w:rsidRDefault="0042789D" w:rsidP="00681F40">
      <w:pPr>
        <w:pStyle w:val="FootnoteText"/>
        <w:spacing w:before="60" w:after="60"/>
      </w:pPr>
      <w:r w:rsidRPr="00767670">
        <w:rPr>
          <w:rStyle w:val="FootnoteReference"/>
        </w:rPr>
        <w:footnoteRef/>
      </w:r>
      <w:r w:rsidRPr="00767670">
        <w:t xml:space="preserve"> </w:t>
      </w:r>
      <w:r w:rsidRPr="00767670">
        <w:rPr>
          <w:i/>
        </w:rPr>
        <w:t>Child Protection (Offenders Registration) Act 2000</w:t>
      </w:r>
      <w:r w:rsidRPr="00767670">
        <w:t xml:space="preserve"> (NSW) s 9(1)(q). </w:t>
      </w:r>
    </w:p>
  </w:footnote>
  <w:footnote w:id="701">
    <w:p w14:paraId="256A2112" w14:textId="77777777" w:rsidR="0042789D" w:rsidRDefault="0042789D" w:rsidP="00681F40">
      <w:pPr>
        <w:spacing w:before="60" w:after="60" w:line="240" w:lineRule="auto"/>
      </w:pPr>
      <w:r>
        <w:rPr>
          <w:rStyle w:val="FootnoteReference"/>
        </w:rPr>
        <w:footnoteRef/>
      </w:r>
      <w:r>
        <w:t xml:space="preserve"> </w:t>
      </w:r>
      <w:r w:rsidRPr="00D60CFC">
        <w:rPr>
          <w:sz w:val="20"/>
          <w:szCs w:val="20"/>
        </w:rPr>
        <w:t xml:space="preserve">See </w:t>
      </w:r>
      <w:r w:rsidRPr="00D60CFC">
        <w:rPr>
          <w:i/>
          <w:sz w:val="20"/>
          <w:szCs w:val="20"/>
        </w:rPr>
        <w:t>Child Protection (Offenders Registration) Act 2000</w:t>
      </w:r>
      <w:r w:rsidRPr="00D60CFC">
        <w:rPr>
          <w:sz w:val="20"/>
          <w:szCs w:val="20"/>
        </w:rPr>
        <w:t xml:space="preserve"> (NSW) s 9(1)(q).</w:t>
      </w:r>
    </w:p>
  </w:footnote>
  <w:footnote w:id="702">
    <w:p w14:paraId="1462727C" w14:textId="77777777" w:rsidR="0042789D" w:rsidRPr="00767670" w:rsidRDefault="0042789D" w:rsidP="00681F40">
      <w:pPr>
        <w:pStyle w:val="FootnoteText"/>
        <w:spacing w:before="60" w:after="60"/>
      </w:pPr>
      <w:r w:rsidRPr="00767670">
        <w:rPr>
          <w:rStyle w:val="FootnoteReference"/>
        </w:rPr>
        <w:footnoteRef/>
      </w:r>
      <w:r w:rsidRPr="00767670">
        <w:t xml:space="preserve"> </w:t>
      </w:r>
      <w:r w:rsidRPr="00767670">
        <w:rPr>
          <w:i/>
        </w:rPr>
        <w:t>Child Protection (Offenders Registration) Act 2000</w:t>
      </w:r>
      <w:r w:rsidRPr="00767670">
        <w:t xml:space="preserve"> (NSW) s 9(1)(e).</w:t>
      </w:r>
    </w:p>
  </w:footnote>
  <w:footnote w:id="703">
    <w:p w14:paraId="1FCEAD5B" w14:textId="373A0EEE" w:rsidR="0042789D" w:rsidRPr="00767670" w:rsidRDefault="0042789D" w:rsidP="00681F40">
      <w:pPr>
        <w:pStyle w:val="FootnoteText"/>
        <w:spacing w:before="60" w:after="60"/>
      </w:pPr>
      <w:r w:rsidRPr="00767670">
        <w:rPr>
          <w:rStyle w:val="FootnoteReference"/>
        </w:rPr>
        <w:footnoteRef/>
      </w:r>
      <w:r w:rsidRPr="00767670">
        <w:t xml:space="preserve"> </w:t>
      </w:r>
      <w:r w:rsidRPr="00767670">
        <w:rPr>
          <w:i/>
        </w:rPr>
        <w:t>Child Protection (Offenders Registration) Act 2000</w:t>
      </w:r>
      <w:r w:rsidRPr="00767670">
        <w:t xml:space="preserve"> (NSW) s 9(1)(e) and </w:t>
      </w:r>
      <w:r>
        <w:t xml:space="preserve">s </w:t>
      </w:r>
      <w:r w:rsidRPr="00767670">
        <w:t>11(1)(a).</w:t>
      </w:r>
    </w:p>
  </w:footnote>
  <w:footnote w:id="704">
    <w:p w14:paraId="56DD3946" w14:textId="77777777" w:rsidR="0042789D" w:rsidRPr="00767670" w:rsidRDefault="0042789D" w:rsidP="00681F40">
      <w:pPr>
        <w:pStyle w:val="FootnoteText"/>
        <w:spacing w:before="60" w:after="60"/>
      </w:pPr>
      <w:r w:rsidRPr="00767670">
        <w:rPr>
          <w:rStyle w:val="FootnoteReference"/>
        </w:rPr>
        <w:footnoteRef/>
      </w:r>
      <w:r w:rsidRPr="00767670">
        <w:t xml:space="preserve"> </w:t>
      </w:r>
      <w:r w:rsidRPr="00767670">
        <w:rPr>
          <w:i/>
        </w:rPr>
        <w:t>Child Protection (Offenders Registration) Act 2000</w:t>
      </w:r>
      <w:r w:rsidRPr="00767670">
        <w:t xml:space="preserve"> (NSW) s 11(2).</w:t>
      </w:r>
    </w:p>
  </w:footnote>
  <w:footnote w:id="705">
    <w:p w14:paraId="7FEB1BA0" w14:textId="5EEA6066" w:rsidR="0042789D" w:rsidRPr="00767670" w:rsidRDefault="0042789D" w:rsidP="000007E7">
      <w:pPr>
        <w:pStyle w:val="FootnoteText"/>
        <w:spacing w:before="60" w:after="60"/>
      </w:pPr>
      <w:r w:rsidRPr="00767670">
        <w:rPr>
          <w:rStyle w:val="FootnoteReference"/>
        </w:rPr>
        <w:footnoteRef/>
      </w:r>
      <w:r w:rsidRPr="00767670">
        <w:t xml:space="preserve"> </w:t>
      </w:r>
      <w:r w:rsidRPr="00767670">
        <w:rPr>
          <w:rFonts w:cs="Arial"/>
          <w:i/>
        </w:rPr>
        <w:t xml:space="preserve">Sex Offenders Registration Act 2004 </w:t>
      </w:r>
      <w:r w:rsidRPr="00767670">
        <w:rPr>
          <w:rFonts w:cs="Arial"/>
        </w:rPr>
        <w:t>(Vic) (version in force as at 1 August 2011)</w:t>
      </w:r>
      <w:r>
        <w:rPr>
          <w:rFonts w:cs="Arial"/>
        </w:rPr>
        <w:t xml:space="preserve"> </w:t>
      </w:r>
      <w:r>
        <w:t>s 14(2)(b)</w:t>
      </w:r>
      <w:r w:rsidRPr="00767670">
        <w:rPr>
          <w:rFonts w:cs="Arial"/>
        </w:rPr>
        <w:t>.</w:t>
      </w:r>
    </w:p>
  </w:footnote>
  <w:footnote w:id="706">
    <w:p w14:paraId="798FCA39" w14:textId="77777777" w:rsidR="0042789D" w:rsidRPr="00767670" w:rsidRDefault="0042789D" w:rsidP="000007E7">
      <w:pPr>
        <w:pStyle w:val="FootnoteText"/>
        <w:spacing w:before="60" w:after="60"/>
      </w:pPr>
      <w:r w:rsidRPr="00767670">
        <w:rPr>
          <w:rStyle w:val="FootnoteReference"/>
        </w:rPr>
        <w:footnoteRef/>
      </w:r>
      <w:r w:rsidRPr="00767670">
        <w:t xml:space="preserve"> Victorian Law Reform Commission, </w:t>
      </w:r>
      <w:r w:rsidRPr="00767670">
        <w:rPr>
          <w:i/>
        </w:rPr>
        <w:t>Sex Offenders Registration: Final Report</w:t>
      </w:r>
      <w:r w:rsidRPr="00767670">
        <w:t xml:space="preserve"> (2011) para 7.31.</w:t>
      </w:r>
    </w:p>
  </w:footnote>
  <w:footnote w:id="707">
    <w:p w14:paraId="1C4DEBB7" w14:textId="77777777" w:rsidR="0042789D" w:rsidRPr="00767670" w:rsidRDefault="0042789D" w:rsidP="00682320">
      <w:pPr>
        <w:pStyle w:val="FootnoteText"/>
        <w:spacing w:before="60" w:after="60"/>
      </w:pPr>
      <w:r w:rsidRPr="00767670">
        <w:rPr>
          <w:rStyle w:val="FootnoteReference"/>
        </w:rPr>
        <w:footnoteRef/>
      </w:r>
      <w:r w:rsidRPr="00767670">
        <w:t xml:space="preserve"> Victorian Law Reform Commission, </w:t>
      </w:r>
      <w:r w:rsidRPr="00767670">
        <w:rPr>
          <w:i/>
        </w:rPr>
        <w:t>Sex Offenders Registration: Final Report</w:t>
      </w:r>
      <w:r w:rsidRPr="00767670">
        <w:t xml:space="preserve"> (2011) para 7.32.</w:t>
      </w:r>
    </w:p>
  </w:footnote>
  <w:footnote w:id="708">
    <w:p w14:paraId="74587A75" w14:textId="70FE8D5C" w:rsidR="0042789D" w:rsidRPr="00767670" w:rsidRDefault="0042789D" w:rsidP="00682320">
      <w:pPr>
        <w:pStyle w:val="FootnoteText"/>
        <w:spacing w:before="60" w:after="60"/>
      </w:pPr>
      <w:r w:rsidRPr="00767670">
        <w:rPr>
          <w:rStyle w:val="FootnoteReference"/>
        </w:rPr>
        <w:footnoteRef/>
      </w:r>
      <w:r w:rsidRPr="00767670">
        <w:t xml:space="preserve"> Victorian Law Reform Commission, </w:t>
      </w:r>
      <w:r w:rsidRPr="00767670">
        <w:rPr>
          <w:i/>
        </w:rPr>
        <w:t>Sex Offenders Registration: Final Report</w:t>
      </w:r>
      <w:r>
        <w:t xml:space="preserve"> (2011) para 7.33 and R</w:t>
      </w:r>
      <w:r w:rsidRPr="00767670">
        <w:t>ecommendation 31.</w:t>
      </w:r>
    </w:p>
  </w:footnote>
  <w:footnote w:id="709">
    <w:p w14:paraId="015ED671" w14:textId="77B61DE4" w:rsidR="0042789D" w:rsidRPr="00767670" w:rsidRDefault="0042789D" w:rsidP="00682320">
      <w:pPr>
        <w:pStyle w:val="FootnoteText"/>
        <w:spacing w:before="60" w:after="60"/>
      </w:pPr>
      <w:r w:rsidRPr="00767670">
        <w:rPr>
          <w:rStyle w:val="FootnoteReference"/>
        </w:rPr>
        <w:footnoteRef/>
      </w:r>
      <w:r w:rsidRPr="00767670">
        <w:t xml:space="preserve"> </w:t>
      </w:r>
      <w:r w:rsidRPr="00767670">
        <w:rPr>
          <w:rFonts w:cs="Arial"/>
          <w:i/>
        </w:rPr>
        <w:t xml:space="preserve">Sex Offenders Registration Act 2004 </w:t>
      </w:r>
      <w:r w:rsidRPr="00767670">
        <w:rPr>
          <w:rFonts w:cs="Arial"/>
        </w:rPr>
        <w:t xml:space="preserve">(Vic) s 4A(b), </w:t>
      </w:r>
      <w:r>
        <w:rPr>
          <w:rFonts w:cs="Arial"/>
        </w:rPr>
        <w:t xml:space="preserve">s </w:t>
      </w:r>
      <w:r w:rsidRPr="00767670">
        <w:rPr>
          <w:rFonts w:cs="Arial"/>
        </w:rPr>
        <w:t>14(1)(e) and (ea)</w:t>
      </w:r>
      <w:r>
        <w:rPr>
          <w:rFonts w:cs="Arial"/>
        </w:rPr>
        <w:t>,</w:t>
      </w:r>
      <w:r w:rsidRPr="00767670">
        <w:rPr>
          <w:rFonts w:cs="Arial"/>
        </w:rPr>
        <w:t xml:space="preserve"> and s 17(1A).</w:t>
      </w:r>
    </w:p>
  </w:footnote>
  <w:footnote w:id="710">
    <w:p w14:paraId="2E554AF3" w14:textId="77777777" w:rsidR="0042789D" w:rsidRPr="00C06545" w:rsidRDefault="0042789D" w:rsidP="00895786">
      <w:pPr>
        <w:pStyle w:val="FootnoteText"/>
        <w:spacing w:before="60" w:after="60"/>
      </w:pPr>
      <w:r w:rsidRPr="00C06545">
        <w:rPr>
          <w:rStyle w:val="FootnoteReference"/>
        </w:rPr>
        <w:footnoteRef/>
      </w:r>
      <w:r w:rsidRPr="00C06545">
        <w:t xml:space="preserve"> </w:t>
      </w:r>
      <w:r w:rsidRPr="00C06545">
        <w:rPr>
          <w:i/>
        </w:rPr>
        <w:t>Child Protection (Offenders Registration) Act 2000</w:t>
      </w:r>
      <w:r w:rsidRPr="00C06545">
        <w:t xml:space="preserve"> (NSW) s 2A(a).</w:t>
      </w:r>
    </w:p>
  </w:footnote>
  <w:footnote w:id="711">
    <w:p w14:paraId="57169684" w14:textId="1C37FB11" w:rsidR="0042789D" w:rsidRPr="00C06545" w:rsidRDefault="0042789D" w:rsidP="00895786">
      <w:pPr>
        <w:pStyle w:val="FootnoteText"/>
        <w:spacing w:before="60" w:after="60"/>
      </w:pPr>
      <w:r w:rsidRPr="00C06545">
        <w:rPr>
          <w:rStyle w:val="FootnoteReference"/>
        </w:rPr>
        <w:footnoteRef/>
      </w:r>
      <w:r w:rsidRPr="00C06545">
        <w:t xml:space="preserve"> It should be noted that s 9(1)(f) originally referred to premises where a person was ‘generally employed’. Section 9(2)(d) should have been updated when s 9(1)(f) was amended in 2013 to refer to ‘generally works’ rather than ‘generally employed’: see </w:t>
      </w:r>
      <w:r w:rsidRPr="00C06545">
        <w:rPr>
          <w:i/>
        </w:rPr>
        <w:t>Child Protection Legislation Amendment (Children’s Guardian) Act 2013</w:t>
      </w:r>
      <w:r w:rsidRPr="00C06545">
        <w:t xml:space="preserve"> (NSW).</w:t>
      </w:r>
    </w:p>
  </w:footnote>
  <w:footnote w:id="712">
    <w:p w14:paraId="189935C0" w14:textId="77777777" w:rsidR="0042789D" w:rsidRPr="00C06545" w:rsidRDefault="0042789D" w:rsidP="00895786">
      <w:pPr>
        <w:pStyle w:val="FootnoteText"/>
        <w:spacing w:before="60" w:after="60"/>
      </w:pPr>
      <w:r w:rsidRPr="00C06545">
        <w:rPr>
          <w:rStyle w:val="FootnoteReference"/>
        </w:rPr>
        <w:footnoteRef/>
      </w:r>
      <w:r w:rsidRPr="00C06545">
        <w:t xml:space="preserve"> </w:t>
      </w:r>
      <w:r w:rsidRPr="00C06545">
        <w:rPr>
          <w:i/>
        </w:rPr>
        <w:t>Child Protection (Offenders Registration) Act 2000</w:t>
      </w:r>
      <w:r w:rsidRPr="00C06545">
        <w:t xml:space="preserve"> (NSW) s 11(1).</w:t>
      </w:r>
    </w:p>
  </w:footnote>
  <w:footnote w:id="713">
    <w:p w14:paraId="48AFC8E9" w14:textId="77777777" w:rsidR="0042789D" w:rsidRPr="00767670" w:rsidRDefault="0042789D" w:rsidP="00895786">
      <w:pPr>
        <w:pStyle w:val="FootnoteText"/>
        <w:spacing w:before="60" w:after="60"/>
      </w:pPr>
      <w:r w:rsidRPr="00C06545">
        <w:rPr>
          <w:rStyle w:val="FootnoteReference"/>
        </w:rPr>
        <w:footnoteRef/>
      </w:r>
      <w:r w:rsidRPr="00C06545">
        <w:t xml:space="preserve"> </w:t>
      </w:r>
      <w:r w:rsidRPr="00C06545">
        <w:rPr>
          <w:i/>
        </w:rPr>
        <w:t>Child Protection (Offenders Registration) Act 2000</w:t>
      </w:r>
      <w:r w:rsidRPr="00C06545">
        <w:t xml:space="preserve"> (NSW) s 11(2).</w:t>
      </w:r>
    </w:p>
  </w:footnote>
  <w:footnote w:id="714">
    <w:p w14:paraId="510C9A6B" w14:textId="77FEABFC" w:rsidR="0042789D" w:rsidRPr="005642FC" w:rsidRDefault="0042789D" w:rsidP="008E198F">
      <w:pPr>
        <w:pStyle w:val="FootnoteText"/>
      </w:pPr>
      <w:r w:rsidRPr="005642FC">
        <w:rPr>
          <w:rStyle w:val="FootnoteReference"/>
        </w:rPr>
        <w:footnoteRef/>
      </w:r>
      <w:r>
        <w:t xml:space="preserve"> </w:t>
      </w:r>
      <w:r w:rsidRPr="005642FC">
        <w:t xml:space="preserve">All documentation in relation to </w:t>
      </w:r>
      <w:r>
        <w:t>Mr XX</w:t>
      </w:r>
      <w:r w:rsidRPr="005642FC">
        <w:t xml:space="preserve"> </w:t>
      </w:r>
      <w:r>
        <w:t>relied</w:t>
      </w:r>
      <w:r w:rsidRPr="005642FC">
        <w:t xml:space="preserve"> upon for this </w:t>
      </w:r>
      <w:r>
        <w:t>case study was produced by the NSW Police Force in</w:t>
      </w:r>
      <w:r w:rsidRPr="005642FC">
        <w:t xml:space="preserve"> </w:t>
      </w:r>
      <w:r>
        <w:t>response</w:t>
      </w:r>
      <w:r w:rsidRPr="005642FC">
        <w:t xml:space="preserve"> to item 2 of </w:t>
      </w:r>
      <w:r>
        <w:t>Law Enforcement Conduct Commission Notice</w:t>
      </w:r>
      <w:r w:rsidRPr="005642FC">
        <w:t xml:space="preserve"> 929 of 2017.</w:t>
      </w:r>
    </w:p>
  </w:footnote>
  <w:footnote w:id="715">
    <w:p w14:paraId="750C4A95" w14:textId="77777777" w:rsidR="0042789D" w:rsidRPr="00257272" w:rsidRDefault="0042789D" w:rsidP="00BF04A1">
      <w:pPr>
        <w:pStyle w:val="FootnoteText"/>
        <w:spacing w:before="60" w:after="60"/>
      </w:pPr>
      <w:r w:rsidRPr="00257272">
        <w:rPr>
          <w:rStyle w:val="FootnoteReference"/>
        </w:rPr>
        <w:footnoteRef/>
      </w:r>
      <w:r w:rsidRPr="00257272">
        <w:t xml:space="preserve"> Fourteen days was the period provided under s 11(1) of the </w:t>
      </w:r>
      <w:r w:rsidRPr="00257272">
        <w:rPr>
          <w:i/>
        </w:rPr>
        <w:t>Child Protection (Offenders Registration) Act 2000</w:t>
      </w:r>
      <w:r w:rsidRPr="00257272">
        <w:t xml:space="preserve"> (NSW) </w:t>
      </w:r>
      <w:r>
        <w:t>as in force in 2012.</w:t>
      </w:r>
    </w:p>
  </w:footnote>
  <w:footnote w:id="716">
    <w:p w14:paraId="2B43D438" w14:textId="522D9A9F" w:rsidR="0042789D" w:rsidRPr="00767670" w:rsidRDefault="0042789D" w:rsidP="008E198F">
      <w:pPr>
        <w:pStyle w:val="FootnoteText"/>
      </w:pPr>
      <w:r w:rsidRPr="00257272">
        <w:rPr>
          <w:rStyle w:val="FootnoteReference"/>
        </w:rPr>
        <w:footnoteRef/>
      </w:r>
      <w:r w:rsidRPr="00257272">
        <w:t xml:space="preserve"> Transcript of Proceedings, </w:t>
      </w:r>
      <w:r>
        <w:rPr>
          <w:i/>
        </w:rPr>
        <w:t>R v [Mr XX]</w:t>
      </w:r>
      <w:r w:rsidRPr="00257272">
        <w:rPr>
          <w:i/>
        </w:rPr>
        <w:t>: Application for Bail</w:t>
      </w:r>
      <w:r>
        <w:t xml:space="preserve"> (Local Court</w:t>
      </w:r>
      <w:r w:rsidRPr="00257272">
        <w:t>, 30 April 2012)</w:t>
      </w:r>
      <w:r>
        <w:t>, NSW Police Force response</w:t>
      </w:r>
      <w:r w:rsidRPr="005642FC">
        <w:t xml:space="preserve"> to item 2 of </w:t>
      </w:r>
      <w:r>
        <w:t>Law Enforcement Conduct Commission Notice</w:t>
      </w:r>
      <w:r w:rsidRPr="005642FC">
        <w:t xml:space="preserve"> 929 of 2017</w:t>
      </w:r>
      <w:r>
        <w:t xml:space="preserve">, </w:t>
      </w:r>
      <w:r w:rsidRPr="00257272">
        <w:t>p</w:t>
      </w:r>
      <w:r>
        <w:t>p 7-8.</w:t>
      </w:r>
    </w:p>
  </w:footnote>
  <w:footnote w:id="717">
    <w:p w14:paraId="05E4CC04" w14:textId="77777777" w:rsidR="0042789D" w:rsidRPr="00527F7C" w:rsidRDefault="0042789D" w:rsidP="006F4D56">
      <w:pPr>
        <w:pStyle w:val="FootnoteText"/>
        <w:spacing w:before="60" w:after="60"/>
      </w:pPr>
      <w:r w:rsidRPr="00527F7C">
        <w:rPr>
          <w:rStyle w:val="FootnoteReference"/>
        </w:rPr>
        <w:footnoteRef/>
      </w:r>
      <w:r w:rsidRPr="00527F7C">
        <w:t xml:space="preserve"> </w:t>
      </w:r>
      <w:r w:rsidRPr="00527F7C">
        <w:rPr>
          <w:i/>
        </w:rPr>
        <w:t>Child Protection (Offenders Registration) Act 2000</w:t>
      </w:r>
      <w:r w:rsidRPr="00527F7C">
        <w:t xml:space="preserve"> (NSW) (version in force as at 10 April 2012) s 9(1)(f). </w:t>
      </w:r>
    </w:p>
  </w:footnote>
  <w:footnote w:id="718">
    <w:p w14:paraId="3573627C" w14:textId="77777777" w:rsidR="0042789D" w:rsidRPr="00527F7C" w:rsidRDefault="0042789D" w:rsidP="006F4D56">
      <w:pPr>
        <w:pStyle w:val="FootnoteText"/>
        <w:spacing w:before="60" w:after="60"/>
      </w:pPr>
      <w:r w:rsidRPr="00527F7C">
        <w:rPr>
          <w:rStyle w:val="FootnoteReference"/>
        </w:rPr>
        <w:footnoteRef/>
      </w:r>
      <w:r w:rsidRPr="00527F7C">
        <w:t xml:space="preserve"> </w:t>
      </w:r>
      <w:r w:rsidRPr="00527F7C">
        <w:rPr>
          <w:i/>
        </w:rPr>
        <w:t>Child Protection (Offenders Registration) Act 2000</w:t>
      </w:r>
      <w:r w:rsidRPr="00527F7C">
        <w:t xml:space="preserve"> (NSW) (version in force as at 10 April 2012) s 9(3).</w:t>
      </w:r>
    </w:p>
  </w:footnote>
  <w:footnote w:id="719">
    <w:p w14:paraId="26960F42" w14:textId="018A8067" w:rsidR="0042789D" w:rsidRPr="00527F7C" w:rsidRDefault="0042789D" w:rsidP="006F4D56">
      <w:pPr>
        <w:pStyle w:val="FootnoteText"/>
        <w:spacing w:before="60" w:after="60"/>
      </w:pPr>
      <w:r w:rsidRPr="00527F7C">
        <w:rPr>
          <w:rStyle w:val="FootnoteReference"/>
        </w:rPr>
        <w:footnoteRef/>
      </w:r>
      <w:r w:rsidRPr="00527F7C">
        <w:t xml:space="preserve"> Transcript of Proceedings, </w:t>
      </w:r>
      <w:r w:rsidRPr="00527F7C">
        <w:rPr>
          <w:i/>
        </w:rPr>
        <w:t xml:space="preserve">R v [Mr XX] </w:t>
      </w:r>
      <w:r>
        <w:t>(Local Court</w:t>
      </w:r>
      <w:r w:rsidRPr="00527F7C">
        <w:t xml:space="preserve">, 30 November 2012) </w:t>
      </w:r>
      <w:r>
        <w:t>NSW Police Force response</w:t>
      </w:r>
      <w:r w:rsidRPr="005642FC">
        <w:t xml:space="preserve"> to item 2 of </w:t>
      </w:r>
      <w:r>
        <w:t>Law Enforcement Conduct Commission Notice</w:t>
      </w:r>
      <w:r w:rsidRPr="005642FC">
        <w:t xml:space="preserve"> 929 of 2017</w:t>
      </w:r>
      <w:r>
        <w:t xml:space="preserve">, </w:t>
      </w:r>
      <w:r w:rsidRPr="00527F7C">
        <w:t>pp 5-6.</w:t>
      </w:r>
    </w:p>
  </w:footnote>
  <w:footnote w:id="720">
    <w:p w14:paraId="65D41324" w14:textId="513803B4" w:rsidR="0042789D" w:rsidRPr="00527F7C" w:rsidRDefault="0042789D" w:rsidP="006F4D56">
      <w:pPr>
        <w:pStyle w:val="FootnoteText"/>
        <w:spacing w:before="60" w:after="60"/>
      </w:pPr>
      <w:r w:rsidRPr="00527F7C">
        <w:rPr>
          <w:rStyle w:val="FootnoteReference"/>
        </w:rPr>
        <w:footnoteRef/>
      </w:r>
      <w:r>
        <w:t xml:space="preserve"> Ibid </w:t>
      </w:r>
      <w:r w:rsidRPr="00527F7C">
        <w:t>p 6.</w:t>
      </w:r>
    </w:p>
  </w:footnote>
  <w:footnote w:id="721">
    <w:p w14:paraId="07AC6764" w14:textId="22D283DD" w:rsidR="0042789D" w:rsidRPr="00767670" w:rsidRDefault="0042789D" w:rsidP="006F4D56">
      <w:pPr>
        <w:pStyle w:val="FootnoteText"/>
        <w:spacing w:before="60" w:after="60"/>
      </w:pPr>
      <w:r w:rsidRPr="00527F7C">
        <w:rPr>
          <w:rStyle w:val="FootnoteReference"/>
        </w:rPr>
        <w:footnoteRef/>
      </w:r>
      <w:r>
        <w:t xml:space="preserve"> Ibid</w:t>
      </w:r>
      <w:r w:rsidRPr="00527F7C">
        <w:t>.</w:t>
      </w:r>
    </w:p>
  </w:footnote>
  <w:footnote w:id="722">
    <w:p w14:paraId="7C071A33" w14:textId="77777777" w:rsidR="0042789D" w:rsidRPr="00AF063B" w:rsidRDefault="0042789D" w:rsidP="006F4D56">
      <w:pPr>
        <w:pStyle w:val="FootnoteText"/>
        <w:spacing w:before="60" w:after="60"/>
      </w:pPr>
      <w:r w:rsidRPr="00AF063B">
        <w:rPr>
          <w:rStyle w:val="FootnoteReference"/>
        </w:rPr>
        <w:footnoteRef/>
      </w:r>
      <w:r w:rsidRPr="00AF063B">
        <w:t xml:space="preserve"> </w:t>
      </w:r>
      <w:r w:rsidRPr="00AF063B">
        <w:rPr>
          <w:i/>
        </w:rPr>
        <w:t>Child Protection (Offenders Registration) Act 2000</w:t>
      </w:r>
      <w:r w:rsidRPr="00AF063B">
        <w:t xml:space="preserve"> (NSW) s 9(3).</w:t>
      </w:r>
    </w:p>
  </w:footnote>
  <w:footnote w:id="723">
    <w:p w14:paraId="3785238B" w14:textId="77777777" w:rsidR="0042789D" w:rsidRPr="00AF063B" w:rsidRDefault="0042789D" w:rsidP="006F4D56">
      <w:pPr>
        <w:pStyle w:val="FootnoteText"/>
        <w:spacing w:before="60" w:after="60"/>
      </w:pPr>
      <w:r w:rsidRPr="00AF063B">
        <w:rPr>
          <w:rStyle w:val="FootnoteReference"/>
        </w:rPr>
        <w:footnoteRef/>
      </w:r>
      <w:r w:rsidRPr="00AF063B">
        <w:t xml:space="preserve"> </w:t>
      </w:r>
      <w:r w:rsidRPr="00AF063B">
        <w:rPr>
          <w:i/>
        </w:rPr>
        <w:t xml:space="preserve">Child Protection (Working With Children) Act 2012 (NSW) </w:t>
      </w:r>
      <w:r w:rsidRPr="00AF063B">
        <w:t>s 5.</w:t>
      </w:r>
    </w:p>
  </w:footnote>
  <w:footnote w:id="724">
    <w:p w14:paraId="09B15FA5" w14:textId="77777777" w:rsidR="0042789D" w:rsidRPr="00767670" w:rsidRDefault="0042789D" w:rsidP="006F4D56">
      <w:pPr>
        <w:pStyle w:val="FootnoteText"/>
        <w:spacing w:before="60" w:after="60"/>
      </w:pPr>
      <w:r w:rsidRPr="00AF063B">
        <w:rPr>
          <w:rStyle w:val="FootnoteReference"/>
        </w:rPr>
        <w:footnoteRef/>
      </w:r>
      <w:r w:rsidRPr="00AF063B">
        <w:t xml:space="preserve"> </w:t>
      </w:r>
      <w:r w:rsidRPr="00AF063B">
        <w:rPr>
          <w:i/>
        </w:rPr>
        <w:t>Social Security Act 1991</w:t>
      </w:r>
      <w:r w:rsidRPr="00AF063B">
        <w:t xml:space="preserve"> (Cth) s 631C.</w:t>
      </w:r>
    </w:p>
  </w:footnote>
  <w:footnote w:id="725">
    <w:p w14:paraId="57079BC7" w14:textId="77777777" w:rsidR="0042789D" w:rsidRPr="008C2FA6" w:rsidRDefault="0042789D" w:rsidP="008C2FA6">
      <w:pPr>
        <w:pStyle w:val="FootnoteText"/>
        <w:spacing w:before="60" w:after="60"/>
      </w:pPr>
      <w:r w:rsidRPr="008C2FA6">
        <w:rPr>
          <w:rStyle w:val="FootnoteReference"/>
        </w:rPr>
        <w:footnoteRef/>
      </w:r>
      <w:r w:rsidRPr="008C2FA6">
        <w:t xml:space="preserve"> </w:t>
      </w:r>
      <w:r w:rsidRPr="008C2FA6">
        <w:rPr>
          <w:i/>
        </w:rPr>
        <w:t>Child Protection (Offenders Registration) Act 2000</w:t>
      </w:r>
      <w:r w:rsidRPr="008C2FA6">
        <w:t xml:space="preserve"> (NSW) s 17(3).</w:t>
      </w:r>
    </w:p>
  </w:footnote>
  <w:footnote w:id="726">
    <w:p w14:paraId="59F000E6" w14:textId="77777777" w:rsidR="0042789D" w:rsidRPr="008C2FA6" w:rsidRDefault="0042789D" w:rsidP="008C2FA6">
      <w:pPr>
        <w:pStyle w:val="FootnoteText"/>
        <w:spacing w:before="60" w:after="60"/>
      </w:pPr>
      <w:r w:rsidRPr="008C2FA6">
        <w:rPr>
          <w:rStyle w:val="FootnoteReference"/>
        </w:rPr>
        <w:footnoteRef/>
      </w:r>
      <w:r w:rsidRPr="008C2FA6">
        <w:t xml:space="preserve"> </w:t>
      </w:r>
      <w:r w:rsidRPr="008C2FA6">
        <w:rPr>
          <w:i/>
        </w:rPr>
        <w:t>Child Protection (Offenders Registration) Act 2000</w:t>
      </w:r>
      <w:r w:rsidRPr="008C2FA6">
        <w:t xml:space="preserve"> (NSW) s 3A(1).</w:t>
      </w:r>
    </w:p>
  </w:footnote>
  <w:footnote w:id="727">
    <w:p w14:paraId="675F6F10" w14:textId="77777777" w:rsidR="0042789D" w:rsidRPr="008C2FA6" w:rsidRDefault="0042789D" w:rsidP="008C2FA6">
      <w:pPr>
        <w:pStyle w:val="FootnoteText"/>
        <w:spacing w:before="60" w:after="60"/>
      </w:pPr>
      <w:r w:rsidRPr="008C2FA6">
        <w:rPr>
          <w:rStyle w:val="FootnoteReference"/>
        </w:rPr>
        <w:footnoteRef/>
      </w:r>
      <w:r w:rsidRPr="008C2FA6">
        <w:t xml:space="preserve"> </w:t>
      </w:r>
      <w:r w:rsidRPr="008C2FA6">
        <w:rPr>
          <w:i/>
        </w:rPr>
        <w:t>Child Protection (Offenders Registration) Act 2000</w:t>
      </w:r>
      <w:r w:rsidRPr="008C2FA6">
        <w:t xml:space="preserve"> (NSW) s 9A (version in force as at 22 October 2014).</w:t>
      </w:r>
    </w:p>
  </w:footnote>
  <w:footnote w:id="728">
    <w:p w14:paraId="5334AE26" w14:textId="77777777" w:rsidR="0042789D" w:rsidRPr="008C2FA6" w:rsidRDefault="0042789D" w:rsidP="008C2FA6">
      <w:pPr>
        <w:pStyle w:val="FootnoteText"/>
        <w:spacing w:before="60" w:after="60"/>
      </w:pPr>
      <w:r w:rsidRPr="008C2FA6">
        <w:rPr>
          <w:rStyle w:val="FootnoteReference"/>
        </w:rPr>
        <w:footnoteRef/>
      </w:r>
      <w:r w:rsidRPr="008C2FA6">
        <w:t xml:space="preserve"> </w:t>
      </w:r>
      <w:r w:rsidRPr="008C2FA6">
        <w:rPr>
          <w:i/>
        </w:rPr>
        <w:t>Child Protection (Offenders Registration) Amendment (Statutory Review) Act 2014 No 54</w:t>
      </w:r>
      <w:r w:rsidRPr="008C2FA6">
        <w:t xml:space="preserve"> (NSW) s 29 and s 38. </w:t>
      </w:r>
    </w:p>
  </w:footnote>
  <w:footnote w:id="729">
    <w:p w14:paraId="2709D2E1" w14:textId="25F76B39" w:rsidR="0042789D" w:rsidRDefault="0042789D" w:rsidP="008C2FA6">
      <w:pPr>
        <w:pStyle w:val="FootnoteText"/>
        <w:spacing w:before="60" w:after="60"/>
      </w:pPr>
      <w:r w:rsidRPr="008C2FA6">
        <w:rPr>
          <w:rStyle w:val="FootnoteReference"/>
        </w:rPr>
        <w:footnoteRef/>
      </w:r>
      <w:r w:rsidRPr="008C2FA6">
        <w:t xml:space="preserve"> The third item in the table in s 9A is based on a provision t</w:t>
      </w:r>
      <w:r>
        <w:t>hat pre-dated the concept of corresponding registrable person</w:t>
      </w:r>
      <w:r w:rsidRPr="008C2FA6">
        <w:t>s and related to persons who were found guilty of reg</w:t>
      </w:r>
      <w:r>
        <w:t>istrable offences outside of New South Wales</w:t>
      </w:r>
      <w:r w:rsidRPr="008C2FA6">
        <w:t xml:space="preserve">: see s 10(1)(b) of the </w:t>
      </w:r>
      <w:r w:rsidRPr="008C2FA6">
        <w:rPr>
          <w:i/>
        </w:rPr>
        <w:t>Child Protection (Offenders Registration) Act 2000</w:t>
      </w:r>
      <w:r w:rsidRPr="008C2FA6">
        <w:t xml:space="preserve"> (NSW)(version in force prior to 30 September 2005), and Explanatory Note, Child Protection (Offenders Registration) Amendment Bill</w:t>
      </w:r>
      <w:r w:rsidRPr="008C2FA6">
        <w:rPr>
          <w:i/>
        </w:rPr>
        <w:t xml:space="preserve"> </w:t>
      </w:r>
      <w:r w:rsidRPr="008C2FA6">
        <w:t>2004</w:t>
      </w:r>
      <w:r w:rsidRPr="008C2FA6">
        <w:rPr>
          <w:i/>
        </w:rPr>
        <w:t xml:space="preserve"> </w:t>
      </w:r>
      <w:r>
        <w:t>(NSW) p </w:t>
      </w:r>
      <w:r w:rsidRPr="008C2FA6">
        <w:t>4.</w:t>
      </w:r>
    </w:p>
  </w:footnote>
  <w:footnote w:id="730">
    <w:p w14:paraId="56AEFDD8" w14:textId="77777777" w:rsidR="0042789D" w:rsidRPr="00767670" w:rsidRDefault="0042789D" w:rsidP="00E757C1">
      <w:pPr>
        <w:pStyle w:val="FootnoteText"/>
        <w:spacing w:before="60" w:after="60"/>
      </w:pPr>
      <w:r w:rsidRPr="00767670">
        <w:rPr>
          <w:rStyle w:val="FootnoteReference"/>
        </w:rPr>
        <w:footnoteRef/>
      </w:r>
      <w:r w:rsidRPr="00767670">
        <w:t xml:space="preserve"> </w:t>
      </w:r>
      <w:r w:rsidRPr="00767670">
        <w:rPr>
          <w:i/>
        </w:rPr>
        <w:t>Witness Protection Act 1995</w:t>
      </w:r>
      <w:r w:rsidRPr="00767670">
        <w:t xml:space="preserve"> (NSW) s 6(4).</w:t>
      </w:r>
    </w:p>
  </w:footnote>
  <w:footnote w:id="731">
    <w:p w14:paraId="46C9D9C7" w14:textId="77777777" w:rsidR="0042789D" w:rsidRPr="00511C99" w:rsidRDefault="0042789D" w:rsidP="00E757C1">
      <w:pPr>
        <w:pStyle w:val="FootnoteText"/>
        <w:spacing w:before="60" w:after="60"/>
      </w:pPr>
      <w:r w:rsidRPr="00511C99">
        <w:rPr>
          <w:rStyle w:val="FootnoteReference"/>
        </w:rPr>
        <w:footnoteRef/>
      </w:r>
      <w:r w:rsidRPr="00511C99">
        <w:t xml:space="preserve"> There is one exception in the case of the obligation in s 11B to report changes to the person’s travel plans.</w:t>
      </w:r>
    </w:p>
  </w:footnote>
  <w:footnote w:id="732">
    <w:p w14:paraId="4A9AFD66" w14:textId="1A6EC074" w:rsidR="0042789D" w:rsidRPr="00BC0267" w:rsidRDefault="0042789D" w:rsidP="00E757C1">
      <w:pPr>
        <w:pStyle w:val="FootnoteText"/>
        <w:spacing w:before="60" w:after="60"/>
      </w:pPr>
      <w:r w:rsidRPr="00BC0267">
        <w:rPr>
          <w:rStyle w:val="FootnoteReference"/>
        </w:rPr>
        <w:footnoteRef/>
      </w:r>
      <w:r w:rsidRPr="00BC0267">
        <w:t xml:space="preserve"> Assuming for the purposes of this example that the ‘one month’ threshold in s 15(3)(a) should be interpreted as 30 days.</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4F2F48" w14:textId="5D9F71D7" w:rsidR="0042789D" w:rsidRDefault="0042789D">
    <w:pPr>
      <w:pStyle w:val="Header"/>
    </w:pPr>
    <w:r>
      <w:rPr>
        <w:noProof/>
        <w:lang w:eastAsia="en-AU"/>
      </w:rPr>
      <mc:AlternateContent>
        <mc:Choice Requires="wps">
          <w:drawing>
            <wp:anchor distT="0" distB="0" distL="114300" distR="114300" simplePos="0" relativeHeight="251685888" behindDoc="1" locked="1" layoutInCell="1" allowOverlap="1" wp14:anchorId="48DF1C19" wp14:editId="2D080B23">
              <wp:simplePos x="0" y="0"/>
              <wp:positionH relativeFrom="page">
                <wp:posOffset>-53975</wp:posOffset>
              </wp:positionH>
              <wp:positionV relativeFrom="page">
                <wp:posOffset>-53975</wp:posOffset>
              </wp:positionV>
              <wp:extent cx="7786800" cy="11070000"/>
              <wp:effectExtent l="0" t="0" r="0" b="4445"/>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86800" cy="110700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DA2C468" id="Rectangle 2" o:spid="_x0000_s1026" style="position:absolute;margin-left:-4.25pt;margin-top:-4.25pt;width:613.15pt;height:871.65pt;z-index:-2516305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" fillcolor="#b9e6ff [660]" stroked="f" strokeweight="1pt">
              <o:lock v:ext="edit" aspectratio="t"/>
              <w10:wrap anchorx="page" anchory="page"/>
              <w10:anchorlock/>
            </v:rect>
          </w:pict>
        </mc:Fallback>
      </mc:AlternateContent>
    </w: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DEFA52" w14:textId="685E5512" w:rsidR="0042789D" w:rsidRDefault="0042789D">
    <w:pPr>
      <w:pStyle w:val="Heade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03C032" w14:textId="05F26F1B" w:rsidR="0042789D" w:rsidRDefault="0042789D">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4252A3B" w14:textId="521ED9CB" w:rsidR="0042789D" w:rsidRDefault="0042789D">
    <w:pPr>
      <w:pStyle w:val="Header"/>
    </w:pPr>
    <w:r>
      <w:rPr>
        <w:noProof/>
        <w:lang w:eastAsia="en-AU"/>
      </w:rPr>
      <mc:AlternateContent>
        <mc:Choice Requires="wps">
          <w:drawing>
            <wp:anchor distT="0" distB="0" distL="114300" distR="114300" simplePos="0" relativeHeight="251689984" behindDoc="1" locked="1" layoutInCell="1" allowOverlap="1" wp14:anchorId="04962A06" wp14:editId="554018C8">
              <wp:simplePos x="0" y="0"/>
              <wp:positionH relativeFrom="page">
                <wp:posOffset>-53975</wp:posOffset>
              </wp:positionH>
              <wp:positionV relativeFrom="page">
                <wp:posOffset>-53975</wp:posOffset>
              </wp:positionV>
              <wp:extent cx="7786800" cy="11012400"/>
              <wp:effectExtent l="0" t="0" r="0" b="0"/>
              <wp:wrapNone/>
              <wp:docPr id="31" name="Rectangle 3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86800" cy="11012400"/>
                      </a:xfrm>
                      <a:prstGeom prst="rect">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0A92380" id="Rectangle 31" o:spid="_x0000_s1026" style="position:absolute;margin-left:-4.25pt;margin-top:-4.25pt;width:613.15pt;height:867.1pt;z-index:-25162649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" fillcolor="#0067a0 [3204]" stroked="f" strokeweight="1pt">
              <o:lock v:ext="edit" aspectratio="t"/>
              <w10:wrap anchorx="page" anchory="page"/>
              <w10:anchorlock/>
            </v:rect>
          </w:pict>
        </mc:Fallback>
      </mc:AlternateContent>
    </w: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1BFF18D" w14:textId="649F8E84" w:rsidR="0042789D" w:rsidRDefault="0042789D">
    <w:pPr>
      <w:pStyle w:val="Heade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1C5988" w14:textId="582B5B28" w:rsidR="0042789D" w:rsidRDefault="0042789D">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0488B60" w14:textId="1557AC0F" w:rsidR="0042789D" w:rsidRDefault="0042789D">
    <w:pPr>
      <w:pStyle w:val="Header"/>
    </w:pPr>
    <w:r>
      <w:rPr>
        <w:noProof/>
        <w:lang w:eastAsia="en-AU"/>
      </w:rPr>
      <mc:AlternateContent>
        <mc:Choice Requires="wps">
          <w:drawing>
            <wp:anchor distT="0" distB="0" distL="114300" distR="114300" simplePos="0" relativeHeight="251692032" behindDoc="1" locked="1" layoutInCell="1" allowOverlap="1" wp14:anchorId="5F70730B" wp14:editId="79383B0D">
              <wp:simplePos x="0" y="0"/>
              <wp:positionH relativeFrom="page">
                <wp:posOffset>-53975</wp:posOffset>
              </wp:positionH>
              <wp:positionV relativeFrom="page">
                <wp:posOffset>-53975</wp:posOffset>
              </wp:positionV>
              <wp:extent cx="7786800" cy="11012400"/>
              <wp:effectExtent l="0" t="0" r="0" b="0"/>
              <wp:wrapNone/>
              <wp:docPr id="33" name="Rectangle 3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86800" cy="11012400"/>
                      </a:xfrm>
                      <a:prstGeom prst="rect">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7C70B33" id="Rectangle 33" o:spid="_x0000_s1026" style="position:absolute;margin-left:-4.25pt;margin-top:-4.25pt;width:613.15pt;height:867.1pt;z-index:-25162444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" fillcolor="#0067a0 [3204]" stroked="f" strokeweight="1pt">
              <o:lock v:ext="edit" aspectratio="t"/>
              <w10:wrap anchorx="page" anchory="page"/>
              <w10:anchorlock/>
            </v:rect>
          </w:pict>
        </mc:Fallback>
      </mc:AlternateContent>
    </w: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FB1CD4" w14:textId="613C76A7" w:rsidR="0042789D" w:rsidRDefault="0042789D">
    <w:pPr>
      <w:pStyle w:val="Heade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DC6896" w14:textId="67A0CA45" w:rsidR="0042789D" w:rsidRDefault="0042789D">
    <w:pPr>
      <w:pStyle w:val="Heade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EF42FBE" w14:textId="044F7CF0" w:rsidR="0042789D" w:rsidRDefault="0042789D">
    <w:pPr>
      <w:pStyle w:val="Header"/>
    </w:pPr>
    <w:r>
      <w:rPr>
        <w:noProof/>
        <w:lang w:eastAsia="en-AU"/>
      </w:rPr>
      <mc:AlternateContent>
        <mc:Choice Requires="wps">
          <w:drawing>
            <wp:anchor distT="0" distB="0" distL="114300" distR="114300" simplePos="0" relativeHeight="251694080" behindDoc="1" locked="1" layoutInCell="1" allowOverlap="1" wp14:anchorId="7878B90F" wp14:editId="702841FC">
              <wp:simplePos x="0" y="0"/>
              <wp:positionH relativeFrom="page">
                <wp:posOffset>-53975</wp:posOffset>
              </wp:positionH>
              <wp:positionV relativeFrom="page">
                <wp:posOffset>-53975</wp:posOffset>
              </wp:positionV>
              <wp:extent cx="7786800" cy="11012400"/>
              <wp:effectExtent l="0" t="0" r="0" b="0"/>
              <wp:wrapNone/>
              <wp:docPr id="34" name="Rectangle 3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86800" cy="11012400"/>
                      </a:xfrm>
                      <a:prstGeom prst="rect">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BEDD78D" id="Rectangle 34" o:spid="_x0000_s1026" style="position:absolute;margin-left:-4.25pt;margin-top:-4.25pt;width:613.15pt;height:867.1pt;z-index:-25162240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" fillcolor="#0067a0 [3204]" stroked="f" strokeweight="1pt">
              <o:lock v:ext="edit" aspectratio="t"/>
              <w10:wrap anchorx="page" anchory="page"/>
              <w10:anchorlock/>
            </v:rect>
          </w:pict>
        </mc:Fallback>
      </mc:AlternateContent>
    </w: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A05B81" w14:textId="3E26D3AB" w:rsidR="0042789D" w:rsidRDefault="0042789D" w:rsidP="008275E3">
    <w:pPr>
      <w:pStyle w:val="Header"/>
      <w:tabs>
        <w:tab w:val="clear" w:pos="4513"/>
        <w:tab w:val="clear" w:pos="9026"/>
        <w:tab w:val="right" w:pos="9354"/>
      </w:tabs>
    </w:pPr>
    <w:r>
      <w:tab/>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D0EA4A" w14:textId="177966CE" w:rsidR="0042789D" w:rsidRDefault="0042789D">
    <w:pPr>
      <w:pStyle w:val="Header"/>
    </w:pPr>
    <w:r>
      <w:rPr>
        <w:noProof/>
        <w:lang w:eastAsia="en-AU"/>
      </w:rPr>
      <mc:AlternateContent>
        <mc:Choice Requires="wps">
          <w:drawing>
            <wp:anchor distT="0" distB="0" distL="114300" distR="114300" simplePos="0" relativeHeight="251712512" behindDoc="0" locked="1" layoutInCell="1" allowOverlap="1" wp14:anchorId="2769A94E" wp14:editId="7575B31A">
              <wp:simplePos x="0" y="0"/>
              <wp:positionH relativeFrom="column">
                <wp:posOffset>4279900</wp:posOffset>
              </wp:positionH>
              <wp:positionV relativeFrom="paragraph">
                <wp:posOffset>-635</wp:posOffset>
              </wp:positionV>
              <wp:extent cx="2037080" cy="2789555"/>
              <wp:effectExtent l="0" t="0" r="0" b="0"/>
              <wp:wrapNone/>
              <wp:docPr id="1" name="Text Box 1"/>
              <wp:cNvGraphicFramePr/>
              <a:graphic xmlns:a="http://schemas.openxmlformats.org/drawingml/2006/main">
                <a:graphicData uri="http://schemas.microsoft.com/office/word/2010/wordprocessingShape">
                  <wps:wsp>
                    <wps:cNvSpPr txBox="1"/>
                    <wps:spPr>
                      <a:xfrm>
                        <a:off x="0" y="0"/>
                        <a:ext cx="2037080" cy="2789555"/>
                      </a:xfrm>
                      <a:prstGeom prst="rect">
                        <a:avLst/>
                      </a:prstGeom>
                      <a:noFill/>
                      <a:ln w="6350">
                        <a:noFill/>
                      </a:ln>
                    </wps:spPr>
                    <wps:txbx>
                      <w:txbxContent>
                        <w:p w14:paraId="14E1146C" w14:textId="77777777" w:rsidR="0042789D" w:rsidRDefault="0042789D" w:rsidP="00833E8C">
                          <w:pPr>
                            <w:spacing w:before="200" w:after="0" w:line="220" w:lineRule="atLeast"/>
                            <w:rPr>
                              <w:color w:val="0067A0" w:themeColor="accent1"/>
                              <w:sz w:val="18"/>
                            </w:rPr>
                          </w:pPr>
                          <w:r>
                            <w:rPr>
                              <w:noProof/>
                              <w:lang w:eastAsia="en-AU"/>
                            </w:rPr>
                            <w:drawing>
                              <wp:inline distT="0" distB="0" distL="0" distR="0" wp14:anchorId="0FD47309" wp14:editId="644DCB34">
                                <wp:extent cx="1846580" cy="925064"/>
                                <wp:effectExtent l="0" t="0" r="0" b="25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blue.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846580" cy="925064"/>
                                        </a:xfrm>
                                        <a:prstGeom prst="rect">
                                          <a:avLst/>
                                        </a:prstGeom>
                                      </pic:spPr>
                                    </pic:pic>
                                  </a:graphicData>
                                </a:graphic>
                              </wp:inline>
                            </w:drawing>
                          </w:r>
                        </w:p>
                        <w:p w14:paraId="19D933E6" w14:textId="77777777" w:rsidR="0042789D" w:rsidRDefault="0042789D" w:rsidP="00833E8C">
                          <w:pPr>
                            <w:pStyle w:val="Contactdetails"/>
                          </w:pPr>
                        </w:p>
                        <w:p w14:paraId="3CA8CF07" w14:textId="77777777" w:rsidR="0042789D" w:rsidRPr="00AE58C8" w:rsidRDefault="0042789D" w:rsidP="00833E8C">
                          <w:pPr>
                            <w:pStyle w:val="Contactdetails"/>
                          </w:pPr>
                          <w:r w:rsidRPr="00AE58C8">
                            <w:rPr>
                              <w:color w:val="0067A0" w:themeColor="accent1"/>
                            </w:rPr>
                            <w:t>Phone</w:t>
                          </w:r>
                          <w:r w:rsidRPr="00AE58C8">
                            <w:t xml:space="preserve"> 02 9321 6700</w:t>
                          </w:r>
                          <w:r w:rsidRPr="00AE58C8">
                            <w:br/>
                          </w:r>
                          <w:r w:rsidRPr="00AE58C8">
                            <w:rPr>
                              <w:color w:val="0067A0" w:themeColor="accent1"/>
                            </w:rPr>
                            <w:t>Fax</w:t>
                          </w:r>
                          <w:r w:rsidRPr="00AE58C8">
                            <w:t xml:space="preserve"> 02 9321 6799</w:t>
                          </w:r>
                        </w:p>
                        <w:p w14:paraId="331B1C88" w14:textId="77777777" w:rsidR="0042789D" w:rsidRPr="00AE58C8" w:rsidRDefault="0042789D" w:rsidP="00833E8C">
                          <w:pPr>
                            <w:pStyle w:val="Contactdetails"/>
                          </w:pPr>
                          <w:r w:rsidRPr="00AE58C8">
                            <w:t xml:space="preserve">Level 3, 111 Elizabeth Street, </w:t>
                          </w:r>
                          <w:r w:rsidRPr="00AE58C8">
                            <w:br/>
                            <w:t>Sydney NSW 2000</w:t>
                          </w:r>
                        </w:p>
                        <w:p w14:paraId="322250D8" w14:textId="77777777" w:rsidR="0042789D" w:rsidRPr="00AE58C8" w:rsidRDefault="0042789D" w:rsidP="00833E8C">
                          <w:pPr>
                            <w:pStyle w:val="Contactdetails"/>
                          </w:pPr>
                          <w:r w:rsidRPr="00AE58C8">
                            <w:rPr>
                              <w:color w:val="0067A0" w:themeColor="accent1"/>
                            </w:rPr>
                            <w:t xml:space="preserve">Postal address </w:t>
                          </w:r>
                          <w:r w:rsidRPr="00AE58C8">
                            <w:br/>
                            <w:t xml:space="preserve">GPO Box 3880, </w:t>
                          </w:r>
                          <w:r w:rsidRPr="00AE58C8">
                            <w:br/>
                            <w:t>Sydney NSW 2001</w:t>
                          </w:r>
                        </w:p>
                        <w:p w14:paraId="6984343A" w14:textId="77777777" w:rsidR="0042789D" w:rsidRPr="00AE58C8" w:rsidRDefault="0042789D" w:rsidP="00833E8C">
                          <w:pPr>
                            <w:pStyle w:val="Contactdetails"/>
                            <w:rPr>
                              <w:color w:val="0067A0" w:themeColor="accent1"/>
                            </w:rPr>
                          </w:pPr>
                          <w:r w:rsidRPr="00AE58C8">
                            <w:rPr>
                              <w:color w:val="0067A0" w:themeColor="accent1"/>
                            </w:rPr>
                            <w:t>www.lecc.nsw.gov.au</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shapetype w14:anchorId="2769A94E" id="_x0000_t202" coordsize="21600,21600" o:spt="202" path="m,l,21600r21600,l21600,xe">
              <v:stroke joinstyle="miter"/>
              <v:path gradientshapeok="t" o:connecttype="rect"/>
            </v:shapetype>
            <v:shape id="Text Box 1" o:spid="_x0000_s1028" type="#_x0000_t202" style="position:absolute;margin-left:337pt;margin-top:-.05pt;width:160.4pt;height:219.65pt;z-index:251712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" filled="f" stroked="f" strokeweight=".5pt">
              <v:textbox style="mso-fit-shape-to-text:t">
                <w:txbxContent>
                  <w:p w14:paraId="14E1146C" w14:textId="77777777" w:rsidR="0042789D" w:rsidRDefault="0042789D" w:rsidP="00833E8C">
                    <w:pPr>
                      <w:spacing w:before="200" w:after="0" w:line="220" w:lineRule="atLeast"/>
                      <w:rPr>
                        <w:color w:val="0067A0" w:themeColor="accent1"/>
                        <w:sz w:val="18"/>
                      </w:rPr>
                    </w:pPr>
                    <w:r>
                      <w:rPr>
                        <w:noProof/>
                        <w:lang w:eastAsia="en-AU"/>
                      </w:rPr>
                      <w:drawing>
                        <wp:inline distT="0" distB="0" distL="0" distR="0" wp14:anchorId="0FD47309" wp14:editId="644DCB34">
                          <wp:extent cx="1846580" cy="925064"/>
                          <wp:effectExtent l="0" t="0" r="0" b="2540"/>
                          <wp:docPr id="59" name="Picture 5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logo blue.pn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846580" cy="925064"/>
                                  </a:xfrm>
                                  <a:prstGeom prst="rect">
                                    <a:avLst/>
                                  </a:prstGeom>
                                </pic:spPr>
                              </pic:pic>
                            </a:graphicData>
                          </a:graphic>
                        </wp:inline>
                      </w:drawing>
                    </w:r>
                  </w:p>
                  <w:p w14:paraId="19D933E6" w14:textId="77777777" w:rsidR="0042789D" w:rsidRDefault="0042789D" w:rsidP="00833E8C">
                    <w:pPr>
                      <w:pStyle w:val="Contactdetails"/>
                    </w:pPr>
                  </w:p>
                  <w:p w14:paraId="3CA8CF07" w14:textId="77777777" w:rsidR="0042789D" w:rsidRPr="00AE58C8" w:rsidRDefault="0042789D" w:rsidP="00833E8C">
                    <w:pPr>
                      <w:pStyle w:val="Contactdetails"/>
                    </w:pPr>
                    <w:r w:rsidRPr="00AE58C8">
                      <w:rPr>
                        <w:color w:val="0067A0" w:themeColor="accent1"/>
                      </w:rPr>
                      <w:t>Phone</w:t>
                    </w:r>
                    <w:r w:rsidRPr="00AE58C8">
                      <w:t xml:space="preserve"> 02 9321 6700</w:t>
                    </w:r>
                    <w:r w:rsidRPr="00AE58C8">
                      <w:br/>
                    </w:r>
                    <w:r w:rsidRPr="00AE58C8">
                      <w:rPr>
                        <w:color w:val="0067A0" w:themeColor="accent1"/>
                      </w:rPr>
                      <w:t>Fax</w:t>
                    </w:r>
                    <w:r w:rsidRPr="00AE58C8">
                      <w:t xml:space="preserve"> 02 9321 6799</w:t>
                    </w:r>
                  </w:p>
                  <w:p w14:paraId="331B1C88" w14:textId="77777777" w:rsidR="0042789D" w:rsidRPr="00AE58C8" w:rsidRDefault="0042789D" w:rsidP="00833E8C">
                    <w:pPr>
                      <w:pStyle w:val="Contactdetails"/>
                    </w:pPr>
                    <w:r w:rsidRPr="00AE58C8">
                      <w:t xml:space="preserve">Level 3, 111 Elizabeth Street, </w:t>
                    </w:r>
                    <w:r w:rsidRPr="00AE58C8">
                      <w:br/>
                      <w:t>Sydney NSW 2000</w:t>
                    </w:r>
                  </w:p>
                  <w:p w14:paraId="322250D8" w14:textId="77777777" w:rsidR="0042789D" w:rsidRPr="00AE58C8" w:rsidRDefault="0042789D" w:rsidP="00833E8C">
                    <w:pPr>
                      <w:pStyle w:val="Contactdetails"/>
                    </w:pPr>
                    <w:r w:rsidRPr="00AE58C8">
                      <w:rPr>
                        <w:color w:val="0067A0" w:themeColor="accent1"/>
                      </w:rPr>
                      <w:t xml:space="preserve">Postal address </w:t>
                    </w:r>
                    <w:r w:rsidRPr="00AE58C8">
                      <w:br/>
                      <w:t xml:space="preserve">GPO Box 3880, </w:t>
                    </w:r>
                    <w:r w:rsidRPr="00AE58C8">
                      <w:br/>
                      <w:t>Sydney NSW 2001</w:t>
                    </w:r>
                  </w:p>
                  <w:p w14:paraId="6984343A" w14:textId="77777777" w:rsidR="0042789D" w:rsidRPr="00AE58C8" w:rsidRDefault="0042789D" w:rsidP="00833E8C">
                    <w:pPr>
                      <w:pStyle w:val="Contactdetails"/>
                      <w:rPr>
                        <w:color w:val="0067A0" w:themeColor="accent1"/>
                      </w:rPr>
                    </w:pPr>
                    <w:r w:rsidRPr="00AE58C8">
                      <w:rPr>
                        <w:color w:val="0067A0" w:themeColor="accent1"/>
                      </w:rPr>
                      <w:t>www.lecc.nsw.gov.au</w:t>
                    </w:r>
                  </w:p>
                </w:txbxContent>
              </v:textbox>
              <w10:anchorlock/>
            </v:shape>
          </w:pict>
        </mc:Fallback>
      </mc:AlternateContent>
    </w: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B0131E" w14:textId="72931B30" w:rsidR="0042789D" w:rsidRDefault="0042789D">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B127ED7" w14:textId="5F6655E6" w:rsidR="0042789D" w:rsidRDefault="0042789D" w:rsidP="00201F7C">
    <w:pPr>
      <w:pStyle w:val="Header"/>
      <w:tabs>
        <w:tab w:val="clear" w:pos="4513"/>
        <w:tab w:val="clear" w:pos="9026"/>
        <w:tab w:val="left" w:pos="5280"/>
      </w:tabs>
    </w:pPr>
    <w:r>
      <w:tab/>
    </w:r>
    <w:r>
      <w:rPr>
        <w:noProof/>
        <w:lang w:eastAsia="en-AU"/>
      </w:rPr>
      <mc:AlternateContent>
        <mc:Choice Requires="wps">
          <w:drawing>
            <wp:anchor distT="0" distB="0" distL="114300" distR="114300" simplePos="0" relativeHeight="251696128" behindDoc="1" locked="1" layoutInCell="1" allowOverlap="1" wp14:anchorId="73FA3ED4" wp14:editId="08900097">
              <wp:simplePos x="0" y="0"/>
              <wp:positionH relativeFrom="page">
                <wp:posOffset>-53975</wp:posOffset>
              </wp:positionH>
              <wp:positionV relativeFrom="page">
                <wp:posOffset>-53975</wp:posOffset>
              </wp:positionV>
              <wp:extent cx="7786800" cy="11012400"/>
              <wp:effectExtent l="0" t="0" r="0" b="0"/>
              <wp:wrapNone/>
              <wp:docPr id="36" name="Rectangle 3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86800" cy="11012400"/>
                      </a:xfrm>
                      <a:prstGeom prst="rect">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FB91842" id="Rectangle 36" o:spid="_x0000_s1026" style="position:absolute;margin-left:-4.25pt;margin-top:-4.25pt;width:613.15pt;height:867.1pt;z-index:-2516203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" fillcolor="#0067a0 [3204]" stroked="f" strokeweight="1pt">
              <o:lock v:ext="edit" aspectratio="t"/>
              <w10:wrap anchorx="page" anchory="page"/>
              <w10:anchorlock/>
            </v:rect>
          </w:pict>
        </mc:Fallback>
      </mc:AlternateContent>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765101" w14:textId="250D2827" w:rsidR="0042789D" w:rsidRDefault="0042789D" w:rsidP="00344C05">
    <w:pPr>
      <w:pStyle w:val="Header"/>
      <w:tabs>
        <w:tab w:val="clear" w:pos="4513"/>
        <w:tab w:val="clear" w:pos="9026"/>
        <w:tab w:val="left" w:pos="5280"/>
      </w:tabs>
    </w:pPr>
    <w:r>
      <w:rPr>
        <w:noProof/>
        <w:lang w:eastAsia="en-AU"/>
      </w:rPr>
      <mc:AlternateContent>
        <mc:Choice Requires="wps">
          <w:drawing>
            <wp:anchor distT="0" distB="0" distL="114300" distR="114300" simplePos="0" relativeHeight="251698176" behindDoc="1" locked="1" layoutInCell="1" allowOverlap="1" wp14:anchorId="04CA210F" wp14:editId="203EC87D">
              <wp:simplePos x="0" y="0"/>
              <wp:positionH relativeFrom="page">
                <wp:posOffset>-53975</wp:posOffset>
              </wp:positionH>
              <wp:positionV relativeFrom="page">
                <wp:posOffset>-53975</wp:posOffset>
              </wp:positionV>
              <wp:extent cx="7786800" cy="11012400"/>
              <wp:effectExtent l="0" t="0" r="0" b="0"/>
              <wp:wrapNone/>
              <wp:docPr id="41" name="Rectangle 4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86800" cy="11012400"/>
                      </a:xfrm>
                      <a:prstGeom prst="rect">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E68BBFA" id="Rectangle 41" o:spid="_x0000_s1026" style="position:absolute;margin-left:-4.25pt;margin-top:-4.25pt;width:613.15pt;height:867.1pt;z-index:-2516183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" fillcolor="#0067a0 [3204]" stroked="f" strokeweight="1pt">
              <o:lock v:ext="edit" aspectratio="t"/>
              <w10:wrap anchorx="page" anchory="page"/>
              <w10:anchorlock/>
            </v:rect>
          </w:pict>
        </mc:Fallback>
      </mc:AlternateContent>
    </w:r>
    <w:r w:rsidR="002E5535">
      <w:rPr>
        <w:noProof/>
      </w:rPr>
      <w:pict w14:anchorId="785F3FF4">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50" type="#_x0000_t136" alt="" style="position:absolute;margin-left:0;margin-top:0;width:728.55pt;height:46.1pt;rotation:315;z-index:-251658170;mso-wrap-edited:f;mso-width-percent:0;mso-height-percent:0;mso-position-horizontal:center;mso-position-horizontal-relative:margin;mso-position-vertical:center;mso-position-vertical-relative:margin;mso-width-percent:0;mso-height-percent:0" o:allowincell="f" fillcolor="#a5a5a5 [2092]" stroked="f">
          <v:fill opacity=".5"/>
          <v:textpath style="font-family:&quot;Gotham Book&quot;;font-size:1pt" string="CONFIDENTIAL"/>
          <w10:wrap anchorx="margin" anchory="margin"/>
        </v:shape>
      </w:pict>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20B0CB" w14:textId="250B3285" w:rsidR="0042789D" w:rsidRDefault="0042789D">
    <w:pPr>
      <w:pStyle w:val="Header"/>
    </w:pPr>
  </w:p>
</w:hdr>
</file>

<file path=word/header2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FC43DA0" w14:textId="399DD0AA" w:rsidR="0042789D" w:rsidRDefault="0042789D">
    <w:pPr>
      <w:pStyle w:val="Header"/>
    </w:pPr>
  </w:p>
</w:hdr>
</file>

<file path=word/header2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5523AE" w14:textId="7D92AA7E" w:rsidR="0042789D" w:rsidRDefault="0042789D">
    <w:pPr>
      <w:pStyle w:val="Header"/>
    </w:pPr>
    <w:r>
      <w:rPr>
        <w:noProof/>
        <w:lang w:eastAsia="en-AU"/>
      </w:rPr>
      <mc:AlternateContent>
        <mc:Choice Requires="wps">
          <w:drawing>
            <wp:anchor distT="0" distB="0" distL="114300" distR="114300" simplePos="0" relativeHeight="251700224" behindDoc="1" locked="1" layoutInCell="1" allowOverlap="1" wp14:anchorId="7EA39F67" wp14:editId="072462A7">
              <wp:simplePos x="0" y="0"/>
              <wp:positionH relativeFrom="page">
                <wp:posOffset>-53975</wp:posOffset>
              </wp:positionH>
              <wp:positionV relativeFrom="page">
                <wp:posOffset>-53975</wp:posOffset>
              </wp:positionV>
              <wp:extent cx="7786800" cy="11012400"/>
              <wp:effectExtent l="0" t="0" r="0" b="0"/>
              <wp:wrapNone/>
              <wp:docPr id="42" name="Rectangle 4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86800" cy="11012400"/>
                      </a:xfrm>
                      <a:prstGeom prst="rect">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2A7C3FA" id="Rectangle 42" o:spid="_x0000_s1026" style="position:absolute;margin-left:-4.25pt;margin-top:-4.25pt;width:613.15pt;height:867.1pt;z-index:-2516162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" fillcolor="#0067a0 [3204]" stroked="f" strokeweight="1pt">
              <o:lock v:ext="edit" aspectratio="t"/>
              <w10:wrap anchorx="page" anchory="page"/>
              <w10:anchorlock/>
            </v:rect>
          </w:pict>
        </mc:Fallback>
      </mc:AlternateContent>
    </w:r>
  </w:p>
</w:hdr>
</file>

<file path=word/header2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AD1E3E" w14:textId="15845128" w:rsidR="0042789D" w:rsidRDefault="0042789D">
    <w:pPr>
      <w:pStyle w:val="Header"/>
    </w:pPr>
  </w:p>
</w:hdr>
</file>

<file path=word/header2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D8091F" w14:textId="102A2BE6" w:rsidR="0042789D" w:rsidRPr="00391211" w:rsidRDefault="0042789D" w:rsidP="00391211">
    <w:pPr>
      <w:pStyle w:val="Header"/>
    </w:pPr>
  </w:p>
</w:hdr>
</file>

<file path=word/header2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072E59" w14:textId="304B2CFC" w:rsidR="0042789D" w:rsidRDefault="0042789D">
    <w:pPr>
      <w:pStyle w:val="Header"/>
    </w:pPr>
    <w:r>
      <w:rPr>
        <w:noProof/>
        <w:lang w:eastAsia="en-AU"/>
      </w:rPr>
      <mc:AlternateContent>
        <mc:Choice Requires="wps">
          <w:drawing>
            <wp:anchor distT="0" distB="0" distL="114300" distR="114300" simplePos="0" relativeHeight="251702272" behindDoc="1" locked="1" layoutInCell="1" allowOverlap="1" wp14:anchorId="4F099544" wp14:editId="2958529F">
              <wp:simplePos x="0" y="0"/>
              <wp:positionH relativeFrom="page">
                <wp:posOffset>-53975</wp:posOffset>
              </wp:positionH>
              <wp:positionV relativeFrom="page">
                <wp:posOffset>-53975</wp:posOffset>
              </wp:positionV>
              <wp:extent cx="7786800" cy="11012400"/>
              <wp:effectExtent l="0" t="0" r="0" b="0"/>
              <wp:wrapNone/>
              <wp:docPr id="44" name="Rectangle 4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86800" cy="11012400"/>
                      </a:xfrm>
                      <a:prstGeom prst="rect">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8301116" id="Rectangle 44" o:spid="_x0000_s1026" style="position:absolute;margin-left:-4.25pt;margin-top:-4.25pt;width:613.15pt;height:867.1pt;z-index:-2516142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" fillcolor="#0067a0 [3204]" stroked="f" strokeweight="1pt">
              <o:lock v:ext="edit" aspectratio="t"/>
              <w10:wrap anchorx="page" anchory="page"/>
              <w10:anchorlock/>
            </v:rect>
          </w:pict>
        </mc:Fallback>
      </mc:AlternateContent>
    </w:r>
  </w:p>
</w:hdr>
</file>

<file path=word/header2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BA77C64" w14:textId="639884A3" w:rsidR="0042789D" w:rsidRDefault="0042789D">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6EADD5" w14:textId="0FBB8BFF" w:rsidR="0042789D" w:rsidRDefault="0042789D">
    <w:pPr>
      <w:pStyle w:val="Header"/>
    </w:pPr>
  </w:p>
</w:hdr>
</file>

<file path=word/header3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AF3763" w14:textId="6D254983" w:rsidR="0042789D" w:rsidRPr="00391211" w:rsidRDefault="0042789D" w:rsidP="00391211">
    <w:pPr>
      <w:pStyle w:val="Header"/>
    </w:pPr>
  </w:p>
</w:hdr>
</file>

<file path=word/header3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D4236B6" w14:textId="50FB248C" w:rsidR="0042789D" w:rsidRDefault="0042789D">
    <w:pPr>
      <w:pStyle w:val="Header"/>
    </w:pPr>
    <w:r>
      <w:rPr>
        <w:noProof/>
        <w:lang w:eastAsia="en-AU"/>
      </w:rPr>
      <mc:AlternateContent>
        <mc:Choice Requires="wps">
          <w:drawing>
            <wp:anchor distT="0" distB="0" distL="114300" distR="114300" simplePos="0" relativeHeight="251704320" behindDoc="1" locked="1" layoutInCell="1" allowOverlap="1" wp14:anchorId="4DB5E7A6" wp14:editId="3B279DF3">
              <wp:simplePos x="0" y="0"/>
              <wp:positionH relativeFrom="page">
                <wp:posOffset>-53975</wp:posOffset>
              </wp:positionH>
              <wp:positionV relativeFrom="page">
                <wp:posOffset>-53975</wp:posOffset>
              </wp:positionV>
              <wp:extent cx="7786800" cy="11012400"/>
              <wp:effectExtent l="0" t="0" r="0" b="0"/>
              <wp:wrapNone/>
              <wp:docPr id="45" name="Rectangle 4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86800" cy="11012400"/>
                      </a:xfrm>
                      <a:prstGeom prst="rect">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2810BB11" id="Rectangle 45" o:spid="_x0000_s1026" style="position:absolute;margin-left:-4.25pt;margin-top:-4.25pt;width:613.15pt;height:867.1pt;z-index:-2516121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" fillcolor="#0067a0 [3204]" stroked="f" strokeweight="1pt">
              <o:lock v:ext="edit" aspectratio="t"/>
              <w10:wrap anchorx="page" anchory="page"/>
              <w10:anchorlock/>
            </v:rect>
          </w:pict>
        </mc:Fallback>
      </mc:AlternateContent>
    </w:r>
  </w:p>
</w:hdr>
</file>

<file path=word/header3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2FC437" w14:textId="7D3115D6" w:rsidR="0042789D" w:rsidRDefault="0042789D">
    <w:pPr>
      <w:pStyle w:val="Header"/>
    </w:pPr>
  </w:p>
</w:hdr>
</file>

<file path=word/header3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6D57C0" w14:textId="5F1FA9E0" w:rsidR="0042789D" w:rsidRPr="00391211" w:rsidRDefault="0042789D" w:rsidP="00391211">
    <w:pPr>
      <w:pStyle w:val="Header"/>
    </w:pPr>
  </w:p>
</w:hdr>
</file>

<file path=word/header3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D470346" w14:textId="0B3BE409" w:rsidR="0042789D" w:rsidRDefault="0042789D">
    <w:pPr>
      <w:pStyle w:val="Header"/>
    </w:pPr>
    <w:r>
      <w:rPr>
        <w:noProof/>
        <w:lang w:eastAsia="en-AU"/>
      </w:rPr>
      <mc:AlternateContent>
        <mc:Choice Requires="wps">
          <w:drawing>
            <wp:anchor distT="0" distB="0" distL="114300" distR="114300" simplePos="0" relativeHeight="251706368" behindDoc="1" locked="1" layoutInCell="1" allowOverlap="1" wp14:anchorId="13A7E4CB" wp14:editId="61EC5BEF">
              <wp:simplePos x="0" y="0"/>
              <wp:positionH relativeFrom="page">
                <wp:posOffset>-53975</wp:posOffset>
              </wp:positionH>
              <wp:positionV relativeFrom="page">
                <wp:posOffset>-53975</wp:posOffset>
              </wp:positionV>
              <wp:extent cx="7786800" cy="11012400"/>
              <wp:effectExtent l="0" t="0" r="0" b="0"/>
              <wp:wrapNone/>
              <wp:docPr id="46" name="Rectangle 4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86800" cy="11012400"/>
                      </a:xfrm>
                      <a:prstGeom prst="rect">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534A755E" id="Rectangle 46" o:spid="_x0000_s1026" style="position:absolute;margin-left:-4.25pt;margin-top:-4.25pt;width:613.15pt;height:867.1pt;z-index:-2516101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" fillcolor="#0067a0 [3204]" stroked="f" strokeweight="1pt">
              <o:lock v:ext="edit" aspectratio="t"/>
              <w10:wrap anchorx="page" anchory="page"/>
              <w10:anchorlock/>
            </v:rect>
          </w:pict>
        </mc:Fallback>
      </mc:AlternateContent>
    </w:r>
  </w:p>
</w:hdr>
</file>

<file path=word/header3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06A62" w14:textId="0A2069DB" w:rsidR="0042789D" w:rsidRDefault="0042789D">
    <w:pPr>
      <w:pStyle w:val="Header"/>
    </w:pPr>
  </w:p>
</w:hdr>
</file>

<file path=word/header3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ED10C6" w14:textId="1889B593" w:rsidR="0042789D" w:rsidRPr="00391211" w:rsidRDefault="0042789D" w:rsidP="00391211">
    <w:pPr>
      <w:pStyle w:val="Header"/>
    </w:pPr>
  </w:p>
</w:hdr>
</file>

<file path=word/header3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025A5" w14:textId="573FBDC7" w:rsidR="0042789D" w:rsidRDefault="0042789D">
    <w:pPr>
      <w:pStyle w:val="Header"/>
    </w:pPr>
    <w:r>
      <w:rPr>
        <w:noProof/>
        <w:lang w:eastAsia="en-AU"/>
      </w:rPr>
      <mc:AlternateContent>
        <mc:Choice Requires="wps">
          <w:drawing>
            <wp:anchor distT="0" distB="0" distL="114300" distR="114300" simplePos="0" relativeHeight="251708416" behindDoc="1" locked="1" layoutInCell="1" allowOverlap="1" wp14:anchorId="43605B5A" wp14:editId="4A83D37E">
              <wp:simplePos x="0" y="0"/>
              <wp:positionH relativeFrom="page">
                <wp:posOffset>-53975</wp:posOffset>
              </wp:positionH>
              <wp:positionV relativeFrom="page">
                <wp:posOffset>-53975</wp:posOffset>
              </wp:positionV>
              <wp:extent cx="7786800" cy="11012400"/>
              <wp:effectExtent l="0" t="0" r="0" b="0"/>
              <wp:wrapNone/>
              <wp:docPr id="47" name="Rectangle 4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86800" cy="11012400"/>
                      </a:xfrm>
                      <a:prstGeom prst="rect">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72172756" id="Rectangle 47" o:spid="_x0000_s1026" style="position:absolute;margin-left:-4.25pt;margin-top:-4.25pt;width:613.15pt;height:867.1pt;z-index:-2516080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" fillcolor="#0067a0 [3204]" stroked="f" strokeweight="1pt">
              <o:lock v:ext="edit" aspectratio="t"/>
              <w10:wrap anchorx="page" anchory="page"/>
              <w10:anchorlock/>
            </v:rect>
          </w:pict>
        </mc:Fallback>
      </mc:AlternateContent>
    </w:r>
  </w:p>
</w:hdr>
</file>

<file path=word/header3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20FF5C" w14:textId="1C86661B" w:rsidR="0042789D" w:rsidRDefault="0042789D">
    <w:pPr>
      <w:pStyle w:val="Header"/>
    </w:pPr>
  </w:p>
</w:hdr>
</file>

<file path=word/header3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0A3DD4" w14:textId="6B07D513" w:rsidR="0042789D" w:rsidRPr="00391211" w:rsidRDefault="0042789D" w:rsidP="00391211">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D32339" w14:textId="2C0DF3B0" w:rsidR="0042789D" w:rsidRDefault="0042789D">
    <w:pPr>
      <w:pStyle w:val="Header"/>
    </w:pPr>
  </w:p>
</w:hdr>
</file>

<file path=word/header4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CF27ED3" w14:textId="20AEC9CA" w:rsidR="0042789D" w:rsidRDefault="0042789D">
    <w:pPr>
      <w:pStyle w:val="Header"/>
    </w:pPr>
    <w:r>
      <w:rPr>
        <w:noProof/>
        <w:lang w:eastAsia="en-AU"/>
      </w:rPr>
      <mc:AlternateContent>
        <mc:Choice Requires="wps">
          <w:drawing>
            <wp:anchor distT="0" distB="0" distL="114300" distR="114300" simplePos="0" relativeHeight="251710464" behindDoc="1" locked="1" layoutInCell="1" allowOverlap="1" wp14:anchorId="6C801BD4" wp14:editId="05E7BF07">
              <wp:simplePos x="0" y="0"/>
              <wp:positionH relativeFrom="page">
                <wp:posOffset>-53975</wp:posOffset>
              </wp:positionH>
              <wp:positionV relativeFrom="page">
                <wp:posOffset>-53975</wp:posOffset>
              </wp:positionV>
              <wp:extent cx="7786800" cy="11012400"/>
              <wp:effectExtent l="0" t="0" r="0" b="0"/>
              <wp:wrapNone/>
              <wp:docPr id="48" name="Rectangle 4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86800" cy="11012400"/>
                      </a:xfrm>
                      <a:prstGeom prst="rect">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42D3725E" id="Rectangle 48" o:spid="_x0000_s1026" style="position:absolute;margin-left:-4.25pt;margin-top:-4.25pt;width:613.15pt;height:867.1pt;z-index:-2516060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" fillcolor="#0067a0 [3204]" stroked="f" strokeweight="1pt">
              <o:lock v:ext="edit" aspectratio="t"/>
              <w10:wrap anchorx="page" anchory="page"/>
              <w10:anchorlock/>
            </v:rect>
          </w:pict>
        </mc:Fallback>
      </mc:AlternateContent>
    </w:r>
  </w:p>
</w:hdr>
</file>

<file path=word/header4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6C3A3D" w14:textId="0495A4F9" w:rsidR="0042789D" w:rsidRDefault="0042789D">
    <w:pPr>
      <w:pStyle w:val="Header"/>
    </w:pPr>
  </w:p>
</w:hdr>
</file>

<file path=word/header4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07D279" w14:textId="7BE69ADA" w:rsidR="0042789D" w:rsidRPr="00391211" w:rsidRDefault="0042789D" w:rsidP="00391211">
    <w:pPr>
      <w:pStyle w:val="Header"/>
    </w:pPr>
  </w:p>
</w:hdr>
</file>

<file path=word/header4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0EE586C" w14:textId="26862DBE" w:rsidR="0042789D" w:rsidRDefault="0042789D">
    <w:pPr>
      <w:pStyle w:val="Header"/>
    </w:pPr>
  </w:p>
</w:hdr>
</file>

<file path=word/header4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7A1901" w14:textId="2F186C57" w:rsidR="0042789D" w:rsidRDefault="0042789D">
    <w:pPr>
      <w:pStyle w:val="Header"/>
    </w:pPr>
  </w:p>
</w:hdr>
</file>

<file path=word/header4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978DE5E" w14:textId="5701030C" w:rsidR="0042789D" w:rsidRPr="00391211" w:rsidRDefault="0042789D" w:rsidP="00391211">
    <w:pPr>
      <w:pStyle w:val="Header"/>
    </w:pPr>
    <w:r>
      <w:rPr>
        <w:noProof/>
        <w:lang w:eastAsia="en-AU"/>
      </w:rPr>
      <mc:AlternateContent>
        <mc:Choice Requires="wps">
          <w:drawing>
            <wp:anchor distT="0" distB="0" distL="114300" distR="114300" simplePos="0" relativeHeight="251658305" behindDoc="1" locked="1" layoutInCell="1" allowOverlap="1" wp14:anchorId="7A279CFC" wp14:editId="0854C0FC">
              <wp:simplePos x="0" y="0"/>
              <wp:positionH relativeFrom="page">
                <wp:posOffset>-28575</wp:posOffset>
              </wp:positionH>
              <wp:positionV relativeFrom="page">
                <wp:posOffset>-57150</wp:posOffset>
              </wp:positionV>
              <wp:extent cx="7610475" cy="10739120"/>
              <wp:effectExtent l="0" t="0" r="9525" b="5080"/>
              <wp:wrapNone/>
              <wp:docPr id="8" name="Rectangle 8"/>
              <wp:cNvGraphicFramePr/>
              <a:graphic xmlns:a="http://schemas.openxmlformats.org/drawingml/2006/main">
                <a:graphicData uri="http://schemas.microsoft.com/office/word/2010/wordprocessingShape">
                  <wps:wsp>
                    <wps:cNvSpPr/>
                    <wps:spPr>
                      <a:xfrm>
                        <a:off x="0" y="0"/>
                        <a:ext cx="7610475" cy="1073912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3D4B7DB8" id="Rectangle 8" o:spid="_x0000_s1026" style="position:absolute;margin-left:-2.25pt;margin-top:-4.5pt;width:599.25pt;height:845.6pt;z-index:-251658175;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" fillcolor="#b9e6ff [660]" stroked="f" strokeweight="1pt">
              <w10:wrap anchorx="page" anchory="page"/>
              <w10:anchorlock/>
            </v:rect>
          </w:pict>
        </mc:Fallback>
      </mc:AlternateContent>
    </w:r>
  </w:p>
</w:hdr>
</file>

<file path=word/header4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3CDCE" w14:textId="58CF9873" w:rsidR="0042789D" w:rsidRDefault="0042789D">
    <w:pPr>
      <w:pStyle w:val="Header"/>
    </w:pPr>
  </w:p>
</w:hdr>
</file>

<file path=word/header4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30171BD" w14:textId="77777777" w:rsidR="0042789D" w:rsidRPr="00391211" w:rsidRDefault="0042789D" w:rsidP="00391211">
    <w:pPr>
      <w:pStyle w:val="Header"/>
    </w:pPr>
    <w:r>
      <w:rPr>
        <w:noProof/>
        <w:lang w:eastAsia="en-AU"/>
      </w:rPr>
      <mc:AlternateContent>
        <mc:Choice Requires="wps">
          <w:drawing>
            <wp:anchor distT="0" distB="0" distL="114300" distR="114300" simplePos="0" relativeHeight="251658307" behindDoc="1" locked="1" layoutInCell="1" allowOverlap="1" wp14:anchorId="5975250B" wp14:editId="15879B3A">
              <wp:simplePos x="0" y="0"/>
              <wp:positionH relativeFrom="page">
                <wp:posOffset>-53975</wp:posOffset>
              </wp:positionH>
              <wp:positionV relativeFrom="page">
                <wp:posOffset>-53975</wp:posOffset>
              </wp:positionV>
              <wp:extent cx="7840800" cy="11062800"/>
              <wp:effectExtent l="0" t="0" r="0" b="0"/>
              <wp:wrapNone/>
              <wp:docPr id="35" name="Rectangle 3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840800" cy="11062800"/>
                      </a:xfrm>
                      <a:prstGeom prst="rect">
                        <a:avLst/>
                      </a:prstGeom>
                      <a:solidFill>
                        <a:schemeClr val="accent1">
                          <a:lumMod val="20000"/>
                          <a:lumOff val="8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18EB97D6" id="Rectangle 35" o:spid="_x0000_s1026" style="position:absolute;margin-left:-4.25pt;margin-top:-4.25pt;width:617.4pt;height:871.1pt;z-index:-251658173;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" fillcolor="#b9e6ff [660]" stroked="f" strokeweight="1pt">
              <o:lock v:ext="edit" aspectratio="t"/>
              <w10:wrap anchorx="page" anchory="page"/>
              <w10:anchorlock/>
            </v:rect>
          </w:pict>
        </mc:Fallback>
      </mc:AlternateContent>
    </w:r>
    <w:r w:rsidR="002E5535">
      <w:rPr>
        <w:noProof/>
      </w:rPr>
      <w:pict w14:anchorId="64696DE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2049" type="#_x0000_t136" alt="" style="position:absolute;margin-left:0;margin-top:0;width:691.65pt;height:46.1pt;rotation:315;z-index:-251658174;mso-wrap-edited:f;mso-width-percent:0;mso-height-percent:0;mso-position-horizontal:center;mso-position-horizontal-relative:margin;mso-position-vertical:center;mso-position-vertical-relative:margin;mso-width-percent:0;mso-height-percent:0" o:allowincell="f" fillcolor="#a5a5a5 [2092]" stroked="f">
          <v:fill opacity=".5"/>
          <v:textpath style="font-family:&quot;Gotham Book&quot;;font-size:1pt" string="CONFIDENTIAL DRAFT"/>
          <w10:wrap anchorx="margin" anchory="margin"/>
        </v:shape>
      </w:pic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B7819" w14:textId="77777777" w:rsidR="0042789D" w:rsidRDefault="0042789D">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53ABEE4" w14:textId="77777777" w:rsidR="0042789D" w:rsidRDefault="0042789D">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016BCFF" w14:textId="0B8E5FB3" w:rsidR="0042789D" w:rsidRDefault="0042789D">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85B9E5" w14:textId="6FFA13D7" w:rsidR="0042789D" w:rsidRDefault="0042789D">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742F21" w14:textId="1075A02C" w:rsidR="0042789D" w:rsidRDefault="0042789D">
    <w:pPr>
      <w:pStyle w:val="Header"/>
    </w:pPr>
    <w:r>
      <w:rPr>
        <w:noProof/>
        <w:lang w:eastAsia="en-AU"/>
      </w:rPr>
      <mc:AlternateContent>
        <mc:Choice Requires="wps">
          <w:drawing>
            <wp:anchor distT="0" distB="0" distL="114300" distR="114300" simplePos="0" relativeHeight="251644928" behindDoc="1" locked="1" layoutInCell="1" allowOverlap="1" wp14:anchorId="785F0356" wp14:editId="27EE7CC8">
              <wp:simplePos x="0" y="0"/>
              <wp:positionH relativeFrom="page">
                <wp:posOffset>-53975</wp:posOffset>
              </wp:positionH>
              <wp:positionV relativeFrom="page">
                <wp:posOffset>-53975</wp:posOffset>
              </wp:positionV>
              <wp:extent cx="7786800" cy="11012400"/>
              <wp:effectExtent l="0" t="0" r="0" b="0"/>
              <wp:wrapNone/>
              <wp:docPr id="15" name="Rectangle 1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wps:cNvSpPr>
                    <wps:spPr>
                      <a:xfrm>
                        <a:off x="0" y="0"/>
                        <a:ext cx="7786800" cy="11012400"/>
                      </a:xfrm>
                      <a:prstGeom prst="rect">
                        <a:avLst/>
                      </a:prstGeom>
                      <a:solidFill>
                        <a:schemeClr val="accent1"/>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xmlns:w16se="http://schemas.microsoft.com/office/word/2015/wordml/symex">
          <w:pict>
            <v:rect w14:anchorId="08EBE07E" id="Rectangle 15" o:spid="_x0000_s1026" style="position:absolute;margin-left:-4.25pt;margin-top:-4.25pt;width:613.15pt;height:867.1pt;z-index:-2516715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" fillcolor="#0067a0 [3204]" stroked="f" strokeweight="1pt">
              <o:lock v:ext="edit" aspectratio="t"/>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D3EECB90"/>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B9DCA646"/>
    <w:lvl w:ilvl="0">
      <w:start w:val="1"/>
      <w:numFmt w:val="decimal"/>
      <w:lvlText w:val="%1."/>
      <w:lvlJc w:val="left"/>
      <w:pPr>
        <w:tabs>
          <w:tab w:val="num" w:pos="1209"/>
        </w:tabs>
        <w:ind w:left="1209" w:hanging="360"/>
      </w:pPr>
    </w:lvl>
  </w:abstractNum>
  <w:abstractNum w:abstractNumId="2" w15:restartNumberingAfterBreak="0">
    <w:nsid w:val="FFFFFF81"/>
    <w:multiLevelType w:val="singleLevel"/>
    <w:tmpl w:val="44A6EFA2"/>
    <w:lvl w:ilvl="0">
      <w:start w:val="1"/>
      <w:numFmt w:val="bullet"/>
      <w:lvlText w:val=""/>
      <w:lvlJc w:val="left"/>
      <w:pPr>
        <w:tabs>
          <w:tab w:val="num" w:pos="1209"/>
        </w:tabs>
        <w:ind w:left="1209" w:hanging="360"/>
      </w:pPr>
      <w:rPr>
        <w:rFonts w:ascii="Symbol" w:hAnsi="Symbol" w:hint="default"/>
      </w:rPr>
    </w:lvl>
  </w:abstractNum>
  <w:abstractNum w:abstractNumId="3" w15:restartNumberingAfterBreak="0">
    <w:nsid w:val="FFFFFF82"/>
    <w:multiLevelType w:val="singleLevel"/>
    <w:tmpl w:val="A63A72E0"/>
    <w:lvl w:ilvl="0">
      <w:start w:val="1"/>
      <w:numFmt w:val="bullet"/>
      <w:lvlText w:val=""/>
      <w:lvlJc w:val="left"/>
      <w:pPr>
        <w:tabs>
          <w:tab w:val="num" w:pos="926"/>
        </w:tabs>
        <w:ind w:left="926" w:hanging="360"/>
      </w:pPr>
      <w:rPr>
        <w:rFonts w:ascii="Symbol" w:hAnsi="Symbol" w:hint="default"/>
      </w:rPr>
    </w:lvl>
  </w:abstractNum>
  <w:abstractNum w:abstractNumId="4" w15:restartNumberingAfterBreak="0">
    <w:nsid w:val="01A4309B"/>
    <w:multiLevelType w:val="multilevel"/>
    <w:tmpl w:val="C1A695CC"/>
    <w:name w:val="Recommendation List2"/>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06563402"/>
    <w:multiLevelType w:val="hybridMultilevel"/>
    <w:tmpl w:val="4CBC4EF4"/>
    <w:lvl w:ilvl="0" w:tplc="10DC440C">
      <w:start w:val="1"/>
      <w:numFmt w:val="lowerLetter"/>
      <w:lvlText w:val="(%1)"/>
      <w:lvlJc w:val="left"/>
      <w:pPr>
        <w:ind w:left="873" w:hanging="360"/>
      </w:pPr>
      <w:rPr>
        <w:rFonts w:hint="default"/>
      </w:rPr>
    </w:lvl>
    <w:lvl w:ilvl="1" w:tplc="0C090019">
      <w:start w:val="1"/>
      <w:numFmt w:val="lowerLetter"/>
      <w:lvlText w:val="%2."/>
      <w:lvlJc w:val="left"/>
      <w:pPr>
        <w:ind w:left="1593" w:hanging="360"/>
      </w:pPr>
    </w:lvl>
    <w:lvl w:ilvl="2" w:tplc="0C09001B" w:tentative="1">
      <w:start w:val="1"/>
      <w:numFmt w:val="lowerRoman"/>
      <w:lvlText w:val="%3."/>
      <w:lvlJc w:val="right"/>
      <w:pPr>
        <w:ind w:left="2313" w:hanging="180"/>
      </w:pPr>
    </w:lvl>
    <w:lvl w:ilvl="3" w:tplc="0C09000F" w:tentative="1">
      <w:start w:val="1"/>
      <w:numFmt w:val="decimal"/>
      <w:lvlText w:val="%4."/>
      <w:lvlJc w:val="left"/>
      <w:pPr>
        <w:ind w:left="3033" w:hanging="360"/>
      </w:pPr>
    </w:lvl>
    <w:lvl w:ilvl="4" w:tplc="0C090019" w:tentative="1">
      <w:start w:val="1"/>
      <w:numFmt w:val="lowerLetter"/>
      <w:lvlText w:val="%5."/>
      <w:lvlJc w:val="left"/>
      <w:pPr>
        <w:ind w:left="3753" w:hanging="360"/>
      </w:pPr>
    </w:lvl>
    <w:lvl w:ilvl="5" w:tplc="0C09001B" w:tentative="1">
      <w:start w:val="1"/>
      <w:numFmt w:val="lowerRoman"/>
      <w:lvlText w:val="%6."/>
      <w:lvlJc w:val="right"/>
      <w:pPr>
        <w:ind w:left="4473" w:hanging="180"/>
      </w:pPr>
    </w:lvl>
    <w:lvl w:ilvl="6" w:tplc="0C09000F" w:tentative="1">
      <w:start w:val="1"/>
      <w:numFmt w:val="decimal"/>
      <w:lvlText w:val="%7."/>
      <w:lvlJc w:val="left"/>
      <w:pPr>
        <w:ind w:left="5193" w:hanging="360"/>
      </w:pPr>
    </w:lvl>
    <w:lvl w:ilvl="7" w:tplc="0C090019" w:tentative="1">
      <w:start w:val="1"/>
      <w:numFmt w:val="lowerLetter"/>
      <w:lvlText w:val="%8."/>
      <w:lvlJc w:val="left"/>
      <w:pPr>
        <w:ind w:left="5913" w:hanging="360"/>
      </w:pPr>
    </w:lvl>
    <w:lvl w:ilvl="8" w:tplc="0C09001B" w:tentative="1">
      <w:start w:val="1"/>
      <w:numFmt w:val="lowerRoman"/>
      <w:lvlText w:val="%9."/>
      <w:lvlJc w:val="right"/>
      <w:pPr>
        <w:ind w:left="6633" w:hanging="180"/>
      </w:pPr>
    </w:lvl>
  </w:abstractNum>
  <w:abstractNum w:abstractNumId="6" w15:restartNumberingAfterBreak="0">
    <w:nsid w:val="07242158"/>
    <w:multiLevelType w:val="multilevel"/>
    <w:tmpl w:val="A70AAAC6"/>
    <w:name w:val="Recommendation List"/>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092F7399"/>
    <w:multiLevelType w:val="hybridMultilevel"/>
    <w:tmpl w:val="BAF24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096F0D20"/>
    <w:multiLevelType w:val="multilevel"/>
    <w:tmpl w:val="A880ACA0"/>
    <w:lvl w:ilvl="0">
      <w:start w:val="1"/>
      <w:numFmt w:val="decimal"/>
      <w:pStyle w:val="Multilist"/>
      <w:isLgl/>
      <w:lvlText w:val="(%1)"/>
      <w:lvlJc w:val="left"/>
      <w:pPr>
        <w:tabs>
          <w:tab w:val="num" w:pos="567"/>
        </w:tabs>
        <w:ind w:left="567" w:hanging="210"/>
      </w:pPr>
      <w:rPr>
        <w:rFonts w:hint="default"/>
      </w:rPr>
    </w:lvl>
    <w:lvl w:ilvl="1">
      <w:start w:val="1"/>
      <w:numFmt w:val="lowerLetter"/>
      <w:lvlText w:val="(%2)"/>
      <w:lvlJc w:val="left"/>
      <w:pPr>
        <w:tabs>
          <w:tab w:val="num" w:pos="924"/>
        </w:tabs>
        <w:ind w:left="1491" w:hanging="567"/>
      </w:pPr>
      <w:rPr>
        <w:rFonts w:hint="default"/>
      </w:rPr>
    </w:lvl>
    <w:lvl w:ilvl="2">
      <w:start w:val="1"/>
      <w:numFmt w:val="lowerRoman"/>
      <w:lvlText w:val="(%3)"/>
      <w:lvlJc w:val="left"/>
      <w:pPr>
        <w:ind w:left="2058" w:hanging="567"/>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0ABE587E"/>
    <w:multiLevelType w:val="multilevel"/>
    <w:tmpl w:val="A70AAAC6"/>
    <w:name w:val="Recommendation List22"/>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0" w15:restartNumberingAfterBreak="0">
    <w:nsid w:val="0CBE021B"/>
    <w:multiLevelType w:val="multilevel"/>
    <w:tmpl w:val="488CA8A6"/>
    <w:name w:val="Recommendation"/>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1" w15:restartNumberingAfterBreak="0">
    <w:nsid w:val="0CE2595F"/>
    <w:multiLevelType w:val="hybridMultilevel"/>
    <w:tmpl w:val="ADFC4604"/>
    <w:lvl w:ilvl="0" w:tplc="0C090001">
      <w:start w:val="1"/>
      <w:numFmt w:val="bullet"/>
      <w:lvlText w:val=""/>
      <w:lvlJc w:val="left"/>
      <w:pPr>
        <w:ind w:left="795" w:hanging="360"/>
      </w:pPr>
      <w:rPr>
        <w:rFonts w:ascii="Symbol" w:hAnsi="Symbol" w:hint="default"/>
      </w:rPr>
    </w:lvl>
    <w:lvl w:ilvl="1" w:tplc="0C090003" w:tentative="1">
      <w:start w:val="1"/>
      <w:numFmt w:val="bullet"/>
      <w:lvlText w:val="o"/>
      <w:lvlJc w:val="left"/>
      <w:pPr>
        <w:ind w:left="1515" w:hanging="360"/>
      </w:pPr>
      <w:rPr>
        <w:rFonts w:ascii="Courier New" w:hAnsi="Courier New" w:cs="Courier New" w:hint="default"/>
      </w:rPr>
    </w:lvl>
    <w:lvl w:ilvl="2" w:tplc="0C090005" w:tentative="1">
      <w:start w:val="1"/>
      <w:numFmt w:val="bullet"/>
      <w:lvlText w:val=""/>
      <w:lvlJc w:val="left"/>
      <w:pPr>
        <w:ind w:left="2235" w:hanging="360"/>
      </w:pPr>
      <w:rPr>
        <w:rFonts w:ascii="Wingdings" w:hAnsi="Wingdings" w:hint="default"/>
      </w:rPr>
    </w:lvl>
    <w:lvl w:ilvl="3" w:tplc="0C090001" w:tentative="1">
      <w:start w:val="1"/>
      <w:numFmt w:val="bullet"/>
      <w:lvlText w:val=""/>
      <w:lvlJc w:val="left"/>
      <w:pPr>
        <w:ind w:left="2955" w:hanging="360"/>
      </w:pPr>
      <w:rPr>
        <w:rFonts w:ascii="Symbol" w:hAnsi="Symbol" w:hint="default"/>
      </w:rPr>
    </w:lvl>
    <w:lvl w:ilvl="4" w:tplc="0C090003" w:tentative="1">
      <w:start w:val="1"/>
      <w:numFmt w:val="bullet"/>
      <w:lvlText w:val="o"/>
      <w:lvlJc w:val="left"/>
      <w:pPr>
        <w:ind w:left="3675" w:hanging="360"/>
      </w:pPr>
      <w:rPr>
        <w:rFonts w:ascii="Courier New" w:hAnsi="Courier New" w:cs="Courier New" w:hint="default"/>
      </w:rPr>
    </w:lvl>
    <w:lvl w:ilvl="5" w:tplc="0C090005" w:tentative="1">
      <w:start w:val="1"/>
      <w:numFmt w:val="bullet"/>
      <w:lvlText w:val=""/>
      <w:lvlJc w:val="left"/>
      <w:pPr>
        <w:ind w:left="4395" w:hanging="360"/>
      </w:pPr>
      <w:rPr>
        <w:rFonts w:ascii="Wingdings" w:hAnsi="Wingdings" w:hint="default"/>
      </w:rPr>
    </w:lvl>
    <w:lvl w:ilvl="6" w:tplc="0C090001" w:tentative="1">
      <w:start w:val="1"/>
      <w:numFmt w:val="bullet"/>
      <w:lvlText w:val=""/>
      <w:lvlJc w:val="left"/>
      <w:pPr>
        <w:ind w:left="5115" w:hanging="360"/>
      </w:pPr>
      <w:rPr>
        <w:rFonts w:ascii="Symbol" w:hAnsi="Symbol" w:hint="default"/>
      </w:rPr>
    </w:lvl>
    <w:lvl w:ilvl="7" w:tplc="0C090003" w:tentative="1">
      <w:start w:val="1"/>
      <w:numFmt w:val="bullet"/>
      <w:lvlText w:val="o"/>
      <w:lvlJc w:val="left"/>
      <w:pPr>
        <w:ind w:left="5835" w:hanging="360"/>
      </w:pPr>
      <w:rPr>
        <w:rFonts w:ascii="Courier New" w:hAnsi="Courier New" w:cs="Courier New" w:hint="default"/>
      </w:rPr>
    </w:lvl>
    <w:lvl w:ilvl="8" w:tplc="0C090005" w:tentative="1">
      <w:start w:val="1"/>
      <w:numFmt w:val="bullet"/>
      <w:lvlText w:val=""/>
      <w:lvlJc w:val="left"/>
      <w:pPr>
        <w:ind w:left="6555" w:hanging="360"/>
      </w:pPr>
      <w:rPr>
        <w:rFonts w:ascii="Wingdings" w:hAnsi="Wingdings" w:hint="default"/>
      </w:rPr>
    </w:lvl>
  </w:abstractNum>
  <w:abstractNum w:abstractNumId="12" w15:restartNumberingAfterBreak="0">
    <w:nsid w:val="0CEB446B"/>
    <w:multiLevelType w:val="hybridMultilevel"/>
    <w:tmpl w:val="F5BE29C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106D52E4"/>
    <w:multiLevelType w:val="hybridMultilevel"/>
    <w:tmpl w:val="D3249438"/>
    <w:lvl w:ilvl="0" w:tplc="10DC440C">
      <w:start w:val="1"/>
      <w:numFmt w:val="lowerLetter"/>
      <w:lvlText w:val="(%1)"/>
      <w:lvlJc w:val="left"/>
      <w:pPr>
        <w:ind w:left="720" w:hanging="360"/>
      </w:pPr>
      <w:rPr>
        <w:rFonts w:hint="default"/>
      </w:rPr>
    </w:lvl>
    <w:lvl w:ilvl="1" w:tplc="2542D84C">
      <w:start w:val="1"/>
      <w:numFmt w:val="lowerRoman"/>
      <w:lvlText w:val="(%2)"/>
      <w:lvlJc w:val="left"/>
      <w:pPr>
        <w:ind w:left="1440" w:hanging="360"/>
      </w:pPr>
      <w:rPr>
        <w:rFonts w:hint="default"/>
      </w:rPr>
    </w:lvl>
    <w:lvl w:ilvl="2" w:tplc="BF1ACC26">
      <w:start w:val="2"/>
      <w:numFmt w:val="bullet"/>
      <w:lvlText w:val="-"/>
      <w:lvlJc w:val="left"/>
      <w:pPr>
        <w:ind w:left="2340" w:hanging="360"/>
      </w:pPr>
      <w:rPr>
        <w:rFonts w:ascii="Gotham Book" w:eastAsiaTheme="minorHAnsi" w:hAnsi="Gotham Book" w:cs="Arial" w:hint="default"/>
      </w:r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4" w15:restartNumberingAfterBreak="0">
    <w:nsid w:val="16822C8A"/>
    <w:multiLevelType w:val="multilevel"/>
    <w:tmpl w:val="E1A89946"/>
    <w:name w:val="Recommended Lists222"/>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5" w15:restartNumberingAfterBreak="0">
    <w:nsid w:val="191C06B1"/>
    <w:multiLevelType w:val="hybridMultilevel"/>
    <w:tmpl w:val="97F4DA44"/>
    <w:lvl w:ilvl="0" w:tplc="0D9A35A0">
      <w:start w:val="1"/>
      <w:numFmt w:val="lowerLetter"/>
      <w:pStyle w:val="ListNumber3"/>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1D4C21AF"/>
    <w:multiLevelType w:val="multilevel"/>
    <w:tmpl w:val="0409001D"/>
    <w:name w:val="Recommendation3"/>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7" w15:restartNumberingAfterBreak="0">
    <w:nsid w:val="1DB025F1"/>
    <w:multiLevelType w:val="hybridMultilevel"/>
    <w:tmpl w:val="82EE75A8"/>
    <w:lvl w:ilvl="0" w:tplc="13D88B40">
      <w:start w:val="1"/>
      <w:numFmt w:val="lowerRoman"/>
      <w:pStyle w:val="ListNumber2"/>
      <w:lvlText w:val="(%1)"/>
      <w:lvlJc w:val="left"/>
      <w:pPr>
        <w:ind w:left="927" w:hanging="57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23897516"/>
    <w:multiLevelType w:val="multilevel"/>
    <w:tmpl w:val="18586BEC"/>
    <w:name w:val="Recommended Lists43"/>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9" w15:restartNumberingAfterBreak="0">
    <w:nsid w:val="24BC7D51"/>
    <w:multiLevelType w:val="multilevel"/>
    <w:tmpl w:val="8BD87600"/>
    <w:name w:val="Recommended Lists32"/>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24F0428C"/>
    <w:multiLevelType w:val="multilevel"/>
    <w:tmpl w:val="0409001D"/>
    <w:name w:val="Recommendation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15:restartNumberingAfterBreak="0">
    <w:nsid w:val="2EB33F7D"/>
    <w:multiLevelType w:val="hybridMultilevel"/>
    <w:tmpl w:val="4F5C0F74"/>
    <w:lvl w:ilvl="0" w:tplc="49B4DA58">
      <w:start w:val="1"/>
      <w:numFmt w:val="decimal"/>
      <w:pStyle w:val="ListNumb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39721437"/>
    <w:multiLevelType w:val="multilevel"/>
    <w:tmpl w:val="0C09001D"/>
    <w:name w:val="Recommended Lists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3C2174CC"/>
    <w:multiLevelType w:val="multilevel"/>
    <w:tmpl w:val="AAC60D30"/>
    <w:name w:val="Recommended Lists43222"/>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4" w15:restartNumberingAfterBreak="0">
    <w:nsid w:val="3FC82D1A"/>
    <w:multiLevelType w:val="multilevel"/>
    <w:tmpl w:val="E1A89946"/>
    <w:name w:val="Recommendations22"/>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5" w15:restartNumberingAfterBreak="0">
    <w:nsid w:val="408F75E6"/>
    <w:multiLevelType w:val="multilevel"/>
    <w:tmpl w:val="6428E0B6"/>
    <w:lvl w:ilvl="0">
      <w:start w:val="1"/>
      <w:numFmt w:val="decimal"/>
      <w:pStyle w:val="AppendixHeading1"/>
      <w:lvlText w:val="%1."/>
      <w:lvlJc w:val="left"/>
      <w:pPr>
        <w:ind w:left="680" w:hanging="680"/>
      </w:pPr>
      <w:rPr>
        <w:rFonts w:ascii="Gotham Book" w:hAnsi="Gotham Book" w:hint="default"/>
        <w:b w:val="0"/>
        <w:caps w:val="0"/>
        <w:strike w:val="0"/>
        <w:dstrike w:val="0"/>
        <w:vanish w:val="0"/>
        <w:color w:val="0067A0" w:themeColor="accent1"/>
        <w:sz w:val="32"/>
        <w:vertAlign w:val="baseline"/>
      </w:rPr>
    </w:lvl>
    <w:lvl w:ilvl="1">
      <w:start w:val="1"/>
      <w:numFmt w:val="decimal"/>
      <w:pStyle w:val="AppendixHeading2"/>
      <w:lvlText w:val="%1.%2"/>
      <w:lvlJc w:val="left"/>
      <w:pPr>
        <w:ind w:left="680" w:hanging="680"/>
      </w:pPr>
      <w:rPr>
        <w:rFonts w:ascii="Gotham Book" w:hAnsi="Gotham Book" w:hint="default"/>
        <w:b w:val="0"/>
        <w:i w:val="0"/>
        <w:color w:val="0067A0" w:themeColor="accent1"/>
        <w:sz w:val="29"/>
        <w:szCs w:val="29"/>
      </w:rPr>
    </w:lvl>
    <w:lvl w:ilvl="2">
      <w:start w:val="1"/>
      <w:numFmt w:val="decimal"/>
      <w:pStyle w:val="AppendixHeading3"/>
      <w:lvlText w:val="%1.%2.%3"/>
      <w:lvlJc w:val="left"/>
      <w:pPr>
        <w:tabs>
          <w:tab w:val="num" w:pos="737"/>
        </w:tabs>
        <w:ind w:left="737" w:hanging="737"/>
      </w:pPr>
      <w:rPr>
        <w:rFonts w:ascii="Gotham Book" w:hAnsi="Gotham Book" w:hint="default"/>
        <w:b w:val="0"/>
        <w:i w:val="0"/>
        <w:color w:val="0067A0" w:themeColor="accent1"/>
        <w:sz w:val="26"/>
        <w:szCs w:val="26"/>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6" w15:restartNumberingAfterBreak="0">
    <w:nsid w:val="425D387C"/>
    <w:multiLevelType w:val="multilevel"/>
    <w:tmpl w:val="D0B42908"/>
    <w:lvl w:ilvl="0">
      <w:start w:val="1"/>
      <w:numFmt w:val="decimal"/>
      <w:pStyle w:val="FindingsHeading"/>
      <w:lvlText w:val="Finding %1:"/>
      <w:lvlJc w:val="left"/>
      <w:pPr>
        <w:ind w:left="1277" w:firstLine="0"/>
      </w:pPr>
      <w:rPr>
        <w:rFonts w:ascii="Gotham Book" w:hAnsi="Gotham Book" w:hint="default"/>
        <w:b/>
        <w:i w:val="0"/>
        <w:caps/>
        <w:color w:val="0067A0" w:themeColor="accent1"/>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15:restartNumberingAfterBreak="0">
    <w:nsid w:val="42904365"/>
    <w:multiLevelType w:val="multilevel"/>
    <w:tmpl w:val="E1A89946"/>
    <w:name w:val="Recommended Lists2"/>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8" w15:restartNumberingAfterBreak="0">
    <w:nsid w:val="4B9E3C5F"/>
    <w:multiLevelType w:val="multilevel"/>
    <w:tmpl w:val="AAC60D30"/>
    <w:name w:val="Recommended Lists432222"/>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4E9F689C"/>
    <w:multiLevelType w:val="hybridMultilevel"/>
    <w:tmpl w:val="FC1A04F2"/>
    <w:lvl w:ilvl="0" w:tplc="0C090011">
      <w:start w:val="1"/>
      <w:numFmt w:val="decimal"/>
      <w:lvlText w:val="%1)"/>
      <w:lvlJc w:val="left"/>
      <w:pPr>
        <w:ind w:left="1440" w:hanging="360"/>
      </w:pPr>
    </w:lvl>
    <w:lvl w:ilvl="1" w:tplc="0C090019" w:tentative="1">
      <w:start w:val="1"/>
      <w:numFmt w:val="lowerLetter"/>
      <w:lvlText w:val="%2."/>
      <w:lvlJc w:val="left"/>
      <w:pPr>
        <w:ind w:left="2160" w:hanging="360"/>
      </w:pPr>
    </w:lvl>
    <w:lvl w:ilvl="2" w:tplc="0C09001B" w:tentative="1">
      <w:start w:val="1"/>
      <w:numFmt w:val="lowerRoman"/>
      <w:lvlText w:val="%3."/>
      <w:lvlJc w:val="right"/>
      <w:pPr>
        <w:ind w:left="2880" w:hanging="180"/>
      </w:pPr>
    </w:lvl>
    <w:lvl w:ilvl="3" w:tplc="0C09000F" w:tentative="1">
      <w:start w:val="1"/>
      <w:numFmt w:val="decimal"/>
      <w:lvlText w:val="%4."/>
      <w:lvlJc w:val="left"/>
      <w:pPr>
        <w:ind w:left="3600" w:hanging="360"/>
      </w:pPr>
    </w:lvl>
    <w:lvl w:ilvl="4" w:tplc="0C090019" w:tentative="1">
      <w:start w:val="1"/>
      <w:numFmt w:val="lowerLetter"/>
      <w:lvlText w:val="%5."/>
      <w:lvlJc w:val="left"/>
      <w:pPr>
        <w:ind w:left="4320" w:hanging="360"/>
      </w:pPr>
    </w:lvl>
    <w:lvl w:ilvl="5" w:tplc="0C09001B" w:tentative="1">
      <w:start w:val="1"/>
      <w:numFmt w:val="lowerRoman"/>
      <w:lvlText w:val="%6."/>
      <w:lvlJc w:val="right"/>
      <w:pPr>
        <w:ind w:left="5040" w:hanging="180"/>
      </w:pPr>
    </w:lvl>
    <w:lvl w:ilvl="6" w:tplc="0C09000F" w:tentative="1">
      <w:start w:val="1"/>
      <w:numFmt w:val="decimal"/>
      <w:lvlText w:val="%7."/>
      <w:lvlJc w:val="left"/>
      <w:pPr>
        <w:ind w:left="5760" w:hanging="360"/>
      </w:pPr>
    </w:lvl>
    <w:lvl w:ilvl="7" w:tplc="0C090019" w:tentative="1">
      <w:start w:val="1"/>
      <w:numFmt w:val="lowerLetter"/>
      <w:lvlText w:val="%8."/>
      <w:lvlJc w:val="left"/>
      <w:pPr>
        <w:ind w:left="6480" w:hanging="360"/>
      </w:pPr>
    </w:lvl>
    <w:lvl w:ilvl="8" w:tplc="0C09001B" w:tentative="1">
      <w:start w:val="1"/>
      <w:numFmt w:val="lowerRoman"/>
      <w:lvlText w:val="%9."/>
      <w:lvlJc w:val="right"/>
      <w:pPr>
        <w:ind w:left="7200" w:hanging="180"/>
      </w:pPr>
    </w:lvl>
  </w:abstractNum>
  <w:abstractNum w:abstractNumId="30" w15:restartNumberingAfterBreak="0">
    <w:nsid w:val="56857E49"/>
    <w:multiLevelType w:val="multilevel"/>
    <w:tmpl w:val="A70AAAC6"/>
    <w:name w:val="Recommendation List222"/>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15:restartNumberingAfterBreak="0">
    <w:nsid w:val="5782613A"/>
    <w:multiLevelType w:val="hybridMultilevel"/>
    <w:tmpl w:val="63A045B0"/>
    <w:name w:val="Recommendation4"/>
    <w:lvl w:ilvl="0" w:tplc="11682226">
      <w:start w:val="1"/>
      <w:numFmt w:val="decimal"/>
      <w:lvlText w:val="Recommendation %1:"/>
      <w:lvlJc w:val="left"/>
      <w:pPr>
        <w:ind w:left="0" w:firstLine="0"/>
      </w:pPr>
      <w:rPr>
        <w:rFonts w:ascii="Gotham Book" w:hAnsi="Gotham Book" w:hint="default"/>
        <w:b/>
        <w:bCs w:val="0"/>
        <w:i w:val="0"/>
        <w:iCs w:val="0"/>
        <w:caps/>
        <w:smallCaps w:val="0"/>
        <w:strike w:val="0"/>
        <w:dstrike w:val="0"/>
        <w:outline w:val="0"/>
        <w:shadow w:val="0"/>
        <w:emboss w:val="0"/>
        <w:imprint w:val="0"/>
        <w:noProof w:val="0"/>
        <w:vanish w:val="0"/>
        <w:color w:val="0067A0" w:themeColor="accent1"/>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598057E7"/>
    <w:multiLevelType w:val="multilevel"/>
    <w:tmpl w:val="B6462F3E"/>
    <w:name w:val="Recommendations"/>
    <w:lvl w:ilvl="0">
      <w:numFmt w:val="decimal"/>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9A84ED0"/>
    <w:multiLevelType w:val="hybridMultilevel"/>
    <w:tmpl w:val="4A10CCE4"/>
    <w:lvl w:ilvl="0" w:tplc="7E309688">
      <w:start w:val="1"/>
      <w:numFmt w:val="decimal"/>
      <w:pStyle w:val="CaseStudyHeading"/>
      <w:lvlText w:val="Case study %1:"/>
      <w:lvlJc w:val="left"/>
      <w:pPr>
        <w:ind w:left="0" w:firstLine="0"/>
      </w:pPr>
      <w:rPr>
        <w:rFonts w:ascii="Gotham Book" w:hAnsi="Gotham Book" w:hint="default"/>
        <w:b/>
        <w:i w:val="0"/>
        <w:caps/>
        <w:color w:val="0067A0" w:themeColor="accent1"/>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15:restartNumberingAfterBreak="0">
    <w:nsid w:val="5BF34115"/>
    <w:multiLevelType w:val="multilevel"/>
    <w:tmpl w:val="AAC60D30"/>
    <w:name w:val="Recommended Lists4322222"/>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5F6F6505"/>
    <w:multiLevelType w:val="multilevel"/>
    <w:tmpl w:val="0409001D"/>
    <w:name w:val="Recommendation42"/>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6" w15:restartNumberingAfterBreak="0">
    <w:nsid w:val="62577809"/>
    <w:multiLevelType w:val="multilevel"/>
    <w:tmpl w:val="AAC60D30"/>
    <w:name w:val="Recommended Lists43222222"/>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638118FA"/>
    <w:multiLevelType w:val="hybridMultilevel"/>
    <w:tmpl w:val="CD885052"/>
    <w:name w:val="Recommendation43"/>
    <w:lvl w:ilvl="0" w:tplc="038C4B28">
      <w:start w:val="1"/>
      <w:numFmt w:val="decimal"/>
      <w:pStyle w:val="RecommendationHeadings"/>
      <w:lvlText w:val="Recommendation %1:"/>
      <w:lvlJc w:val="left"/>
      <w:pPr>
        <w:ind w:left="0" w:firstLine="0"/>
      </w:pPr>
      <w:rPr>
        <w:rFonts w:ascii="Gotham Book" w:hAnsi="Gotham Book" w:cs="Gotham Book" w:hint="default"/>
        <w:b/>
        <w:bCs w:val="0"/>
        <w:i w:val="0"/>
        <w:iCs w:val="0"/>
        <w:caps/>
        <w:strike w:val="0"/>
        <w:dstrike w:val="0"/>
        <w:outline w:val="0"/>
        <w:shadow w:val="0"/>
        <w:emboss w:val="0"/>
        <w:imprint w:val="0"/>
        <w:vanish w:val="0"/>
        <w:color w:val="0067A0" w:themeColor="accent1"/>
        <w:spacing w:val="0"/>
        <w:kern w:val="0"/>
        <w:position w:val="0"/>
        <w:u w:val="none"/>
        <w:effect w:val="none"/>
        <w:vertAlign w:val="baseline"/>
        <w:em w:val="none"/>
        <w14:ligatures w14:val="none"/>
        <w14:numForm w14:val="default"/>
        <w14:numSpacing w14:val="default"/>
        <w14:stylisticSets/>
        <w14:cntxtAlts w14: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3E63B9D"/>
    <w:multiLevelType w:val="multilevel"/>
    <w:tmpl w:val="9C307476"/>
    <w:name w:val="Recommended Lists"/>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9" w15:restartNumberingAfterBreak="0">
    <w:nsid w:val="656467C7"/>
    <w:multiLevelType w:val="hybridMultilevel"/>
    <w:tmpl w:val="037AA81C"/>
    <w:lvl w:ilvl="0" w:tplc="E5C66A64">
      <w:start w:val="1"/>
      <w:numFmt w:val="bullet"/>
      <w:pStyle w:val="ListBullet2"/>
      <w:lvlText w:val=""/>
      <w:lvlJc w:val="left"/>
      <w:pPr>
        <w:tabs>
          <w:tab w:val="num" w:pos="360"/>
        </w:tabs>
        <w:ind w:left="360" w:hanging="360"/>
      </w:pPr>
      <w:rPr>
        <w:rFonts w:ascii="Symbol" w:hAnsi="Symbol" w:cs="Symbol" w:hint="default"/>
        <w:b/>
        <w:i w:val="0"/>
        <w:color w:val="0067A0" w:themeColor="accen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7562120"/>
    <w:multiLevelType w:val="multilevel"/>
    <w:tmpl w:val="9EF238B6"/>
    <w:name w:val="Recommended Lists432"/>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1" w15:restartNumberingAfterBreak="0">
    <w:nsid w:val="676141DF"/>
    <w:multiLevelType w:val="multilevel"/>
    <w:tmpl w:val="4BB018F0"/>
    <w:name w:val="Recommended Lists4"/>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2" w15:restartNumberingAfterBreak="0">
    <w:nsid w:val="6AC13711"/>
    <w:multiLevelType w:val="multilevel"/>
    <w:tmpl w:val="259676EA"/>
    <w:name w:val="Recommended Lists4322"/>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cs="Times New Roman"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3" w15:restartNumberingAfterBreak="0">
    <w:nsid w:val="6B014E15"/>
    <w:multiLevelType w:val="multilevel"/>
    <w:tmpl w:val="8BD87600"/>
    <w:name w:val="Recommended Lists322"/>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4" w15:restartNumberingAfterBreak="0">
    <w:nsid w:val="6B235A44"/>
    <w:multiLevelType w:val="multilevel"/>
    <w:tmpl w:val="E52A1E9A"/>
    <w:styleLink w:val="AppendixHeading10"/>
    <w:lvl w:ilvl="0">
      <w:start w:val="1"/>
      <w:numFmt w:val="decimal"/>
      <w:lvlText w:val="%1."/>
      <w:lvlJc w:val="left"/>
      <w:pPr>
        <w:ind w:left="680" w:hanging="680"/>
      </w:pPr>
      <w:rPr>
        <w:rFonts w:ascii="Gotham Book" w:hAnsi="Gotham Book" w:hint="default"/>
        <w:b w:val="0"/>
        <w:caps w:val="0"/>
        <w:strike w:val="0"/>
        <w:dstrike w:val="0"/>
        <w:vanish w:val="0"/>
        <w:color w:val="0067A0" w:themeColor="accent1"/>
        <w:sz w:val="32"/>
        <w:vertAlign w:val="baseline"/>
      </w:rPr>
    </w:lvl>
    <w:lvl w:ilvl="1">
      <w:start w:val="1"/>
      <w:numFmt w:val="decimal"/>
      <w:lvlText w:val="%1.%2"/>
      <w:lvlJc w:val="left"/>
      <w:pPr>
        <w:ind w:left="680" w:hanging="680"/>
      </w:pPr>
      <w:rPr>
        <w:rFonts w:ascii="Gotham Book" w:hAnsi="Gotham Book" w:hint="default"/>
        <w:b w:val="0"/>
        <w:i w:val="0"/>
        <w:color w:val="0067A0" w:themeColor="accent1"/>
        <w:sz w:val="28"/>
      </w:rPr>
    </w:lvl>
    <w:lvl w:ilvl="2">
      <w:start w:val="1"/>
      <w:numFmt w:val="decimal"/>
      <w:lvlText w:val="%1.%2.%3"/>
      <w:lvlJc w:val="left"/>
      <w:pPr>
        <w:ind w:left="1080" w:hanging="360"/>
      </w:pPr>
      <w:rPr>
        <w:rFonts w:ascii="Gotham Book" w:hAnsi="Gotham Book" w:hint="default"/>
        <w:b w:val="0"/>
        <w:i w:val="0"/>
        <w:color w:val="0067A0" w:themeColor="accent1"/>
        <w:sz w:val="24"/>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5" w15:restartNumberingAfterBreak="0">
    <w:nsid w:val="6BD04AFA"/>
    <w:multiLevelType w:val="multilevel"/>
    <w:tmpl w:val="342CE260"/>
    <w:name w:val="Recommended Lists"/>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6" w15:restartNumberingAfterBreak="0">
    <w:nsid w:val="72BD1D82"/>
    <w:multiLevelType w:val="multilevel"/>
    <w:tmpl w:val="E1A89946"/>
    <w:name w:val="Recommended Lists22"/>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7" w15:restartNumberingAfterBreak="0">
    <w:nsid w:val="74BB7E82"/>
    <w:multiLevelType w:val="multilevel"/>
    <w:tmpl w:val="E2D004C0"/>
    <w:name w:val="Recommendations2"/>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8" w15:restartNumberingAfterBreak="0">
    <w:nsid w:val="75C60F6E"/>
    <w:multiLevelType w:val="multilevel"/>
    <w:tmpl w:val="E1A89946"/>
    <w:name w:val="Recommendations222"/>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49" w15:restartNumberingAfterBreak="0">
    <w:nsid w:val="77A12E2B"/>
    <w:multiLevelType w:val="hybridMultilevel"/>
    <w:tmpl w:val="0C7C75BC"/>
    <w:lvl w:ilvl="0" w:tplc="FF16B13C">
      <w:start w:val="1"/>
      <w:numFmt w:val="bullet"/>
      <w:pStyle w:val="List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0" w15:restartNumberingAfterBreak="0">
    <w:nsid w:val="7BE31396"/>
    <w:multiLevelType w:val="hybridMultilevel"/>
    <w:tmpl w:val="1032C12E"/>
    <w:lvl w:ilvl="0" w:tplc="2542D84C">
      <w:start w:val="1"/>
      <w:numFmt w:val="lowerRoman"/>
      <w:lvlText w:val="(%1)"/>
      <w:lvlJc w:val="left"/>
      <w:pPr>
        <w:ind w:left="14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1" w15:restartNumberingAfterBreak="0">
    <w:nsid w:val="7CB27BAB"/>
    <w:multiLevelType w:val="hybridMultilevel"/>
    <w:tmpl w:val="4CBC4EF4"/>
    <w:lvl w:ilvl="0" w:tplc="10DC440C">
      <w:start w:val="1"/>
      <w:numFmt w:val="lowerLetter"/>
      <w:lvlText w:val="(%1)"/>
      <w:lvlJc w:val="left"/>
      <w:pPr>
        <w:ind w:left="873" w:hanging="360"/>
      </w:pPr>
      <w:rPr>
        <w:rFonts w:hint="default"/>
      </w:rPr>
    </w:lvl>
    <w:lvl w:ilvl="1" w:tplc="0C090019">
      <w:start w:val="1"/>
      <w:numFmt w:val="lowerLetter"/>
      <w:lvlText w:val="%2."/>
      <w:lvlJc w:val="left"/>
      <w:pPr>
        <w:ind w:left="1593" w:hanging="360"/>
      </w:pPr>
    </w:lvl>
    <w:lvl w:ilvl="2" w:tplc="0C09001B" w:tentative="1">
      <w:start w:val="1"/>
      <w:numFmt w:val="lowerRoman"/>
      <w:lvlText w:val="%3."/>
      <w:lvlJc w:val="right"/>
      <w:pPr>
        <w:ind w:left="2313" w:hanging="180"/>
      </w:pPr>
    </w:lvl>
    <w:lvl w:ilvl="3" w:tplc="0C09000F" w:tentative="1">
      <w:start w:val="1"/>
      <w:numFmt w:val="decimal"/>
      <w:lvlText w:val="%4."/>
      <w:lvlJc w:val="left"/>
      <w:pPr>
        <w:ind w:left="3033" w:hanging="360"/>
      </w:pPr>
    </w:lvl>
    <w:lvl w:ilvl="4" w:tplc="0C090019" w:tentative="1">
      <w:start w:val="1"/>
      <w:numFmt w:val="lowerLetter"/>
      <w:lvlText w:val="%5."/>
      <w:lvlJc w:val="left"/>
      <w:pPr>
        <w:ind w:left="3753" w:hanging="360"/>
      </w:pPr>
    </w:lvl>
    <w:lvl w:ilvl="5" w:tplc="0C09001B" w:tentative="1">
      <w:start w:val="1"/>
      <w:numFmt w:val="lowerRoman"/>
      <w:lvlText w:val="%6."/>
      <w:lvlJc w:val="right"/>
      <w:pPr>
        <w:ind w:left="4473" w:hanging="180"/>
      </w:pPr>
    </w:lvl>
    <w:lvl w:ilvl="6" w:tplc="0C09000F" w:tentative="1">
      <w:start w:val="1"/>
      <w:numFmt w:val="decimal"/>
      <w:lvlText w:val="%7."/>
      <w:lvlJc w:val="left"/>
      <w:pPr>
        <w:ind w:left="5193" w:hanging="360"/>
      </w:pPr>
    </w:lvl>
    <w:lvl w:ilvl="7" w:tplc="0C090019" w:tentative="1">
      <w:start w:val="1"/>
      <w:numFmt w:val="lowerLetter"/>
      <w:lvlText w:val="%8."/>
      <w:lvlJc w:val="left"/>
      <w:pPr>
        <w:ind w:left="5913" w:hanging="360"/>
      </w:pPr>
    </w:lvl>
    <w:lvl w:ilvl="8" w:tplc="0C09001B" w:tentative="1">
      <w:start w:val="1"/>
      <w:numFmt w:val="lowerRoman"/>
      <w:lvlText w:val="%9."/>
      <w:lvlJc w:val="right"/>
      <w:pPr>
        <w:ind w:left="6633" w:hanging="180"/>
      </w:pPr>
    </w:lvl>
  </w:abstractNum>
  <w:abstractNum w:abstractNumId="52" w15:restartNumberingAfterBreak="0">
    <w:nsid w:val="7DD06EEA"/>
    <w:multiLevelType w:val="multilevel"/>
    <w:tmpl w:val="E1A89946"/>
    <w:name w:val="Recommended Lists3"/>
    <w:lvl w:ilvl="0">
      <w:start w:val="1"/>
      <w:numFmt w:val="decimal"/>
      <w:isLg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bullet"/>
      <w:lvlText w:val=""/>
      <w:lvlJc w:val="left"/>
      <w:pPr>
        <w:ind w:left="1440" w:hanging="360"/>
      </w:pPr>
      <w:rPr>
        <w:rFonts w:ascii="Symbol" w:hAnsi="Symbol"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3" w15:restartNumberingAfterBreak="0">
    <w:nsid w:val="7E513978"/>
    <w:multiLevelType w:val="multilevel"/>
    <w:tmpl w:val="7A26A220"/>
    <w:lvl w:ilvl="0">
      <w:start w:val="1"/>
      <w:numFmt w:val="decimal"/>
      <w:pStyle w:val="Heading1"/>
      <w:lvlText w:val="%1."/>
      <w:lvlJc w:val="left"/>
      <w:pPr>
        <w:ind w:left="142" w:firstLine="0"/>
      </w:pPr>
      <w:rPr>
        <w:rFonts w:ascii="Gotham Bold" w:hAnsi="Gotham Bold" w:cs="Gotham Book" w:hint="default"/>
        <w:b/>
        <w:i w:val="0"/>
        <w:caps w:val="0"/>
        <w:color w:val="FFFFFF" w:themeColor="background2"/>
        <w:sz w:val="96"/>
        <w:szCs w:val="96"/>
      </w:rPr>
    </w:lvl>
    <w:lvl w:ilvl="1">
      <w:start w:val="1"/>
      <w:numFmt w:val="decimal"/>
      <w:pStyle w:val="Heading2"/>
      <w:lvlText w:val="%1.%2"/>
      <w:lvlJc w:val="left"/>
      <w:pPr>
        <w:ind w:left="396" w:hanging="680"/>
      </w:pPr>
      <w:rPr>
        <w:rFonts w:hint="default"/>
        <w:i w:val="0"/>
      </w:rPr>
    </w:lvl>
    <w:lvl w:ilvl="2">
      <w:start w:val="1"/>
      <w:numFmt w:val="decimal"/>
      <w:pStyle w:val="Heading3"/>
      <w:lvlText w:val="%1.%2.%3"/>
      <w:lvlJc w:val="left"/>
      <w:pPr>
        <w:ind w:left="4933" w:hanging="680"/>
      </w:pPr>
      <w:rPr>
        <w:rFonts w:hint="default"/>
      </w:rPr>
    </w:lvl>
    <w:lvl w:ilvl="3">
      <w:start w:val="1"/>
      <w:numFmt w:val="decimal"/>
      <w:pStyle w:val="Heading4"/>
      <w:lvlText w:val="%1.%2.%3.%4"/>
      <w:lvlJc w:val="left"/>
      <w:pPr>
        <w:ind w:left="396" w:hanging="680"/>
      </w:pPr>
      <w:rPr>
        <w:rFonts w:hint="default"/>
      </w:rPr>
    </w:lvl>
    <w:lvl w:ilvl="4">
      <w:start w:val="1"/>
      <w:numFmt w:val="decimal"/>
      <w:pStyle w:val="Heading5"/>
      <w:lvlText w:val="%1.%2.%3.%4.%5"/>
      <w:lvlJc w:val="left"/>
      <w:pPr>
        <w:ind w:left="724" w:hanging="1008"/>
      </w:pPr>
      <w:rPr>
        <w:rFonts w:hint="default"/>
      </w:rPr>
    </w:lvl>
    <w:lvl w:ilvl="5">
      <w:start w:val="1"/>
      <w:numFmt w:val="decimal"/>
      <w:pStyle w:val="Heading6"/>
      <w:lvlText w:val="%1.%2.%3.%4.%5.%6"/>
      <w:lvlJc w:val="left"/>
      <w:pPr>
        <w:ind w:left="868" w:hanging="1152"/>
      </w:pPr>
      <w:rPr>
        <w:rFonts w:hint="default"/>
      </w:rPr>
    </w:lvl>
    <w:lvl w:ilvl="6">
      <w:start w:val="1"/>
      <w:numFmt w:val="decimal"/>
      <w:pStyle w:val="Heading7"/>
      <w:lvlText w:val="%1.%2.%3.%4.%5.%6.%7"/>
      <w:lvlJc w:val="left"/>
      <w:pPr>
        <w:ind w:left="1012" w:hanging="1296"/>
      </w:pPr>
      <w:rPr>
        <w:rFonts w:hint="default"/>
      </w:rPr>
    </w:lvl>
    <w:lvl w:ilvl="7">
      <w:start w:val="1"/>
      <w:numFmt w:val="decimal"/>
      <w:pStyle w:val="Heading8"/>
      <w:lvlText w:val="%1.%2.%3.%4.%5.%6.%7.%8"/>
      <w:lvlJc w:val="left"/>
      <w:pPr>
        <w:ind w:left="1156" w:hanging="1440"/>
      </w:pPr>
      <w:rPr>
        <w:rFonts w:hint="default"/>
      </w:rPr>
    </w:lvl>
    <w:lvl w:ilvl="8">
      <w:start w:val="1"/>
      <w:numFmt w:val="decimal"/>
      <w:pStyle w:val="Heading9"/>
      <w:lvlText w:val="%1.%2.%3.%4.%5.%6.%7.%8.%9"/>
      <w:lvlJc w:val="left"/>
      <w:pPr>
        <w:ind w:left="1300" w:hanging="1584"/>
      </w:pPr>
      <w:rPr>
        <w:rFonts w:hint="default"/>
      </w:rPr>
    </w:lvl>
  </w:abstractNum>
  <w:num w:numId="1">
    <w:abstractNumId w:val="0"/>
  </w:num>
  <w:num w:numId="2">
    <w:abstractNumId w:val="53"/>
  </w:num>
  <w:num w:numId="3">
    <w:abstractNumId w:val="26"/>
  </w:num>
  <w:num w:numId="4">
    <w:abstractNumId w:val="33"/>
  </w:num>
  <w:num w:numId="5">
    <w:abstractNumId w:val="39"/>
  </w:num>
  <w:num w:numId="6">
    <w:abstractNumId w:val="37"/>
  </w:num>
  <w:num w:numId="7">
    <w:abstractNumId w:val="51"/>
  </w:num>
  <w:num w:numId="8">
    <w:abstractNumId w:val="13"/>
  </w:num>
  <w:num w:numId="9">
    <w:abstractNumId w:val="5"/>
  </w:num>
  <w:num w:numId="10">
    <w:abstractNumId w:val="50"/>
  </w:num>
  <w:num w:numId="11">
    <w:abstractNumId w:val="29"/>
  </w:num>
  <w:num w:numId="12">
    <w:abstractNumId w:val="44"/>
  </w:num>
  <w:num w:numId="13">
    <w:abstractNumId w:val="25"/>
  </w:num>
  <w:num w:numId="14">
    <w:abstractNumId w:val="17"/>
  </w:num>
  <w:num w:numId="15">
    <w:abstractNumId w:val="49"/>
  </w:num>
  <w:num w:numId="16">
    <w:abstractNumId w:val="7"/>
  </w:num>
  <w:num w:numId="17">
    <w:abstractNumId w:val="21"/>
  </w:num>
  <w:num w:numId="18">
    <w:abstractNumId w:val="12"/>
  </w:num>
  <w:num w:numId="19">
    <w:abstractNumId w:val="15"/>
  </w:num>
  <w:num w:numId="20">
    <w:abstractNumId w:val="11"/>
  </w:num>
  <w:num w:numId="21">
    <w:abstractNumId w:val="21"/>
    <w:lvlOverride w:ilvl="0">
      <w:startOverride w:val="1"/>
    </w:lvlOverride>
  </w:num>
  <w:num w:numId="22">
    <w:abstractNumId w:val="21"/>
    <w:lvlOverride w:ilvl="0">
      <w:startOverride w:val="1"/>
    </w:lvlOverride>
  </w:num>
  <w:num w:numId="23">
    <w:abstractNumId w:val="21"/>
    <w:lvlOverride w:ilvl="0">
      <w:startOverride w:val="1"/>
    </w:lvlOverride>
  </w:num>
  <w:num w:numId="24">
    <w:abstractNumId w:val="21"/>
    <w:lvlOverride w:ilvl="0">
      <w:startOverride w:val="1"/>
    </w:lvlOverride>
  </w:num>
  <w:num w:numId="25">
    <w:abstractNumId w:val="8"/>
  </w:num>
  <w:num w:numId="26">
    <w:abstractNumId w:val="21"/>
    <w:lvlOverride w:ilvl="0">
      <w:startOverride w:val="1"/>
    </w:lvlOverride>
  </w:num>
  <w:num w:numId="27">
    <w:abstractNumId w:val="21"/>
    <w:lvlOverride w:ilvl="0">
      <w:startOverride w:val="1"/>
    </w:lvlOverride>
  </w:num>
  <w:num w:numId="28">
    <w:abstractNumId w:val="17"/>
    <w:lvlOverride w:ilvl="0">
      <w:startOverride w:val="1"/>
    </w:lvlOverride>
  </w:num>
  <w:num w:numId="29">
    <w:abstractNumId w:val="21"/>
    <w:lvlOverride w:ilvl="0">
      <w:startOverride w:val="1"/>
    </w:lvlOverride>
  </w:num>
  <w:num w:numId="30">
    <w:abstractNumId w:val="1"/>
  </w:num>
  <w:num w:numId="31">
    <w:abstractNumId w:val="2"/>
  </w:num>
  <w:num w:numId="32">
    <w:abstractNumId w:val="3"/>
  </w:num>
  <w:num w:numId="33">
    <w:abstractNumId w:val="31"/>
  </w:num>
  <w:num w:numId="34">
    <w:abstractNumId w:val="21"/>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isplayBackgroundShape/>
  <w:mirrorMargins/>
  <w:stylePaneFormatFilter w:val="3821" w:allStyles="1" w:customStyles="0" w:latentStyles="0" w:stylesInUse="0" w:headingStyles="1" w:numberingStyles="0" w:tableStyles="0" w:directFormattingOnRuns="0" w:directFormattingOnParagraphs="0" w:directFormattingOnNumbering="0" w:directFormattingOnTables="1" w:clearFormatting="1" w:top3HeadingStyles="1" w:visibleStyles="0" w:alternateStyleNames="0"/>
  <w:defaultTabStop w:val="567"/>
  <w:evenAndOddHeaders/>
  <w:drawingGridHorizontalSpacing w:val="110"/>
  <w:displayHorizontalDrawingGridEvery w:val="2"/>
  <w:displayVerticalDrawingGridEvery w:val="2"/>
  <w:characterSpacingControl w:val="doNotCompress"/>
  <w:hdrShapeDefaults>
    <o:shapedefaults v:ext="edit" spidmax="2051"/>
    <o:shapelayout v:ext="edit">
      <o:idmap v:ext="edit" data="2"/>
    </o:shapelayout>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89B"/>
    <w:rsid w:val="00000063"/>
    <w:rsid w:val="00000344"/>
    <w:rsid w:val="000007C7"/>
    <w:rsid w:val="000007E7"/>
    <w:rsid w:val="00000962"/>
    <w:rsid w:val="00000A3A"/>
    <w:rsid w:val="00001016"/>
    <w:rsid w:val="000010AD"/>
    <w:rsid w:val="000011B1"/>
    <w:rsid w:val="0000146A"/>
    <w:rsid w:val="0000151D"/>
    <w:rsid w:val="00001523"/>
    <w:rsid w:val="00001909"/>
    <w:rsid w:val="000019AC"/>
    <w:rsid w:val="00001A64"/>
    <w:rsid w:val="000020CF"/>
    <w:rsid w:val="00002152"/>
    <w:rsid w:val="000022AC"/>
    <w:rsid w:val="00002512"/>
    <w:rsid w:val="000025D3"/>
    <w:rsid w:val="000026AC"/>
    <w:rsid w:val="00002913"/>
    <w:rsid w:val="00002B9D"/>
    <w:rsid w:val="00002C16"/>
    <w:rsid w:val="00002C1F"/>
    <w:rsid w:val="00002CBC"/>
    <w:rsid w:val="00002DC4"/>
    <w:rsid w:val="00002F0C"/>
    <w:rsid w:val="00003186"/>
    <w:rsid w:val="000031A3"/>
    <w:rsid w:val="000031BE"/>
    <w:rsid w:val="0000335B"/>
    <w:rsid w:val="00003416"/>
    <w:rsid w:val="00003678"/>
    <w:rsid w:val="00003A40"/>
    <w:rsid w:val="00003B84"/>
    <w:rsid w:val="00003BB3"/>
    <w:rsid w:val="00003BFB"/>
    <w:rsid w:val="0000412D"/>
    <w:rsid w:val="000041AA"/>
    <w:rsid w:val="000041D6"/>
    <w:rsid w:val="0000470C"/>
    <w:rsid w:val="00004758"/>
    <w:rsid w:val="00004B7F"/>
    <w:rsid w:val="00004D3A"/>
    <w:rsid w:val="0000560E"/>
    <w:rsid w:val="00005A94"/>
    <w:rsid w:val="00006067"/>
    <w:rsid w:val="000060AE"/>
    <w:rsid w:val="000063F5"/>
    <w:rsid w:val="0000664D"/>
    <w:rsid w:val="000067A3"/>
    <w:rsid w:val="000068D6"/>
    <w:rsid w:val="00006995"/>
    <w:rsid w:val="00006DEA"/>
    <w:rsid w:val="00006E47"/>
    <w:rsid w:val="0000716A"/>
    <w:rsid w:val="000072BE"/>
    <w:rsid w:val="000072F1"/>
    <w:rsid w:val="000078D6"/>
    <w:rsid w:val="00007D8F"/>
    <w:rsid w:val="00007DF9"/>
    <w:rsid w:val="000100C9"/>
    <w:rsid w:val="0001019A"/>
    <w:rsid w:val="000107BC"/>
    <w:rsid w:val="000108FC"/>
    <w:rsid w:val="00010DC7"/>
    <w:rsid w:val="00010E15"/>
    <w:rsid w:val="00011186"/>
    <w:rsid w:val="000112C0"/>
    <w:rsid w:val="0001138B"/>
    <w:rsid w:val="000113E3"/>
    <w:rsid w:val="000113FD"/>
    <w:rsid w:val="00011503"/>
    <w:rsid w:val="000117D1"/>
    <w:rsid w:val="0001181F"/>
    <w:rsid w:val="000118E3"/>
    <w:rsid w:val="000119EB"/>
    <w:rsid w:val="00011B6F"/>
    <w:rsid w:val="00011F55"/>
    <w:rsid w:val="000121FD"/>
    <w:rsid w:val="0001275A"/>
    <w:rsid w:val="00012ADF"/>
    <w:rsid w:val="00012B2D"/>
    <w:rsid w:val="00012EE6"/>
    <w:rsid w:val="000130D0"/>
    <w:rsid w:val="0001332C"/>
    <w:rsid w:val="00013836"/>
    <w:rsid w:val="00013905"/>
    <w:rsid w:val="0001396A"/>
    <w:rsid w:val="00013A8F"/>
    <w:rsid w:val="00013F35"/>
    <w:rsid w:val="00013F92"/>
    <w:rsid w:val="000143B1"/>
    <w:rsid w:val="000144F1"/>
    <w:rsid w:val="000148D5"/>
    <w:rsid w:val="000148DA"/>
    <w:rsid w:val="000149B5"/>
    <w:rsid w:val="00014BBB"/>
    <w:rsid w:val="00014CE0"/>
    <w:rsid w:val="00014D39"/>
    <w:rsid w:val="00014EE1"/>
    <w:rsid w:val="000151C1"/>
    <w:rsid w:val="000151E5"/>
    <w:rsid w:val="00015D92"/>
    <w:rsid w:val="00015DE5"/>
    <w:rsid w:val="00016046"/>
    <w:rsid w:val="000161FF"/>
    <w:rsid w:val="0001630F"/>
    <w:rsid w:val="00016369"/>
    <w:rsid w:val="00016561"/>
    <w:rsid w:val="00016594"/>
    <w:rsid w:val="0001664E"/>
    <w:rsid w:val="00016787"/>
    <w:rsid w:val="000167F5"/>
    <w:rsid w:val="000168EC"/>
    <w:rsid w:val="00016926"/>
    <w:rsid w:val="0001756F"/>
    <w:rsid w:val="000175F7"/>
    <w:rsid w:val="0001767C"/>
    <w:rsid w:val="000176D1"/>
    <w:rsid w:val="000177BF"/>
    <w:rsid w:val="000177DF"/>
    <w:rsid w:val="00017821"/>
    <w:rsid w:val="0001782E"/>
    <w:rsid w:val="00017A1F"/>
    <w:rsid w:val="00017AB9"/>
    <w:rsid w:val="00017DAB"/>
    <w:rsid w:val="0002034D"/>
    <w:rsid w:val="0002040D"/>
    <w:rsid w:val="00020CB4"/>
    <w:rsid w:val="00021071"/>
    <w:rsid w:val="0002128B"/>
    <w:rsid w:val="00021977"/>
    <w:rsid w:val="00021A37"/>
    <w:rsid w:val="00021A59"/>
    <w:rsid w:val="00021E56"/>
    <w:rsid w:val="00021F1B"/>
    <w:rsid w:val="000223B0"/>
    <w:rsid w:val="00022664"/>
    <w:rsid w:val="0002271C"/>
    <w:rsid w:val="0002281E"/>
    <w:rsid w:val="00022B68"/>
    <w:rsid w:val="00022C62"/>
    <w:rsid w:val="00022C97"/>
    <w:rsid w:val="00022D8F"/>
    <w:rsid w:val="00022E53"/>
    <w:rsid w:val="00022E92"/>
    <w:rsid w:val="00023596"/>
    <w:rsid w:val="00023761"/>
    <w:rsid w:val="00023D5F"/>
    <w:rsid w:val="00023DF0"/>
    <w:rsid w:val="00024008"/>
    <w:rsid w:val="000241AE"/>
    <w:rsid w:val="0002484A"/>
    <w:rsid w:val="00024C4B"/>
    <w:rsid w:val="00024D7C"/>
    <w:rsid w:val="00024DB6"/>
    <w:rsid w:val="00024E32"/>
    <w:rsid w:val="00024F1D"/>
    <w:rsid w:val="0002535C"/>
    <w:rsid w:val="0002545A"/>
    <w:rsid w:val="00025626"/>
    <w:rsid w:val="00025651"/>
    <w:rsid w:val="0002583D"/>
    <w:rsid w:val="00025C48"/>
    <w:rsid w:val="00025E26"/>
    <w:rsid w:val="00025F31"/>
    <w:rsid w:val="000263C2"/>
    <w:rsid w:val="00026998"/>
    <w:rsid w:val="00026C79"/>
    <w:rsid w:val="00026FAF"/>
    <w:rsid w:val="000270DF"/>
    <w:rsid w:val="000278DE"/>
    <w:rsid w:val="000278E6"/>
    <w:rsid w:val="00027951"/>
    <w:rsid w:val="000279BF"/>
    <w:rsid w:val="00027B20"/>
    <w:rsid w:val="00027EA3"/>
    <w:rsid w:val="00027F9C"/>
    <w:rsid w:val="00030041"/>
    <w:rsid w:val="000302E2"/>
    <w:rsid w:val="000303A0"/>
    <w:rsid w:val="000305FA"/>
    <w:rsid w:val="000306D2"/>
    <w:rsid w:val="00030A52"/>
    <w:rsid w:val="00030C42"/>
    <w:rsid w:val="00030E18"/>
    <w:rsid w:val="0003155C"/>
    <w:rsid w:val="000316F0"/>
    <w:rsid w:val="000317BA"/>
    <w:rsid w:val="000319DD"/>
    <w:rsid w:val="00032264"/>
    <w:rsid w:val="000326FE"/>
    <w:rsid w:val="00032C04"/>
    <w:rsid w:val="000335AC"/>
    <w:rsid w:val="000335E0"/>
    <w:rsid w:val="0003360C"/>
    <w:rsid w:val="00033664"/>
    <w:rsid w:val="00033684"/>
    <w:rsid w:val="000338D9"/>
    <w:rsid w:val="00033DF7"/>
    <w:rsid w:val="00033E8E"/>
    <w:rsid w:val="0003402D"/>
    <w:rsid w:val="00034207"/>
    <w:rsid w:val="000342FB"/>
    <w:rsid w:val="0003458B"/>
    <w:rsid w:val="000346B5"/>
    <w:rsid w:val="00034D78"/>
    <w:rsid w:val="00034D90"/>
    <w:rsid w:val="00034DBB"/>
    <w:rsid w:val="000351B1"/>
    <w:rsid w:val="000355BA"/>
    <w:rsid w:val="00035980"/>
    <w:rsid w:val="00035B51"/>
    <w:rsid w:val="00035CD0"/>
    <w:rsid w:val="00035E75"/>
    <w:rsid w:val="000362CF"/>
    <w:rsid w:val="00036441"/>
    <w:rsid w:val="00036660"/>
    <w:rsid w:val="0003674C"/>
    <w:rsid w:val="00036A7E"/>
    <w:rsid w:val="00036E35"/>
    <w:rsid w:val="00036E76"/>
    <w:rsid w:val="00036F1F"/>
    <w:rsid w:val="0003729C"/>
    <w:rsid w:val="00037677"/>
    <w:rsid w:val="000376F0"/>
    <w:rsid w:val="0003777C"/>
    <w:rsid w:val="00037CEB"/>
    <w:rsid w:val="0004000E"/>
    <w:rsid w:val="000402D9"/>
    <w:rsid w:val="0004046B"/>
    <w:rsid w:val="000405DA"/>
    <w:rsid w:val="00040679"/>
    <w:rsid w:val="000406CF"/>
    <w:rsid w:val="000407A4"/>
    <w:rsid w:val="00040E40"/>
    <w:rsid w:val="00040E45"/>
    <w:rsid w:val="00041126"/>
    <w:rsid w:val="000411A9"/>
    <w:rsid w:val="0004143D"/>
    <w:rsid w:val="00041544"/>
    <w:rsid w:val="0004155E"/>
    <w:rsid w:val="00041705"/>
    <w:rsid w:val="0004180D"/>
    <w:rsid w:val="00041813"/>
    <w:rsid w:val="00041894"/>
    <w:rsid w:val="000418A7"/>
    <w:rsid w:val="00041BD5"/>
    <w:rsid w:val="00041E00"/>
    <w:rsid w:val="00041E94"/>
    <w:rsid w:val="0004275F"/>
    <w:rsid w:val="000428BB"/>
    <w:rsid w:val="00042C9A"/>
    <w:rsid w:val="00042D4B"/>
    <w:rsid w:val="00042EA1"/>
    <w:rsid w:val="00042EEE"/>
    <w:rsid w:val="0004314C"/>
    <w:rsid w:val="000435FD"/>
    <w:rsid w:val="000439B9"/>
    <w:rsid w:val="00043D99"/>
    <w:rsid w:val="000449B4"/>
    <w:rsid w:val="00044CD9"/>
    <w:rsid w:val="00044D2D"/>
    <w:rsid w:val="00044DDE"/>
    <w:rsid w:val="00044EB6"/>
    <w:rsid w:val="00044F5A"/>
    <w:rsid w:val="00045765"/>
    <w:rsid w:val="00045C2C"/>
    <w:rsid w:val="00045D17"/>
    <w:rsid w:val="00046469"/>
    <w:rsid w:val="000465C3"/>
    <w:rsid w:val="0004693A"/>
    <w:rsid w:val="00046A16"/>
    <w:rsid w:val="00046C31"/>
    <w:rsid w:val="00046C6C"/>
    <w:rsid w:val="00046DA0"/>
    <w:rsid w:val="00046E49"/>
    <w:rsid w:val="00046FEB"/>
    <w:rsid w:val="0004701B"/>
    <w:rsid w:val="00047060"/>
    <w:rsid w:val="00047139"/>
    <w:rsid w:val="0004756A"/>
    <w:rsid w:val="000476AD"/>
    <w:rsid w:val="00047904"/>
    <w:rsid w:val="00047C3E"/>
    <w:rsid w:val="00047EB5"/>
    <w:rsid w:val="00050031"/>
    <w:rsid w:val="0005027C"/>
    <w:rsid w:val="00050323"/>
    <w:rsid w:val="0005038B"/>
    <w:rsid w:val="00050960"/>
    <w:rsid w:val="00050B7D"/>
    <w:rsid w:val="00050BED"/>
    <w:rsid w:val="00050F35"/>
    <w:rsid w:val="00050F9C"/>
    <w:rsid w:val="00050FBD"/>
    <w:rsid w:val="0005120A"/>
    <w:rsid w:val="00051333"/>
    <w:rsid w:val="000513FC"/>
    <w:rsid w:val="00051493"/>
    <w:rsid w:val="0005199B"/>
    <w:rsid w:val="00052310"/>
    <w:rsid w:val="0005232E"/>
    <w:rsid w:val="000524CF"/>
    <w:rsid w:val="0005260F"/>
    <w:rsid w:val="00052869"/>
    <w:rsid w:val="00052A92"/>
    <w:rsid w:val="00052F3A"/>
    <w:rsid w:val="0005301C"/>
    <w:rsid w:val="00053043"/>
    <w:rsid w:val="00053450"/>
    <w:rsid w:val="00053798"/>
    <w:rsid w:val="000538A6"/>
    <w:rsid w:val="00053992"/>
    <w:rsid w:val="000539F5"/>
    <w:rsid w:val="00053A63"/>
    <w:rsid w:val="00053C94"/>
    <w:rsid w:val="00054148"/>
    <w:rsid w:val="0005427D"/>
    <w:rsid w:val="00054B19"/>
    <w:rsid w:val="00054DF0"/>
    <w:rsid w:val="00054FE9"/>
    <w:rsid w:val="000550B8"/>
    <w:rsid w:val="0005520D"/>
    <w:rsid w:val="00055508"/>
    <w:rsid w:val="0005557B"/>
    <w:rsid w:val="000555EA"/>
    <w:rsid w:val="000556F8"/>
    <w:rsid w:val="000557C8"/>
    <w:rsid w:val="00055867"/>
    <w:rsid w:val="0005595C"/>
    <w:rsid w:val="00055E9A"/>
    <w:rsid w:val="00055EBD"/>
    <w:rsid w:val="00055FEF"/>
    <w:rsid w:val="0005618E"/>
    <w:rsid w:val="00056483"/>
    <w:rsid w:val="000564D2"/>
    <w:rsid w:val="000564F9"/>
    <w:rsid w:val="00056670"/>
    <w:rsid w:val="00056AF9"/>
    <w:rsid w:val="00057037"/>
    <w:rsid w:val="000570D3"/>
    <w:rsid w:val="000571B0"/>
    <w:rsid w:val="0005720B"/>
    <w:rsid w:val="00057244"/>
    <w:rsid w:val="000577FC"/>
    <w:rsid w:val="00057811"/>
    <w:rsid w:val="00057B25"/>
    <w:rsid w:val="00057C36"/>
    <w:rsid w:val="00057DE2"/>
    <w:rsid w:val="00057EDA"/>
    <w:rsid w:val="0006011E"/>
    <w:rsid w:val="00060251"/>
    <w:rsid w:val="000604EC"/>
    <w:rsid w:val="00060603"/>
    <w:rsid w:val="00060B86"/>
    <w:rsid w:val="00060E54"/>
    <w:rsid w:val="00060E6D"/>
    <w:rsid w:val="00060E8B"/>
    <w:rsid w:val="00060F8B"/>
    <w:rsid w:val="000610AA"/>
    <w:rsid w:val="000611BC"/>
    <w:rsid w:val="00061458"/>
    <w:rsid w:val="000614F4"/>
    <w:rsid w:val="00061C23"/>
    <w:rsid w:val="00061C8F"/>
    <w:rsid w:val="00062521"/>
    <w:rsid w:val="000625F8"/>
    <w:rsid w:val="00062B40"/>
    <w:rsid w:val="00062B5D"/>
    <w:rsid w:val="00062C0B"/>
    <w:rsid w:val="00062F96"/>
    <w:rsid w:val="000632EA"/>
    <w:rsid w:val="00063693"/>
    <w:rsid w:val="00063E73"/>
    <w:rsid w:val="00063EFD"/>
    <w:rsid w:val="00064376"/>
    <w:rsid w:val="000646C2"/>
    <w:rsid w:val="000649E7"/>
    <w:rsid w:val="00064A89"/>
    <w:rsid w:val="00064B73"/>
    <w:rsid w:val="00064C8F"/>
    <w:rsid w:val="00064E04"/>
    <w:rsid w:val="0006516D"/>
    <w:rsid w:val="000655DF"/>
    <w:rsid w:val="00065659"/>
    <w:rsid w:val="00065B6D"/>
    <w:rsid w:val="0006603A"/>
    <w:rsid w:val="0006612A"/>
    <w:rsid w:val="00066582"/>
    <w:rsid w:val="000668C6"/>
    <w:rsid w:val="00067025"/>
    <w:rsid w:val="00067062"/>
    <w:rsid w:val="000673ED"/>
    <w:rsid w:val="0006759C"/>
    <w:rsid w:val="0006759D"/>
    <w:rsid w:val="000675B8"/>
    <w:rsid w:val="00067657"/>
    <w:rsid w:val="00067688"/>
    <w:rsid w:val="00067AB8"/>
    <w:rsid w:val="00067AF5"/>
    <w:rsid w:val="00067CBB"/>
    <w:rsid w:val="00067DAA"/>
    <w:rsid w:val="00067F1D"/>
    <w:rsid w:val="0007088D"/>
    <w:rsid w:val="00070A41"/>
    <w:rsid w:val="00070DEF"/>
    <w:rsid w:val="00070E53"/>
    <w:rsid w:val="00071030"/>
    <w:rsid w:val="000711B1"/>
    <w:rsid w:val="00071366"/>
    <w:rsid w:val="000713D9"/>
    <w:rsid w:val="00071B84"/>
    <w:rsid w:val="00071D39"/>
    <w:rsid w:val="00071D97"/>
    <w:rsid w:val="00071F7E"/>
    <w:rsid w:val="00072D1F"/>
    <w:rsid w:val="00072E80"/>
    <w:rsid w:val="00073074"/>
    <w:rsid w:val="00073142"/>
    <w:rsid w:val="00073238"/>
    <w:rsid w:val="000732AB"/>
    <w:rsid w:val="000732C5"/>
    <w:rsid w:val="00073334"/>
    <w:rsid w:val="000733F6"/>
    <w:rsid w:val="00073477"/>
    <w:rsid w:val="00073B2F"/>
    <w:rsid w:val="00073D37"/>
    <w:rsid w:val="00074191"/>
    <w:rsid w:val="0007423E"/>
    <w:rsid w:val="0007432F"/>
    <w:rsid w:val="0007441C"/>
    <w:rsid w:val="000744F0"/>
    <w:rsid w:val="000745C3"/>
    <w:rsid w:val="00074970"/>
    <w:rsid w:val="00075225"/>
    <w:rsid w:val="000755D3"/>
    <w:rsid w:val="00075774"/>
    <w:rsid w:val="00075D35"/>
    <w:rsid w:val="00075F4F"/>
    <w:rsid w:val="00075FD4"/>
    <w:rsid w:val="000761B9"/>
    <w:rsid w:val="00076357"/>
    <w:rsid w:val="00076435"/>
    <w:rsid w:val="00076533"/>
    <w:rsid w:val="00076A29"/>
    <w:rsid w:val="00076A4A"/>
    <w:rsid w:val="00076B8C"/>
    <w:rsid w:val="00076D7D"/>
    <w:rsid w:val="0007717C"/>
    <w:rsid w:val="000776C8"/>
    <w:rsid w:val="00077869"/>
    <w:rsid w:val="00077DFE"/>
    <w:rsid w:val="00077E43"/>
    <w:rsid w:val="0008026F"/>
    <w:rsid w:val="000805CC"/>
    <w:rsid w:val="00080798"/>
    <w:rsid w:val="00080A28"/>
    <w:rsid w:val="00080AAF"/>
    <w:rsid w:val="00080D37"/>
    <w:rsid w:val="00080EFE"/>
    <w:rsid w:val="000812DF"/>
    <w:rsid w:val="000814A8"/>
    <w:rsid w:val="000814B9"/>
    <w:rsid w:val="000815D6"/>
    <w:rsid w:val="00081E01"/>
    <w:rsid w:val="00082078"/>
    <w:rsid w:val="00082448"/>
    <w:rsid w:val="000826FC"/>
    <w:rsid w:val="00082748"/>
    <w:rsid w:val="00082A04"/>
    <w:rsid w:val="00082A76"/>
    <w:rsid w:val="00082D3D"/>
    <w:rsid w:val="00082F0E"/>
    <w:rsid w:val="0008326C"/>
    <w:rsid w:val="000834CA"/>
    <w:rsid w:val="00083555"/>
    <w:rsid w:val="00083BB5"/>
    <w:rsid w:val="00083BB6"/>
    <w:rsid w:val="00083C8E"/>
    <w:rsid w:val="00083FF6"/>
    <w:rsid w:val="00084107"/>
    <w:rsid w:val="000841C2"/>
    <w:rsid w:val="00084379"/>
    <w:rsid w:val="00084523"/>
    <w:rsid w:val="0008468B"/>
    <w:rsid w:val="0008504F"/>
    <w:rsid w:val="00085203"/>
    <w:rsid w:val="000853C9"/>
    <w:rsid w:val="000854F8"/>
    <w:rsid w:val="00085AEA"/>
    <w:rsid w:val="00085F57"/>
    <w:rsid w:val="000869DE"/>
    <w:rsid w:val="00087076"/>
    <w:rsid w:val="000876A7"/>
    <w:rsid w:val="00087C15"/>
    <w:rsid w:val="00087E7E"/>
    <w:rsid w:val="00090149"/>
    <w:rsid w:val="00090153"/>
    <w:rsid w:val="000901FE"/>
    <w:rsid w:val="0009020A"/>
    <w:rsid w:val="0009069C"/>
    <w:rsid w:val="00090748"/>
    <w:rsid w:val="0009097E"/>
    <w:rsid w:val="00090A34"/>
    <w:rsid w:val="00090F13"/>
    <w:rsid w:val="00090F95"/>
    <w:rsid w:val="000914C9"/>
    <w:rsid w:val="000915E9"/>
    <w:rsid w:val="000916FF"/>
    <w:rsid w:val="00091820"/>
    <w:rsid w:val="00091985"/>
    <w:rsid w:val="0009199D"/>
    <w:rsid w:val="00091A73"/>
    <w:rsid w:val="00091C86"/>
    <w:rsid w:val="00091D6E"/>
    <w:rsid w:val="00091FBF"/>
    <w:rsid w:val="000925A1"/>
    <w:rsid w:val="00092D38"/>
    <w:rsid w:val="00092F4D"/>
    <w:rsid w:val="00092F8C"/>
    <w:rsid w:val="00093012"/>
    <w:rsid w:val="00093321"/>
    <w:rsid w:val="00093740"/>
    <w:rsid w:val="000937C4"/>
    <w:rsid w:val="00094314"/>
    <w:rsid w:val="0009493E"/>
    <w:rsid w:val="00094E4F"/>
    <w:rsid w:val="00094E5F"/>
    <w:rsid w:val="0009528F"/>
    <w:rsid w:val="0009529B"/>
    <w:rsid w:val="000953EF"/>
    <w:rsid w:val="00095418"/>
    <w:rsid w:val="00095471"/>
    <w:rsid w:val="0009552E"/>
    <w:rsid w:val="00095540"/>
    <w:rsid w:val="000957A2"/>
    <w:rsid w:val="000959A6"/>
    <w:rsid w:val="00095A5F"/>
    <w:rsid w:val="00095B80"/>
    <w:rsid w:val="00095CCE"/>
    <w:rsid w:val="00095D05"/>
    <w:rsid w:val="00096262"/>
    <w:rsid w:val="00096B0B"/>
    <w:rsid w:val="00096BAF"/>
    <w:rsid w:val="00096E24"/>
    <w:rsid w:val="00096F48"/>
    <w:rsid w:val="000970E2"/>
    <w:rsid w:val="000972B6"/>
    <w:rsid w:val="000974FF"/>
    <w:rsid w:val="000979AF"/>
    <w:rsid w:val="00097A84"/>
    <w:rsid w:val="00097B75"/>
    <w:rsid w:val="00097D48"/>
    <w:rsid w:val="000A00D8"/>
    <w:rsid w:val="000A06D4"/>
    <w:rsid w:val="000A0701"/>
    <w:rsid w:val="000A073A"/>
    <w:rsid w:val="000A09A5"/>
    <w:rsid w:val="000A09D4"/>
    <w:rsid w:val="000A1091"/>
    <w:rsid w:val="000A1117"/>
    <w:rsid w:val="000A1857"/>
    <w:rsid w:val="000A1A85"/>
    <w:rsid w:val="000A1F62"/>
    <w:rsid w:val="000A2089"/>
    <w:rsid w:val="000A208D"/>
    <w:rsid w:val="000A21E5"/>
    <w:rsid w:val="000A22B7"/>
    <w:rsid w:val="000A2444"/>
    <w:rsid w:val="000A24E8"/>
    <w:rsid w:val="000A255A"/>
    <w:rsid w:val="000A26EA"/>
    <w:rsid w:val="000A2709"/>
    <w:rsid w:val="000A2747"/>
    <w:rsid w:val="000A2845"/>
    <w:rsid w:val="000A2D8F"/>
    <w:rsid w:val="000A2F19"/>
    <w:rsid w:val="000A2FC4"/>
    <w:rsid w:val="000A317B"/>
    <w:rsid w:val="000A3284"/>
    <w:rsid w:val="000A3301"/>
    <w:rsid w:val="000A33A8"/>
    <w:rsid w:val="000A340B"/>
    <w:rsid w:val="000A3719"/>
    <w:rsid w:val="000A387B"/>
    <w:rsid w:val="000A408D"/>
    <w:rsid w:val="000A4228"/>
    <w:rsid w:val="000A42B3"/>
    <w:rsid w:val="000A4483"/>
    <w:rsid w:val="000A4921"/>
    <w:rsid w:val="000A4C36"/>
    <w:rsid w:val="000A52EF"/>
    <w:rsid w:val="000A53C6"/>
    <w:rsid w:val="000A556E"/>
    <w:rsid w:val="000A5C7B"/>
    <w:rsid w:val="000A5EC5"/>
    <w:rsid w:val="000A5FAD"/>
    <w:rsid w:val="000A6A02"/>
    <w:rsid w:val="000A7320"/>
    <w:rsid w:val="000A750E"/>
    <w:rsid w:val="000A7560"/>
    <w:rsid w:val="000A75E3"/>
    <w:rsid w:val="000B0269"/>
    <w:rsid w:val="000B0702"/>
    <w:rsid w:val="000B0804"/>
    <w:rsid w:val="000B0A7C"/>
    <w:rsid w:val="000B0F60"/>
    <w:rsid w:val="000B1024"/>
    <w:rsid w:val="000B1236"/>
    <w:rsid w:val="000B163A"/>
    <w:rsid w:val="000B1A00"/>
    <w:rsid w:val="000B1CA4"/>
    <w:rsid w:val="000B1D8F"/>
    <w:rsid w:val="000B1EF6"/>
    <w:rsid w:val="000B218D"/>
    <w:rsid w:val="000B2192"/>
    <w:rsid w:val="000B29A5"/>
    <w:rsid w:val="000B2A13"/>
    <w:rsid w:val="000B2EF9"/>
    <w:rsid w:val="000B304D"/>
    <w:rsid w:val="000B33C8"/>
    <w:rsid w:val="000B3406"/>
    <w:rsid w:val="000B3500"/>
    <w:rsid w:val="000B356B"/>
    <w:rsid w:val="000B37E3"/>
    <w:rsid w:val="000B3CF3"/>
    <w:rsid w:val="000B3D62"/>
    <w:rsid w:val="000B3DA5"/>
    <w:rsid w:val="000B3DDA"/>
    <w:rsid w:val="000B41A9"/>
    <w:rsid w:val="000B4320"/>
    <w:rsid w:val="000B45E2"/>
    <w:rsid w:val="000B4632"/>
    <w:rsid w:val="000B48DF"/>
    <w:rsid w:val="000B49AB"/>
    <w:rsid w:val="000B4F24"/>
    <w:rsid w:val="000B554A"/>
    <w:rsid w:val="000B55F8"/>
    <w:rsid w:val="000B5842"/>
    <w:rsid w:val="000B59CC"/>
    <w:rsid w:val="000B5A11"/>
    <w:rsid w:val="000B5C4A"/>
    <w:rsid w:val="000B5CA7"/>
    <w:rsid w:val="000B60E2"/>
    <w:rsid w:val="000B620D"/>
    <w:rsid w:val="000B66A2"/>
    <w:rsid w:val="000B6769"/>
    <w:rsid w:val="000B6A30"/>
    <w:rsid w:val="000B6B5E"/>
    <w:rsid w:val="000B6F27"/>
    <w:rsid w:val="000B7063"/>
    <w:rsid w:val="000B7240"/>
    <w:rsid w:val="000B7278"/>
    <w:rsid w:val="000B7674"/>
    <w:rsid w:val="000B7709"/>
    <w:rsid w:val="000B7732"/>
    <w:rsid w:val="000B79A9"/>
    <w:rsid w:val="000B7B04"/>
    <w:rsid w:val="000B7B31"/>
    <w:rsid w:val="000B7DEC"/>
    <w:rsid w:val="000C0205"/>
    <w:rsid w:val="000C03CC"/>
    <w:rsid w:val="000C041C"/>
    <w:rsid w:val="000C0743"/>
    <w:rsid w:val="000C0968"/>
    <w:rsid w:val="000C09BC"/>
    <w:rsid w:val="000C0A26"/>
    <w:rsid w:val="000C1250"/>
    <w:rsid w:val="000C1433"/>
    <w:rsid w:val="000C1706"/>
    <w:rsid w:val="000C18BD"/>
    <w:rsid w:val="000C1C1C"/>
    <w:rsid w:val="000C1DC8"/>
    <w:rsid w:val="000C1DD1"/>
    <w:rsid w:val="000C21FC"/>
    <w:rsid w:val="000C22A8"/>
    <w:rsid w:val="000C24D7"/>
    <w:rsid w:val="000C24FA"/>
    <w:rsid w:val="000C2A15"/>
    <w:rsid w:val="000C2A68"/>
    <w:rsid w:val="000C2F22"/>
    <w:rsid w:val="000C3070"/>
    <w:rsid w:val="000C3194"/>
    <w:rsid w:val="000C31F6"/>
    <w:rsid w:val="000C3687"/>
    <w:rsid w:val="000C3B9D"/>
    <w:rsid w:val="000C3C19"/>
    <w:rsid w:val="000C3C77"/>
    <w:rsid w:val="000C3EDC"/>
    <w:rsid w:val="000C4120"/>
    <w:rsid w:val="000C42DA"/>
    <w:rsid w:val="000C439A"/>
    <w:rsid w:val="000C43A8"/>
    <w:rsid w:val="000C467B"/>
    <w:rsid w:val="000C467F"/>
    <w:rsid w:val="000C47F2"/>
    <w:rsid w:val="000C4AC9"/>
    <w:rsid w:val="000C4BFF"/>
    <w:rsid w:val="000C4C49"/>
    <w:rsid w:val="000C4D15"/>
    <w:rsid w:val="000C4F85"/>
    <w:rsid w:val="000C5172"/>
    <w:rsid w:val="000C51F9"/>
    <w:rsid w:val="000C53A7"/>
    <w:rsid w:val="000C5420"/>
    <w:rsid w:val="000C5454"/>
    <w:rsid w:val="000C54CC"/>
    <w:rsid w:val="000C5648"/>
    <w:rsid w:val="000C569D"/>
    <w:rsid w:val="000C594F"/>
    <w:rsid w:val="000C5A4B"/>
    <w:rsid w:val="000C5A95"/>
    <w:rsid w:val="000C62EB"/>
    <w:rsid w:val="000C662A"/>
    <w:rsid w:val="000C66B3"/>
    <w:rsid w:val="000C6B6F"/>
    <w:rsid w:val="000C6C7B"/>
    <w:rsid w:val="000C6DBD"/>
    <w:rsid w:val="000C7019"/>
    <w:rsid w:val="000C7721"/>
    <w:rsid w:val="000C773E"/>
    <w:rsid w:val="000C77B5"/>
    <w:rsid w:val="000C77D0"/>
    <w:rsid w:val="000C7859"/>
    <w:rsid w:val="000C7875"/>
    <w:rsid w:val="000C794B"/>
    <w:rsid w:val="000C79A4"/>
    <w:rsid w:val="000C7A6D"/>
    <w:rsid w:val="000C7A9D"/>
    <w:rsid w:val="000C7AE5"/>
    <w:rsid w:val="000C7B2B"/>
    <w:rsid w:val="000C7B33"/>
    <w:rsid w:val="000C7CF8"/>
    <w:rsid w:val="000C7F72"/>
    <w:rsid w:val="000C7F99"/>
    <w:rsid w:val="000D0326"/>
    <w:rsid w:val="000D0570"/>
    <w:rsid w:val="000D0C31"/>
    <w:rsid w:val="000D0CE6"/>
    <w:rsid w:val="000D0F1E"/>
    <w:rsid w:val="000D1001"/>
    <w:rsid w:val="000D1146"/>
    <w:rsid w:val="000D1410"/>
    <w:rsid w:val="000D1574"/>
    <w:rsid w:val="000D1852"/>
    <w:rsid w:val="000D1887"/>
    <w:rsid w:val="000D1D20"/>
    <w:rsid w:val="000D216E"/>
    <w:rsid w:val="000D2319"/>
    <w:rsid w:val="000D256C"/>
    <w:rsid w:val="000D2EF4"/>
    <w:rsid w:val="000D3168"/>
    <w:rsid w:val="000D317D"/>
    <w:rsid w:val="000D3185"/>
    <w:rsid w:val="000D3A05"/>
    <w:rsid w:val="000D3F37"/>
    <w:rsid w:val="000D467F"/>
    <w:rsid w:val="000D4AA1"/>
    <w:rsid w:val="000D4C00"/>
    <w:rsid w:val="000D5125"/>
    <w:rsid w:val="000D51CE"/>
    <w:rsid w:val="000D539B"/>
    <w:rsid w:val="000D53C6"/>
    <w:rsid w:val="000D5A55"/>
    <w:rsid w:val="000D5A6B"/>
    <w:rsid w:val="000D5AA5"/>
    <w:rsid w:val="000D5B45"/>
    <w:rsid w:val="000D5E2E"/>
    <w:rsid w:val="000D5ECF"/>
    <w:rsid w:val="000D5FF7"/>
    <w:rsid w:val="000D616F"/>
    <w:rsid w:val="000D61FC"/>
    <w:rsid w:val="000D6567"/>
    <w:rsid w:val="000D6726"/>
    <w:rsid w:val="000D6ADD"/>
    <w:rsid w:val="000D6B72"/>
    <w:rsid w:val="000D7054"/>
    <w:rsid w:val="000D72C4"/>
    <w:rsid w:val="000D7302"/>
    <w:rsid w:val="000D7540"/>
    <w:rsid w:val="000D75CA"/>
    <w:rsid w:val="000D7761"/>
    <w:rsid w:val="000D776A"/>
    <w:rsid w:val="000D78E1"/>
    <w:rsid w:val="000D7E6F"/>
    <w:rsid w:val="000E03C1"/>
    <w:rsid w:val="000E03E1"/>
    <w:rsid w:val="000E055E"/>
    <w:rsid w:val="000E05BA"/>
    <w:rsid w:val="000E0659"/>
    <w:rsid w:val="000E074C"/>
    <w:rsid w:val="000E0780"/>
    <w:rsid w:val="000E0885"/>
    <w:rsid w:val="000E09DD"/>
    <w:rsid w:val="000E0D02"/>
    <w:rsid w:val="000E0D9B"/>
    <w:rsid w:val="000E0F34"/>
    <w:rsid w:val="000E11C9"/>
    <w:rsid w:val="000E142D"/>
    <w:rsid w:val="000E1803"/>
    <w:rsid w:val="000E1A4B"/>
    <w:rsid w:val="000E1B29"/>
    <w:rsid w:val="000E1B76"/>
    <w:rsid w:val="000E1CD7"/>
    <w:rsid w:val="000E25EB"/>
    <w:rsid w:val="000E272B"/>
    <w:rsid w:val="000E27BA"/>
    <w:rsid w:val="000E27D2"/>
    <w:rsid w:val="000E2816"/>
    <w:rsid w:val="000E2AF2"/>
    <w:rsid w:val="000E2E79"/>
    <w:rsid w:val="000E2F06"/>
    <w:rsid w:val="000E3428"/>
    <w:rsid w:val="000E3437"/>
    <w:rsid w:val="000E350B"/>
    <w:rsid w:val="000E3660"/>
    <w:rsid w:val="000E37AB"/>
    <w:rsid w:val="000E43AD"/>
    <w:rsid w:val="000E4679"/>
    <w:rsid w:val="000E4890"/>
    <w:rsid w:val="000E495B"/>
    <w:rsid w:val="000E4A21"/>
    <w:rsid w:val="000E4A35"/>
    <w:rsid w:val="000E4C4E"/>
    <w:rsid w:val="000E4F0D"/>
    <w:rsid w:val="000E4F35"/>
    <w:rsid w:val="000E4F3C"/>
    <w:rsid w:val="000E536E"/>
    <w:rsid w:val="000E546A"/>
    <w:rsid w:val="000E5615"/>
    <w:rsid w:val="000E5701"/>
    <w:rsid w:val="000E5819"/>
    <w:rsid w:val="000E5890"/>
    <w:rsid w:val="000E59C2"/>
    <w:rsid w:val="000E5C30"/>
    <w:rsid w:val="000E639C"/>
    <w:rsid w:val="000E65CC"/>
    <w:rsid w:val="000E6BAD"/>
    <w:rsid w:val="000E71A2"/>
    <w:rsid w:val="000E7496"/>
    <w:rsid w:val="000E753B"/>
    <w:rsid w:val="000E7A4D"/>
    <w:rsid w:val="000E7A6D"/>
    <w:rsid w:val="000E7CC0"/>
    <w:rsid w:val="000E7D4B"/>
    <w:rsid w:val="000E7EE5"/>
    <w:rsid w:val="000F03D1"/>
    <w:rsid w:val="000F03F1"/>
    <w:rsid w:val="000F0674"/>
    <w:rsid w:val="000F06B7"/>
    <w:rsid w:val="000F0CB4"/>
    <w:rsid w:val="000F0D3C"/>
    <w:rsid w:val="000F0DAD"/>
    <w:rsid w:val="000F10F9"/>
    <w:rsid w:val="000F1335"/>
    <w:rsid w:val="000F13E2"/>
    <w:rsid w:val="000F146E"/>
    <w:rsid w:val="000F167F"/>
    <w:rsid w:val="000F1789"/>
    <w:rsid w:val="000F1905"/>
    <w:rsid w:val="000F1C1F"/>
    <w:rsid w:val="000F2469"/>
    <w:rsid w:val="000F24C1"/>
    <w:rsid w:val="000F24D1"/>
    <w:rsid w:val="000F2502"/>
    <w:rsid w:val="000F27F8"/>
    <w:rsid w:val="000F28E6"/>
    <w:rsid w:val="000F2BEF"/>
    <w:rsid w:val="000F2E88"/>
    <w:rsid w:val="000F2EAD"/>
    <w:rsid w:val="000F2F50"/>
    <w:rsid w:val="000F317E"/>
    <w:rsid w:val="000F3354"/>
    <w:rsid w:val="000F35BB"/>
    <w:rsid w:val="000F3736"/>
    <w:rsid w:val="000F3953"/>
    <w:rsid w:val="000F404F"/>
    <w:rsid w:val="000F4065"/>
    <w:rsid w:val="000F40F9"/>
    <w:rsid w:val="000F4341"/>
    <w:rsid w:val="000F43C2"/>
    <w:rsid w:val="000F44C1"/>
    <w:rsid w:val="000F4636"/>
    <w:rsid w:val="000F4753"/>
    <w:rsid w:val="000F480F"/>
    <w:rsid w:val="000F49A9"/>
    <w:rsid w:val="000F4CA4"/>
    <w:rsid w:val="000F4E3A"/>
    <w:rsid w:val="000F4E70"/>
    <w:rsid w:val="000F4EAC"/>
    <w:rsid w:val="000F5004"/>
    <w:rsid w:val="000F50B0"/>
    <w:rsid w:val="000F53F4"/>
    <w:rsid w:val="000F58EA"/>
    <w:rsid w:val="000F59AC"/>
    <w:rsid w:val="000F59E8"/>
    <w:rsid w:val="000F5AB7"/>
    <w:rsid w:val="000F5B07"/>
    <w:rsid w:val="000F5B92"/>
    <w:rsid w:val="000F5BEE"/>
    <w:rsid w:val="000F5E3D"/>
    <w:rsid w:val="000F65B4"/>
    <w:rsid w:val="000F66E7"/>
    <w:rsid w:val="000F69DA"/>
    <w:rsid w:val="000F6A2C"/>
    <w:rsid w:val="000F6CAB"/>
    <w:rsid w:val="000F6DF9"/>
    <w:rsid w:val="000F6FE9"/>
    <w:rsid w:val="000F700D"/>
    <w:rsid w:val="000F7164"/>
    <w:rsid w:val="000F756C"/>
    <w:rsid w:val="000F7660"/>
    <w:rsid w:val="000F7D96"/>
    <w:rsid w:val="000F7F15"/>
    <w:rsid w:val="000F7FB6"/>
    <w:rsid w:val="0010032D"/>
    <w:rsid w:val="001005B9"/>
    <w:rsid w:val="001008B4"/>
    <w:rsid w:val="001008EB"/>
    <w:rsid w:val="00100923"/>
    <w:rsid w:val="001009CA"/>
    <w:rsid w:val="00100D04"/>
    <w:rsid w:val="001011D7"/>
    <w:rsid w:val="0010197A"/>
    <w:rsid w:val="00101BC2"/>
    <w:rsid w:val="00101BC7"/>
    <w:rsid w:val="00102272"/>
    <w:rsid w:val="00102495"/>
    <w:rsid w:val="0010262D"/>
    <w:rsid w:val="00102734"/>
    <w:rsid w:val="0010277E"/>
    <w:rsid w:val="00102788"/>
    <w:rsid w:val="00102B52"/>
    <w:rsid w:val="00102CD1"/>
    <w:rsid w:val="00102EB9"/>
    <w:rsid w:val="00102F4D"/>
    <w:rsid w:val="0010331D"/>
    <w:rsid w:val="001033D9"/>
    <w:rsid w:val="00103860"/>
    <w:rsid w:val="00103CB8"/>
    <w:rsid w:val="00103ED2"/>
    <w:rsid w:val="00103F90"/>
    <w:rsid w:val="00104491"/>
    <w:rsid w:val="0010452C"/>
    <w:rsid w:val="001045D1"/>
    <w:rsid w:val="00104643"/>
    <w:rsid w:val="00104647"/>
    <w:rsid w:val="001046E8"/>
    <w:rsid w:val="001047A5"/>
    <w:rsid w:val="00104953"/>
    <w:rsid w:val="00104B12"/>
    <w:rsid w:val="00104B47"/>
    <w:rsid w:val="00104C0C"/>
    <w:rsid w:val="00105022"/>
    <w:rsid w:val="0010527B"/>
    <w:rsid w:val="00105324"/>
    <w:rsid w:val="0010559F"/>
    <w:rsid w:val="0010564D"/>
    <w:rsid w:val="0010599C"/>
    <w:rsid w:val="00105A1D"/>
    <w:rsid w:val="00106030"/>
    <w:rsid w:val="001062B1"/>
    <w:rsid w:val="00106531"/>
    <w:rsid w:val="00106B28"/>
    <w:rsid w:val="001071FE"/>
    <w:rsid w:val="0010747F"/>
    <w:rsid w:val="00107626"/>
    <w:rsid w:val="001078B0"/>
    <w:rsid w:val="001078CA"/>
    <w:rsid w:val="00107974"/>
    <w:rsid w:val="00107BD4"/>
    <w:rsid w:val="00107CCE"/>
    <w:rsid w:val="00107D84"/>
    <w:rsid w:val="00107F93"/>
    <w:rsid w:val="00107FB3"/>
    <w:rsid w:val="00110185"/>
    <w:rsid w:val="0011018B"/>
    <w:rsid w:val="0011026F"/>
    <w:rsid w:val="001105EF"/>
    <w:rsid w:val="00110738"/>
    <w:rsid w:val="001107EF"/>
    <w:rsid w:val="00110934"/>
    <w:rsid w:val="00110ABA"/>
    <w:rsid w:val="0011115F"/>
    <w:rsid w:val="0011129B"/>
    <w:rsid w:val="001113CC"/>
    <w:rsid w:val="00111403"/>
    <w:rsid w:val="00111434"/>
    <w:rsid w:val="00111603"/>
    <w:rsid w:val="00111682"/>
    <w:rsid w:val="0011168B"/>
    <w:rsid w:val="001116E9"/>
    <w:rsid w:val="00111D70"/>
    <w:rsid w:val="00111F24"/>
    <w:rsid w:val="00111FB5"/>
    <w:rsid w:val="001120B0"/>
    <w:rsid w:val="001121A4"/>
    <w:rsid w:val="0011231C"/>
    <w:rsid w:val="001125E8"/>
    <w:rsid w:val="0011260A"/>
    <w:rsid w:val="001129A2"/>
    <w:rsid w:val="00112A66"/>
    <w:rsid w:val="00112C73"/>
    <w:rsid w:val="00112C89"/>
    <w:rsid w:val="00112DB2"/>
    <w:rsid w:val="00113A5D"/>
    <w:rsid w:val="00113D38"/>
    <w:rsid w:val="00113DF8"/>
    <w:rsid w:val="00113E2A"/>
    <w:rsid w:val="001140F4"/>
    <w:rsid w:val="001141DF"/>
    <w:rsid w:val="00114273"/>
    <w:rsid w:val="001142E8"/>
    <w:rsid w:val="001147F2"/>
    <w:rsid w:val="00114879"/>
    <w:rsid w:val="00114B8D"/>
    <w:rsid w:val="00114DBC"/>
    <w:rsid w:val="00114E51"/>
    <w:rsid w:val="00114EC6"/>
    <w:rsid w:val="001154BF"/>
    <w:rsid w:val="001159F5"/>
    <w:rsid w:val="00115A28"/>
    <w:rsid w:val="00115EDE"/>
    <w:rsid w:val="001160F9"/>
    <w:rsid w:val="00116119"/>
    <w:rsid w:val="0011639D"/>
    <w:rsid w:val="001164DE"/>
    <w:rsid w:val="0011673E"/>
    <w:rsid w:val="0011674A"/>
    <w:rsid w:val="00116761"/>
    <w:rsid w:val="001169BC"/>
    <w:rsid w:val="0011735A"/>
    <w:rsid w:val="00117697"/>
    <w:rsid w:val="00117996"/>
    <w:rsid w:val="00117A81"/>
    <w:rsid w:val="001200A3"/>
    <w:rsid w:val="001202F4"/>
    <w:rsid w:val="00120549"/>
    <w:rsid w:val="00120E7C"/>
    <w:rsid w:val="00120EBE"/>
    <w:rsid w:val="001213DB"/>
    <w:rsid w:val="00121B10"/>
    <w:rsid w:val="00121B25"/>
    <w:rsid w:val="00121B61"/>
    <w:rsid w:val="00121C6A"/>
    <w:rsid w:val="00121E98"/>
    <w:rsid w:val="00121E99"/>
    <w:rsid w:val="00122057"/>
    <w:rsid w:val="001221F3"/>
    <w:rsid w:val="001228A8"/>
    <w:rsid w:val="001228F2"/>
    <w:rsid w:val="0012328B"/>
    <w:rsid w:val="00123582"/>
    <w:rsid w:val="001236DF"/>
    <w:rsid w:val="001237CC"/>
    <w:rsid w:val="00123CC0"/>
    <w:rsid w:val="0012435C"/>
    <w:rsid w:val="00124903"/>
    <w:rsid w:val="00124F84"/>
    <w:rsid w:val="001252D5"/>
    <w:rsid w:val="0012556E"/>
    <w:rsid w:val="001255A3"/>
    <w:rsid w:val="00125716"/>
    <w:rsid w:val="00125803"/>
    <w:rsid w:val="001259C8"/>
    <w:rsid w:val="00125B50"/>
    <w:rsid w:val="00125F20"/>
    <w:rsid w:val="0012600F"/>
    <w:rsid w:val="001260FE"/>
    <w:rsid w:val="00126333"/>
    <w:rsid w:val="001264F1"/>
    <w:rsid w:val="00126534"/>
    <w:rsid w:val="00126606"/>
    <w:rsid w:val="0012691A"/>
    <w:rsid w:val="00126E6E"/>
    <w:rsid w:val="00126E99"/>
    <w:rsid w:val="00126FFC"/>
    <w:rsid w:val="00127080"/>
    <w:rsid w:val="001270E0"/>
    <w:rsid w:val="0012725C"/>
    <w:rsid w:val="0012730D"/>
    <w:rsid w:val="00127618"/>
    <w:rsid w:val="00127AC4"/>
    <w:rsid w:val="00127ED4"/>
    <w:rsid w:val="001300D5"/>
    <w:rsid w:val="001301F6"/>
    <w:rsid w:val="00130379"/>
    <w:rsid w:val="001304D7"/>
    <w:rsid w:val="0013087D"/>
    <w:rsid w:val="00130C84"/>
    <w:rsid w:val="00130E8A"/>
    <w:rsid w:val="00130FC3"/>
    <w:rsid w:val="00131170"/>
    <w:rsid w:val="00131511"/>
    <w:rsid w:val="00131645"/>
    <w:rsid w:val="001316B7"/>
    <w:rsid w:val="00131985"/>
    <w:rsid w:val="0013199B"/>
    <w:rsid w:val="00131CCF"/>
    <w:rsid w:val="00132033"/>
    <w:rsid w:val="001325FD"/>
    <w:rsid w:val="00132731"/>
    <w:rsid w:val="00132BB5"/>
    <w:rsid w:val="00132C1A"/>
    <w:rsid w:val="00132EDC"/>
    <w:rsid w:val="00132F0C"/>
    <w:rsid w:val="00132F58"/>
    <w:rsid w:val="0013309A"/>
    <w:rsid w:val="00133203"/>
    <w:rsid w:val="00133249"/>
    <w:rsid w:val="00133536"/>
    <w:rsid w:val="001343FD"/>
    <w:rsid w:val="001344DA"/>
    <w:rsid w:val="00134808"/>
    <w:rsid w:val="00134AA5"/>
    <w:rsid w:val="00134ABD"/>
    <w:rsid w:val="00134BFA"/>
    <w:rsid w:val="0013520C"/>
    <w:rsid w:val="001354B9"/>
    <w:rsid w:val="00135558"/>
    <w:rsid w:val="001355BB"/>
    <w:rsid w:val="001356F1"/>
    <w:rsid w:val="00135848"/>
    <w:rsid w:val="001358AC"/>
    <w:rsid w:val="00135911"/>
    <w:rsid w:val="00135B56"/>
    <w:rsid w:val="00135FFD"/>
    <w:rsid w:val="001362A8"/>
    <w:rsid w:val="00136676"/>
    <w:rsid w:val="00136C58"/>
    <w:rsid w:val="00136D0E"/>
    <w:rsid w:val="00136D32"/>
    <w:rsid w:val="00136EDD"/>
    <w:rsid w:val="00136FCB"/>
    <w:rsid w:val="001371D6"/>
    <w:rsid w:val="001378A6"/>
    <w:rsid w:val="00137BE9"/>
    <w:rsid w:val="00140016"/>
    <w:rsid w:val="00140119"/>
    <w:rsid w:val="00140451"/>
    <w:rsid w:val="001405D8"/>
    <w:rsid w:val="00140605"/>
    <w:rsid w:val="0014061B"/>
    <w:rsid w:val="00140E88"/>
    <w:rsid w:val="00140F89"/>
    <w:rsid w:val="00141696"/>
    <w:rsid w:val="001417BA"/>
    <w:rsid w:val="001419B1"/>
    <w:rsid w:val="00141A12"/>
    <w:rsid w:val="00141CBB"/>
    <w:rsid w:val="00141F1A"/>
    <w:rsid w:val="00142205"/>
    <w:rsid w:val="0014228A"/>
    <w:rsid w:val="00142386"/>
    <w:rsid w:val="001425B6"/>
    <w:rsid w:val="0014277A"/>
    <w:rsid w:val="001427BA"/>
    <w:rsid w:val="001429E1"/>
    <w:rsid w:val="00142C7A"/>
    <w:rsid w:val="00142D55"/>
    <w:rsid w:val="001437B7"/>
    <w:rsid w:val="0014387E"/>
    <w:rsid w:val="0014391E"/>
    <w:rsid w:val="0014392F"/>
    <w:rsid w:val="00143B1B"/>
    <w:rsid w:val="00143D18"/>
    <w:rsid w:val="00143F97"/>
    <w:rsid w:val="0014414B"/>
    <w:rsid w:val="00145192"/>
    <w:rsid w:val="00145763"/>
    <w:rsid w:val="00145833"/>
    <w:rsid w:val="00145895"/>
    <w:rsid w:val="00145C7D"/>
    <w:rsid w:val="00145F2E"/>
    <w:rsid w:val="00145FBA"/>
    <w:rsid w:val="00146756"/>
    <w:rsid w:val="00146947"/>
    <w:rsid w:val="00146A28"/>
    <w:rsid w:val="00146BC2"/>
    <w:rsid w:val="00146D68"/>
    <w:rsid w:val="00146E61"/>
    <w:rsid w:val="00146E6C"/>
    <w:rsid w:val="00146FD7"/>
    <w:rsid w:val="00147175"/>
    <w:rsid w:val="001473C5"/>
    <w:rsid w:val="0014752D"/>
    <w:rsid w:val="00147C34"/>
    <w:rsid w:val="00147C3C"/>
    <w:rsid w:val="00147D8B"/>
    <w:rsid w:val="00147F93"/>
    <w:rsid w:val="0015008B"/>
    <w:rsid w:val="001502B8"/>
    <w:rsid w:val="0015039E"/>
    <w:rsid w:val="00150644"/>
    <w:rsid w:val="001509AB"/>
    <w:rsid w:val="00150A55"/>
    <w:rsid w:val="00150D6B"/>
    <w:rsid w:val="00150EDE"/>
    <w:rsid w:val="00151146"/>
    <w:rsid w:val="00151472"/>
    <w:rsid w:val="0015190E"/>
    <w:rsid w:val="001519B3"/>
    <w:rsid w:val="00151AE0"/>
    <w:rsid w:val="00151E9A"/>
    <w:rsid w:val="00152070"/>
    <w:rsid w:val="0015233B"/>
    <w:rsid w:val="0015254A"/>
    <w:rsid w:val="0015256C"/>
    <w:rsid w:val="0015261E"/>
    <w:rsid w:val="00152B43"/>
    <w:rsid w:val="00152B88"/>
    <w:rsid w:val="00152B8D"/>
    <w:rsid w:val="00152D03"/>
    <w:rsid w:val="001532C7"/>
    <w:rsid w:val="00153430"/>
    <w:rsid w:val="00153793"/>
    <w:rsid w:val="00153DFA"/>
    <w:rsid w:val="00153F07"/>
    <w:rsid w:val="00153F4D"/>
    <w:rsid w:val="00153F66"/>
    <w:rsid w:val="00153F72"/>
    <w:rsid w:val="0015428E"/>
    <w:rsid w:val="00154503"/>
    <w:rsid w:val="001546D4"/>
    <w:rsid w:val="001549CA"/>
    <w:rsid w:val="0015522C"/>
    <w:rsid w:val="001552AD"/>
    <w:rsid w:val="001552B8"/>
    <w:rsid w:val="001553EF"/>
    <w:rsid w:val="00155507"/>
    <w:rsid w:val="0015579E"/>
    <w:rsid w:val="0015586E"/>
    <w:rsid w:val="001560A5"/>
    <w:rsid w:val="001562EE"/>
    <w:rsid w:val="001564F6"/>
    <w:rsid w:val="00156898"/>
    <w:rsid w:val="00156A20"/>
    <w:rsid w:val="00156E3D"/>
    <w:rsid w:val="00156EBE"/>
    <w:rsid w:val="00156F03"/>
    <w:rsid w:val="00157270"/>
    <w:rsid w:val="00157276"/>
    <w:rsid w:val="00157531"/>
    <w:rsid w:val="00157A05"/>
    <w:rsid w:val="00157B7C"/>
    <w:rsid w:val="00160000"/>
    <w:rsid w:val="001603AA"/>
    <w:rsid w:val="001605C4"/>
    <w:rsid w:val="00160894"/>
    <w:rsid w:val="00160B14"/>
    <w:rsid w:val="00161358"/>
    <w:rsid w:val="001614D5"/>
    <w:rsid w:val="0016161B"/>
    <w:rsid w:val="0016199B"/>
    <w:rsid w:val="00161A71"/>
    <w:rsid w:val="00161C18"/>
    <w:rsid w:val="0016230F"/>
    <w:rsid w:val="0016257E"/>
    <w:rsid w:val="001629E0"/>
    <w:rsid w:val="00162AB7"/>
    <w:rsid w:val="00162D69"/>
    <w:rsid w:val="0016306A"/>
    <w:rsid w:val="00163164"/>
    <w:rsid w:val="001631D0"/>
    <w:rsid w:val="001633F1"/>
    <w:rsid w:val="00163573"/>
    <w:rsid w:val="00163598"/>
    <w:rsid w:val="001635BB"/>
    <w:rsid w:val="00163918"/>
    <w:rsid w:val="00163997"/>
    <w:rsid w:val="00163C39"/>
    <w:rsid w:val="00163F4C"/>
    <w:rsid w:val="001640B4"/>
    <w:rsid w:val="00164339"/>
    <w:rsid w:val="00164452"/>
    <w:rsid w:val="0016447A"/>
    <w:rsid w:val="00164B4E"/>
    <w:rsid w:val="00165079"/>
    <w:rsid w:val="00165085"/>
    <w:rsid w:val="00165909"/>
    <w:rsid w:val="00165D68"/>
    <w:rsid w:val="00165E3F"/>
    <w:rsid w:val="00165ECB"/>
    <w:rsid w:val="001661E5"/>
    <w:rsid w:val="001661EF"/>
    <w:rsid w:val="00166392"/>
    <w:rsid w:val="001664E1"/>
    <w:rsid w:val="00166556"/>
    <w:rsid w:val="001668C7"/>
    <w:rsid w:val="00166902"/>
    <w:rsid w:val="001669C0"/>
    <w:rsid w:val="001669E3"/>
    <w:rsid w:val="00166A81"/>
    <w:rsid w:val="00166ABE"/>
    <w:rsid w:val="0016701A"/>
    <w:rsid w:val="0016707E"/>
    <w:rsid w:val="00167101"/>
    <w:rsid w:val="001672E5"/>
    <w:rsid w:val="00167375"/>
    <w:rsid w:val="0016762A"/>
    <w:rsid w:val="001677D6"/>
    <w:rsid w:val="001679EB"/>
    <w:rsid w:val="00167ADF"/>
    <w:rsid w:val="00167B4B"/>
    <w:rsid w:val="00167CE6"/>
    <w:rsid w:val="00167FEB"/>
    <w:rsid w:val="0017004B"/>
    <w:rsid w:val="001702A6"/>
    <w:rsid w:val="0017083C"/>
    <w:rsid w:val="00170856"/>
    <w:rsid w:val="00170ACA"/>
    <w:rsid w:val="00170AF7"/>
    <w:rsid w:val="00170F2B"/>
    <w:rsid w:val="001710A5"/>
    <w:rsid w:val="0017115F"/>
    <w:rsid w:val="00171257"/>
    <w:rsid w:val="00171404"/>
    <w:rsid w:val="00171407"/>
    <w:rsid w:val="0017145C"/>
    <w:rsid w:val="00171A70"/>
    <w:rsid w:val="00171A94"/>
    <w:rsid w:val="00171AE7"/>
    <w:rsid w:val="00171D11"/>
    <w:rsid w:val="00171F97"/>
    <w:rsid w:val="00172287"/>
    <w:rsid w:val="001724D3"/>
    <w:rsid w:val="00172690"/>
    <w:rsid w:val="001729F8"/>
    <w:rsid w:val="00172AED"/>
    <w:rsid w:val="00172BC3"/>
    <w:rsid w:val="00172CEC"/>
    <w:rsid w:val="00173135"/>
    <w:rsid w:val="0017321A"/>
    <w:rsid w:val="00173232"/>
    <w:rsid w:val="001737BB"/>
    <w:rsid w:val="001739E9"/>
    <w:rsid w:val="00173D9F"/>
    <w:rsid w:val="00173FBB"/>
    <w:rsid w:val="00173FCB"/>
    <w:rsid w:val="0017414D"/>
    <w:rsid w:val="00174176"/>
    <w:rsid w:val="00174184"/>
    <w:rsid w:val="001743AD"/>
    <w:rsid w:val="00174429"/>
    <w:rsid w:val="00174630"/>
    <w:rsid w:val="001746DE"/>
    <w:rsid w:val="00174772"/>
    <w:rsid w:val="001748C2"/>
    <w:rsid w:val="00174AF2"/>
    <w:rsid w:val="00174CD1"/>
    <w:rsid w:val="00174FF4"/>
    <w:rsid w:val="001751A8"/>
    <w:rsid w:val="001751F3"/>
    <w:rsid w:val="00175455"/>
    <w:rsid w:val="0017557B"/>
    <w:rsid w:val="001756E3"/>
    <w:rsid w:val="00175916"/>
    <w:rsid w:val="00175CB7"/>
    <w:rsid w:val="00175E0E"/>
    <w:rsid w:val="00175EE3"/>
    <w:rsid w:val="00175F33"/>
    <w:rsid w:val="00176041"/>
    <w:rsid w:val="00176241"/>
    <w:rsid w:val="00176610"/>
    <w:rsid w:val="001766FD"/>
    <w:rsid w:val="001769E2"/>
    <w:rsid w:val="00176B8A"/>
    <w:rsid w:val="00177244"/>
    <w:rsid w:val="001773E0"/>
    <w:rsid w:val="001773FD"/>
    <w:rsid w:val="00177422"/>
    <w:rsid w:val="0017763C"/>
    <w:rsid w:val="001776D5"/>
    <w:rsid w:val="00177785"/>
    <w:rsid w:val="001779AC"/>
    <w:rsid w:val="00177ABD"/>
    <w:rsid w:val="00177DF7"/>
    <w:rsid w:val="00177EFD"/>
    <w:rsid w:val="0018005C"/>
    <w:rsid w:val="001803CE"/>
    <w:rsid w:val="0018042A"/>
    <w:rsid w:val="00180AC9"/>
    <w:rsid w:val="00180AD3"/>
    <w:rsid w:val="00180FA1"/>
    <w:rsid w:val="00180FAE"/>
    <w:rsid w:val="00181158"/>
    <w:rsid w:val="001818C2"/>
    <w:rsid w:val="001819BA"/>
    <w:rsid w:val="00181C29"/>
    <w:rsid w:val="00181C95"/>
    <w:rsid w:val="00181D95"/>
    <w:rsid w:val="00181E29"/>
    <w:rsid w:val="001820A9"/>
    <w:rsid w:val="00182212"/>
    <w:rsid w:val="0018281A"/>
    <w:rsid w:val="00182862"/>
    <w:rsid w:val="0018295A"/>
    <w:rsid w:val="00182A34"/>
    <w:rsid w:val="00182AC1"/>
    <w:rsid w:val="00182C15"/>
    <w:rsid w:val="00182DEA"/>
    <w:rsid w:val="00182F7F"/>
    <w:rsid w:val="0018339F"/>
    <w:rsid w:val="001836B8"/>
    <w:rsid w:val="00183C17"/>
    <w:rsid w:val="00183CDE"/>
    <w:rsid w:val="001842D6"/>
    <w:rsid w:val="00184577"/>
    <w:rsid w:val="001845C8"/>
    <w:rsid w:val="00184A8D"/>
    <w:rsid w:val="00184EEE"/>
    <w:rsid w:val="001855C0"/>
    <w:rsid w:val="00185636"/>
    <w:rsid w:val="0018569D"/>
    <w:rsid w:val="00185749"/>
    <w:rsid w:val="0018593C"/>
    <w:rsid w:val="00185C04"/>
    <w:rsid w:val="00185C98"/>
    <w:rsid w:val="001862FA"/>
    <w:rsid w:val="00186317"/>
    <w:rsid w:val="00186C1E"/>
    <w:rsid w:val="00186D28"/>
    <w:rsid w:val="00186F15"/>
    <w:rsid w:val="001872FD"/>
    <w:rsid w:val="0018769D"/>
    <w:rsid w:val="001879CF"/>
    <w:rsid w:val="00187B86"/>
    <w:rsid w:val="00187C11"/>
    <w:rsid w:val="00187F40"/>
    <w:rsid w:val="00187F41"/>
    <w:rsid w:val="0019005D"/>
    <w:rsid w:val="00190147"/>
    <w:rsid w:val="0019035F"/>
    <w:rsid w:val="001904A5"/>
    <w:rsid w:val="001904A9"/>
    <w:rsid w:val="001905DD"/>
    <w:rsid w:val="001907C9"/>
    <w:rsid w:val="0019092C"/>
    <w:rsid w:val="00190CBE"/>
    <w:rsid w:val="00190D95"/>
    <w:rsid w:val="00190EDC"/>
    <w:rsid w:val="00190EDE"/>
    <w:rsid w:val="00191172"/>
    <w:rsid w:val="00191659"/>
    <w:rsid w:val="001916D7"/>
    <w:rsid w:val="001919FC"/>
    <w:rsid w:val="00191A25"/>
    <w:rsid w:val="0019256B"/>
    <w:rsid w:val="00192BD2"/>
    <w:rsid w:val="0019307B"/>
    <w:rsid w:val="00193562"/>
    <w:rsid w:val="001936E3"/>
    <w:rsid w:val="00193936"/>
    <w:rsid w:val="001939A7"/>
    <w:rsid w:val="00193C9B"/>
    <w:rsid w:val="0019409E"/>
    <w:rsid w:val="0019410A"/>
    <w:rsid w:val="001943F1"/>
    <w:rsid w:val="00194853"/>
    <w:rsid w:val="00194C40"/>
    <w:rsid w:val="00194C87"/>
    <w:rsid w:val="00195441"/>
    <w:rsid w:val="001956F7"/>
    <w:rsid w:val="00195D1B"/>
    <w:rsid w:val="00195F0A"/>
    <w:rsid w:val="00195FE0"/>
    <w:rsid w:val="00196608"/>
    <w:rsid w:val="00196C3E"/>
    <w:rsid w:val="00196D88"/>
    <w:rsid w:val="00196DBE"/>
    <w:rsid w:val="001971DD"/>
    <w:rsid w:val="001972FF"/>
    <w:rsid w:val="0019765D"/>
    <w:rsid w:val="00197B93"/>
    <w:rsid w:val="00197CB5"/>
    <w:rsid w:val="00197D6F"/>
    <w:rsid w:val="00197E7A"/>
    <w:rsid w:val="001A0328"/>
    <w:rsid w:val="001A04F6"/>
    <w:rsid w:val="001A0745"/>
    <w:rsid w:val="001A0C92"/>
    <w:rsid w:val="001A0D1D"/>
    <w:rsid w:val="001A0F40"/>
    <w:rsid w:val="001A148D"/>
    <w:rsid w:val="001A15E2"/>
    <w:rsid w:val="001A179F"/>
    <w:rsid w:val="001A1D43"/>
    <w:rsid w:val="001A1D52"/>
    <w:rsid w:val="001A1E65"/>
    <w:rsid w:val="001A1E73"/>
    <w:rsid w:val="001A21FC"/>
    <w:rsid w:val="001A22B7"/>
    <w:rsid w:val="001A22F4"/>
    <w:rsid w:val="001A2323"/>
    <w:rsid w:val="001A2484"/>
    <w:rsid w:val="001A249B"/>
    <w:rsid w:val="001A26DE"/>
    <w:rsid w:val="001A29CC"/>
    <w:rsid w:val="001A2AD7"/>
    <w:rsid w:val="001A2B08"/>
    <w:rsid w:val="001A2BF0"/>
    <w:rsid w:val="001A2EF9"/>
    <w:rsid w:val="001A3116"/>
    <w:rsid w:val="001A3186"/>
    <w:rsid w:val="001A366B"/>
    <w:rsid w:val="001A3BD6"/>
    <w:rsid w:val="001A41E4"/>
    <w:rsid w:val="001A44B6"/>
    <w:rsid w:val="001A466E"/>
    <w:rsid w:val="001A5425"/>
    <w:rsid w:val="001A545E"/>
    <w:rsid w:val="001A56D2"/>
    <w:rsid w:val="001A57D4"/>
    <w:rsid w:val="001A5898"/>
    <w:rsid w:val="001A5976"/>
    <w:rsid w:val="001A5D89"/>
    <w:rsid w:val="001A5FC4"/>
    <w:rsid w:val="001A60A3"/>
    <w:rsid w:val="001A6263"/>
    <w:rsid w:val="001A6334"/>
    <w:rsid w:val="001A64E8"/>
    <w:rsid w:val="001A6609"/>
    <w:rsid w:val="001A661C"/>
    <w:rsid w:val="001A6914"/>
    <w:rsid w:val="001A6982"/>
    <w:rsid w:val="001A6E57"/>
    <w:rsid w:val="001A6F31"/>
    <w:rsid w:val="001A7151"/>
    <w:rsid w:val="001A71AB"/>
    <w:rsid w:val="001A7A45"/>
    <w:rsid w:val="001A7C46"/>
    <w:rsid w:val="001B01D2"/>
    <w:rsid w:val="001B02EA"/>
    <w:rsid w:val="001B0884"/>
    <w:rsid w:val="001B0A9C"/>
    <w:rsid w:val="001B0CA2"/>
    <w:rsid w:val="001B0D9C"/>
    <w:rsid w:val="001B0E26"/>
    <w:rsid w:val="001B0E30"/>
    <w:rsid w:val="001B0FAE"/>
    <w:rsid w:val="001B152A"/>
    <w:rsid w:val="001B199C"/>
    <w:rsid w:val="001B1B13"/>
    <w:rsid w:val="001B1C2E"/>
    <w:rsid w:val="001B1CF3"/>
    <w:rsid w:val="001B20B4"/>
    <w:rsid w:val="001B279F"/>
    <w:rsid w:val="001B27E8"/>
    <w:rsid w:val="001B29C3"/>
    <w:rsid w:val="001B2A71"/>
    <w:rsid w:val="001B2B6B"/>
    <w:rsid w:val="001B2D50"/>
    <w:rsid w:val="001B2D87"/>
    <w:rsid w:val="001B2E0F"/>
    <w:rsid w:val="001B3369"/>
    <w:rsid w:val="001B339F"/>
    <w:rsid w:val="001B39EF"/>
    <w:rsid w:val="001B3C77"/>
    <w:rsid w:val="001B41ED"/>
    <w:rsid w:val="001B4341"/>
    <w:rsid w:val="001B4367"/>
    <w:rsid w:val="001B4718"/>
    <w:rsid w:val="001B47FF"/>
    <w:rsid w:val="001B4813"/>
    <w:rsid w:val="001B488A"/>
    <w:rsid w:val="001B4987"/>
    <w:rsid w:val="001B4C08"/>
    <w:rsid w:val="001B4CF7"/>
    <w:rsid w:val="001B509A"/>
    <w:rsid w:val="001B50C6"/>
    <w:rsid w:val="001B527A"/>
    <w:rsid w:val="001B55C2"/>
    <w:rsid w:val="001B5D78"/>
    <w:rsid w:val="001B5F0B"/>
    <w:rsid w:val="001B5F65"/>
    <w:rsid w:val="001B601C"/>
    <w:rsid w:val="001B643C"/>
    <w:rsid w:val="001B6705"/>
    <w:rsid w:val="001B6CB6"/>
    <w:rsid w:val="001B6FF7"/>
    <w:rsid w:val="001B70DF"/>
    <w:rsid w:val="001B715B"/>
    <w:rsid w:val="001B7214"/>
    <w:rsid w:val="001B760F"/>
    <w:rsid w:val="001B7776"/>
    <w:rsid w:val="001B77AB"/>
    <w:rsid w:val="001B7887"/>
    <w:rsid w:val="001B7A11"/>
    <w:rsid w:val="001B7EDE"/>
    <w:rsid w:val="001C04BF"/>
    <w:rsid w:val="001C0B4D"/>
    <w:rsid w:val="001C0BC0"/>
    <w:rsid w:val="001C0F4E"/>
    <w:rsid w:val="001C0FBD"/>
    <w:rsid w:val="001C103B"/>
    <w:rsid w:val="001C106C"/>
    <w:rsid w:val="001C13A7"/>
    <w:rsid w:val="001C157C"/>
    <w:rsid w:val="001C1672"/>
    <w:rsid w:val="001C1681"/>
    <w:rsid w:val="001C1BD5"/>
    <w:rsid w:val="001C1BE0"/>
    <w:rsid w:val="001C1BEB"/>
    <w:rsid w:val="001C1FB5"/>
    <w:rsid w:val="001C20D3"/>
    <w:rsid w:val="001C2144"/>
    <w:rsid w:val="001C2200"/>
    <w:rsid w:val="001C26F2"/>
    <w:rsid w:val="001C29C0"/>
    <w:rsid w:val="001C2B75"/>
    <w:rsid w:val="001C2CDE"/>
    <w:rsid w:val="001C2DA5"/>
    <w:rsid w:val="001C2FAD"/>
    <w:rsid w:val="001C33D4"/>
    <w:rsid w:val="001C3825"/>
    <w:rsid w:val="001C3982"/>
    <w:rsid w:val="001C3A24"/>
    <w:rsid w:val="001C437E"/>
    <w:rsid w:val="001C476B"/>
    <w:rsid w:val="001C482D"/>
    <w:rsid w:val="001C4854"/>
    <w:rsid w:val="001C48D9"/>
    <w:rsid w:val="001C4907"/>
    <w:rsid w:val="001C4998"/>
    <w:rsid w:val="001C4C4D"/>
    <w:rsid w:val="001C510F"/>
    <w:rsid w:val="001C54DE"/>
    <w:rsid w:val="001C5966"/>
    <w:rsid w:val="001C5AAE"/>
    <w:rsid w:val="001C5DBE"/>
    <w:rsid w:val="001C5E23"/>
    <w:rsid w:val="001C5E24"/>
    <w:rsid w:val="001C6776"/>
    <w:rsid w:val="001C716E"/>
    <w:rsid w:val="001C7240"/>
    <w:rsid w:val="001C72BD"/>
    <w:rsid w:val="001C765A"/>
    <w:rsid w:val="001C798A"/>
    <w:rsid w:val="001C7AF1"/>
    <w:rsid w:val="001C7B3A"/>
    <w:rsid w:val="001C7E7B"/>
    <w:rsid w:val="001C7F78"/>
    <w:rsid w:val="001D0201"/>
    <w:rsid w:val="001D05FC"/>
    <w:rsid w:val="001D06CF"/>
    <w:rsid w:val="001D0C9D"/>
    <w:rsid w:val="001D0CC1"/>
    <w:rsid w:val="001D127E"/>
    <w:rsid w:val="001D1348"/>
    <w:rsid w:val="001D1A3B"/>
    <w:rsid w:val="001D2128"/>
    <w:rsid w:val="001D218F"/>
    <w:rsid w:val="001D2348"/>
    <w:rsid w:val="001D248E"/>
    <w:rsid w:val="001D2592"/>
    <w:rsid w:val="001D2DFA"/>
    <w:rsid w:val="001D2E09"/>
    <w:rsid w:val="001D2E62"/>
    <w:rsid w:val="001D2FC6"/>
    <w:rsid w:val="001D31B8"/>
    <w:rsid w:val="001D357A"/>
    <w:rsid w:val="001D3695"/>
    <w:rsid w:val="001D381F"/>
    <w:rsid w:val="001D4060"/>
    <w:rsid w:val="001D4284"/>
    <w:rsid w:val="001D4358"/>
    <w:rsid w:val="001D4475"/>
    <w:rsid w:val="001D4516"/>
    <w:rsid w:val="001D46C9"/>
    <w:rsid w:val="001D4A84"/>
    <w:rsid w:val="001D4A89"/>
    <w:rsid w:val="001D4C39"/>
    <w:rsid w:val="001D515A"/>
    <w:rsid w:val="001D5240"/>
    <w:rsid w:val="001D5308"/>
    <w:rsid w:val="001D55FB"/>
    <w:rsid w:val="001D59E6"/>
    <w:rsid w:val="001D5B96"/>
    <w:rsid w:val="001D5CC6"/>
    <w:rsid w:val="001D5CEE"/>
    <w:rsid w:val="001D5D38"/>
    <w:rsid w:val="001D664D"/>
    <w:rsid w:val="001D668F"/>
    <w:rsid w:val="001D68C2"/>
    <w:rsid w:val="001D6C0B"/>
    <w:rsid w:val="001D6CA9"/>
    <w:rsid w:val="001D6E0C"/>
    <w:rsid w:val="001D7178"/>
    <w:rsid w:val="001D71BD"/>
    <w:rsid w:val="001D7604"/>
    <w:rsid w:val="001D7719"/>
    <w:rsid w:val="001D77EF"/>
    <w:rsid w:val="001D7882"/>
    <w:rsid w:val="001D7C41"/>
    <w:rsid w:val="001D7D8F"/>
    <w:rsid w:val="001D7E27"/>
    <w:rsid w:val="001D7FF8"/>
    <w:rsid w:val="001E005E"/>
    <w:rsid w:val="001E0175"/>
    <w:rsid w:val="001E031E"/>
    <w:rsid w:val="001E06D1"/>
    <w:rsid w:val="001E0740"/>
    <w:rsid w:val="001E0A79"/>
    <w:rsid w:val="001E0DF0"/>
    <w:rsid w:val="001E0DF9"/>
    <w:rsid w:val="001E0E9B"/>
    <w:rsid w:val="001E113D"/>
    <w:rsid w:val="001E11A5"/>
    <w:rsid w:val="001E1410"/>
    <w:rsid w:val="001E1447"/>
    <w:rsid w:val="001E14B9"/>
    <w:rsid w:val="001E170B"/>
    <w:rsid w:val="001E18E7"/>
    <w:rsid w:val="001E1A2C"/>
    <w:rsid w:val="001E1C6C"/>
    <w:rsid w:val="001E1FDB"/>
    <w:rsid w:val="001E1FF6"/>
    <w:rsid w:val="001E2573"/>
    <w:rsid w:val="001E29A5"/>
    <w:rsid w:val="001E2AC2"/>
    <w:rsid w:val="001E2AF0"/>
    <w:rsid w:val="001E2B9A"/>
    <w:rsid w:val="001E303A"/>
    <w:rsid w:val="001E30F0"/>
    <w:rsid w:val="001E34CF"/>
    <w:rsid w:val="001E35B2"/>
    <w:rsid w:val="001E3DD9"/>
    <w:rsid w:val="001E3DE8"/>
    <w:rsid w:val="001E3F8C"/>
    <w:rsid w:val="001E4470"/>
    <w:rsid w:val="001E44C5"/>
    <w:rsid w:val="001E4612"/>
    <w:rsid w:val="001E4A5C"/>
    <w:rsid w:val="001E4EBD"/>
    <w:rsid w:val="001E51F1"/>
    <w:rsid w:val="001E52D9"/>
    <w:rsid w:val="001E538B"/>
    <w:rsid w:val="001E546C"/>
    <w:rsid w:val="001E55F3"/>
    <w:rsid w:val="001E585C"/>
    <w:rsid w:val="001E5AAF"/>
    <w:rsid w:val="001E5B37"/>
    <w:rsid w:val="001E6520"/>
    <w:rsid w:val="001E66C8"/>
    <w:rsid w:val="001E69E5"/>
    <w:rsid w:val="001E6BC6"/>
    <w:rsid w:val="001E6C1F"/>
    <w:rsid w:val="001E6C62"/>
    <w:rsid w:val="001E6F1E"/>
    <w:rsid w:val="001E6F61"/>
    <w:rsid w:val="001E6FEB"/>
    <w:rsid w:val="001E720B"/>
    <w:rsid w:val="001E7294"/>
    <w:rsid w:val="001E72ED"/>
    <w:rsid w:val="001E7390"/>
    <w:rsid w:val="001E7A9A"/>
    <w:rsid w:val="001E7C55"/>
    <w:rsid w:val="001E7D89"/>
    <w:rsid w:val="001F0345"/>
    <w:rsid w:val="001F05F5"/>
    <w:rsid w:val="001F0708"/>
    <w:rsid w:val="001F07F0"/>
    <w:rsid w:val="001F094A"/>
    <w:rsid w:val="001F0A62"/>
    <w:rsid w:val="001F0CCA"/>
    <w:rsid w:val="001F0D50"/>
    <w:rsid w:val="001F1065"/>
    <w:rsid w:val="001F11A1"/>
    <w:rsid w:val="001F11C7"/>
    <w:rsid w:val="001F11E6"/>
    <w:rsid w:val="001F12A4"/>
    <w:rsid w:val="001F13D7"/>
    <w:rsid w:val="001F1851"/>
    <w:rsid w:val="001F19C1"/>
    <w:rsid w:val="001F1A84"/>
    <w:rsid w:val="001F1AAA"/>
    <w:rsid w:val="001F2609"/>
    <w:rsid w:val="001F26C4"/>
    <w:rsid w:val="001F2709"/>
    <w:rsid w:val="001F2764"/>
    <w:rsid w:val="001F27FB"/>
    <w:rsid w:val="001F293B"/>
    <w:rsid w:val="001F29AB"/>
    <w:rsid w:val="001F2E57"/>
    <w:rsid w:val="001F2ECD"/>
    <w:rsid w:val="001F325B"/>
    <w:rsid w:val="001F36B0"/>
    <w:rsid w:val="001F36C6"/>
    <w:rsid w:val="001F36D4"/>
    <w:rsid w:val="001F374B"/>
    <w:rsid w:val="001F38C8"/>
    <w:rsid w:val="001F39EF"/>
    <w:rsid w:val="001F3A07"/>
    <w:rsid w:val="001F3AE3"/>
    <w:rsid w:val="001F408B"/>
    <w:rsid w:val="001F4410"/>
    <w:rsid w:val="001F4487"/>
    <w:rsid w:val="001F46F5"/>
    <w:rsid w:val="001F4D74"/>
    <w:rsid w:val="001F4DD3"/>
    <w:rsid w:val="001F4E17"/>
    <w:rsid w:val="001F4F25"/>
    <w:rsid w:val="001F5280"/>
    <w:rsid w:val="001F548C"/>
    <w:rsid w:val="001F5A2E"/>
    <w:rsid w:val="001F5A36"/>
    <w:rsid w:val="001F5E00"/>
    <w:rsid w:val="001F6016"/>
    <w:rsid w:val="001F6353"/>
    <w:rsid w:val="001F65EF"/>
    <w:rsid w:val="001F6680"/>
    <w:rsid w:val="001F694C"/>
    <w:rsid w:val="001F6EA8"/>
    <w:rsid w:val="001F6EBB"/>
    <w:rsid w:val="001F7250"/>
    <w:rsid w:val="001F730E"/>
    <w:rsid w:val="001F784F"/>
    <w:rsid w:val="001F7A8B"/>
    <w:rsid w:val="001F7B1E"/>
    <w:rsid w:val="001F7DC6"/>
    <w:rsid w:val="001F7E33"/>
    <w:rsid w:val="00200448"/>
    <w:rsid w:val="00200467"/>
    <w:rsid w:val="00200716"/>
    <w:rsid w:val="00200770"/>
    <w:rsid w:val="00200C7C"/>
    <w:rsid w:val="00200FE8"/>
    <w:rsid w:val="00201081"/>
    <w:rsid w:val="002010B4"/>
    <w:rsid w:val="002012DC"/>
    <w:rsid w:val="00201686"/>
    <w:rsid w:val="002018AB"/>
    <w:rsid w:val="00201927"/>
    <w:rsid w:val="00201BCA"/>
    <w:rsid w:val="00201C25"/>
    <w:rsid w:val="00201DD3"/>
    <w:rsid w:val="00201EB2"/>
    <w:rsid w:val="00201F7C"/>
    <w:rsid w:val="0020252A"/>
    <w:rsid w:val="00202566"/>
    <w:rsid w:val="002025CC"/>
    <w:rsid w:val="0020286E"/>
    <w:rsid w:val="00202E02"/>
    <w:rsid w:val="00203400"/>
    <w:rsid w:val="002037E6"/>
    <w:rsid w:val="002038A3"/>
    <w:rsid w:val="00203959"/>
    <w:rsid w:val="00203F32"/>
    <w:rsid w:val="00204042"/>
    <w:rsid w:val="0020407B"/>
    <w:rsid w:val="0020486A"/>
    <w:rsid w:val="00204A36"/>
    <w:rsid w:val="00204A97"/>
    <w:rsid w:val="00204B2B"/>
    <w:rsid w:val="002058A5"/>
    <w:rsid w:val="00205D10"/>
    <w:rsid w:val="00206075"/>
    <w:rsid w:val="00206670"/>
    <w:rsid w:val="002066A9"/>
    <w:rsid w:val="002067ED"/>
    <w:rsid w:val="00206A88"/>
    <w:rsid w:val="00206AFA"/>
    <w:rsid w:val="00206EF4"/>
    <w:rsid w:val="00207278"/>
    <w:rsid w:val="002073C8"/>
    <w:rsid w:val="00207A04"/>
    <w:rsid w:val="00207E82"/>
    <w:rsid w:val="00207E8A"/>
    <w:rsid w:val="00207F1D"/>
    <w:rsid w:val="002103D2"/>
    <w:rsid w:val="0021050C"/>
    <w:rsid w:val="00210A5C"/>
    <w:rsid w:val="00210D79"/>
    <w:rsid w:val="00210F6A"/>
    <w:rsid w:val="002113C8"/>
    <w:rsid w:val="00211665"/>
    <w:rsid w:val="00211950"/>
    <w:rsid w:val="00211AE3"/>
    <w:rsid w:val="00211D0B"/>
    <w:rsid w:val="00211DBC"/>
    <w:rsid w:val="00212148"/>
    <w:rsid w:val="002122F5"/>
    <w:rsid w:val="0021246A"/>
    <w:rsid w:val="0021290A"/>
    <w:rsid w:val="00212DDB"/>
    <w:rsid w:val="002130C5"/>
    <w:rsid w:val="0021330A"/>
    <w:rsid w:val="002133B8"/>
    <w:rsid w:val="0021365D"/>
    <w:rsid w:val="002136E1"/>
    <w:rsid w:val="0021381B"/>
    <w:rsid w:val="00213840"/>
    <w:rsid w:val="00213E30"/>
    <w:rsid w:val="00213F76"/>
    <w:rsid w:val="002142D3"/>
    <w:rsid w:val="00214338"/>
    <w:rsid w:val="00214958"/>
    <w:rsid w:val="002149A8"/>
    <w:rsid w:val="00214B9B"/>
    <w:rsid w:val="00214D5F"/>
    <w:rsid w:val="00214E0C"/>
    <w:rsid w:val="00214FF1"/>
    <w:rsid w:val="00215195"/>
    <w:rsid w:val="002152AE"/>
    <w:rsid w:val="00215542"/>
    <w:rsid w:val="0021555A"/>
    <w:rsid w:val="00215831"/>
    <w:rsid w:val="002158B8"/>
    <w:rsid w:val="00215D45"/>
    <w:rsid w:val="00216254"/>
    <w:rsid w:val="002162B4"/>
    <w:rsid w:val="00216442"/>
    <w:rsid w:val="0021657B"/>
    <w:rsid w:val="00216610"/>
    <w:rsid w:val="002167FA"/>
    <w:rsid w:val="002169AA"/>
    <w:rsid w:val="00216AAD"/>
    <w:rsid w:val="00216B66"/>
    <w:rsid w:val="00216D07"/>
    <w:rsid w:val="00216E59"/>
    <w:rsid w:val="00216EC1"/>
    <w:rsid w:val="00216EF2"/>
    <w:rsid w:val="00217164"/>
    <w:rsid w:val="002172CB"/>
    <w:rsid w:val="002174FE"/>
    <w:rsid w:val="00217628"/>
    <w:rsid w:val="002178E8"/>
    <w:rsid w:val="00217C55"/>
    <w:rsid w:val="00217CBE"/>
    <w:rsid w:val="00217D07"/>
    <w:rsid w:val="00220452"/>
    <w:rsid w:val="0022058B"/>
    <w:rsid w:val="00220737"/>
    <w:rsid w:val="00220925"/>
    <w:rsid w:val="002209BF"/>
    <w:rsid w:val="00220A90"/>
    <w:rsid w:val="002210A5"/>
    <w:rsid w:val="00221308"/>
    <w:rsid w:val="00221352"/>
    <w:rsid w:val="00221A50"/>
    <w:rsid w:val="00221F4B"/>
    <w:rsid w:val="00222031"/>
    <w:rsid w:val="002226A3"/>
    <w:rsid w:val="002227EC"/>
    <w:rsid w:val="00222934"/>
    <w:rsid w:val="00222C37"/>
    <w:rsid w:val="00222CF7"/>
    <w:rsid w:val="00222F9F"/>
    <w:rsid w:val="00223217"/>
    <w:rsid w:val="0022348E"/>
    <w:rsid w:val="0022352D"/>
    <w:rsid w:val="0022354B"/>
    <w:rsid w:val="002236F6"/>
    <w:rsid w:val="00223764"/>
    <w:rsid w:val="00223907"/>
    <w:rsid w:val="00223D89"/>
    <w:rsid w:val="00223E71"/>
    <w:rsid w:val="00223F99"/>
    <w:rsid w:val="00223FD4"/>
    <w:rsid w:val="0022401D"/>
    <w:rsid w:val="0022419F"/>
    <w:rsid w:val="002242AE"/>
    <w:rsid w:val="002244BF"/>
    <w:rsid w:val="00224728"/>
    <w:rsid w:val="00224773"/>
    <w:rsid w:val="002247BF"/>
    <w:rsid w:val="00224872"/>
    <w:rsid w:val="00224888"/>
    <w:rsid w:val="002249D1"/>
    <w:rsid w:val="00224A7D"/>
    <w:rsid w:val="00224A96"/>
    <w:rsid w:val="00224AC3"/>
    <w:rsid w:val="00224C4A"/>
    <w:rsid w:val="00224ED3"/>
    <w:rsid w:val="00224F4D"/>
    <w:rsid w:val="002250BA"/>
    <w:rsid w:val="002250BE"/>
    <w:rsid w:val="0022517F"/>
    <w:rsid w:val="002260DD"/>
    <w:rsid w:val="002261EE"/>
    <w:rsid w:val="00226218"/>
    <w:rsid w:val="002264B6"/>
    <w:rsid w:val="002266CF"/>
    <w:rsid w:val="00226A09"/>
    <w:rsid w:val="00226A75"/>
    <w:rsid w:val="00226B04"/>
    <w:rsid w:val="00226B8C"/>
    <w:rsid w:val="00226DF0"/>
    <w:rsid w:val="00227241"/>
    <w:rsid w:val="002274A5"/>
    <w:rsid w:val="00227B89"/>
    <w:rsid w:val="00227CF7"/>
    <w:rsid w:val="00227D1B"/>
    <w:rsid w:val="00227D72"/>
    <w:rsid w:val="00227D9C"/>
    <w:rsid w:val="00227E2D"/>
    <w:rsid w:val="0023064D"/>
    <w:rsid w:val="00230962"/>
    <w:rsid w:val="00230D8E"/>
    <w:rsid w:val="00231359"/>
    <w:rsid w:val="00231802"/>
    <w:rsid w:val="0023186F"/>
    <w:rsid w:val="002319E4"/>
    <w:rsid w:val="00232443"/>
    <w:rsid w:val="00232828"/>
    <w:rsid w:val="00232994"/>
    <w:rsid w:val="00232A59"/>
    <w:rsid w:val="00232C4F"/>
    <w:rsid w:val="00232F56"/>
    <w:rsid w:val="00232F8D"/>
    <w:rsid w:val="00232FDE"/>
    <w:rsid w:val="00233344"/>
    <w:rsid w:val="00233495"/>
    <w:rsid w:val="0023392C"/>
    <w:rsid w:val="00233D54"/>
    <w:rsid w:val="00233D69"/>
    <w:rsid w:val="00233DB7"/>
    <w:rsid w:val="0023417E"/>
    <w:rsid w:val="002341C4"/>
    <w:rsid w:val="002341CF"/>
    <w:rsid w:val="0023438D"/>
    <w:rsid w:val="002344A0"/>
    <w:rsid w:val="002348BF"/>
    <w:rsid w:val="002349F5"/>
    <w:rsid w:val="00234DDA"/>
    <w:rsid w:val="00234E6E"/>
    <w:rsid w:val="00235330"/>
    <w:rsid w:val="00235455"/>
    <w:rsid w:val="00235457"/>
    <w:rsid w:val="00235699"/>
    <w:rsid w:val="002357C5"/>
    <w:rsid w:val="0023580E"/>
    <w:rsid w:val="0023582E"/>
    <w:rsid w:val="00235AB5"/>
    <w:rsid w:val="00235B85"/>
    <w:rsid w:val="00235DE6"/>
    <w:rsid w:val="00236435"/>
    <w:rsid w:val="002367A7"/>
    <w:rsid w:val="00236A82"/>
    <w:rsid w:val="00236CBE"/>
    <w:rsid w:val="00236E9A"/>
    <w:rsid w:val="00237049"/>
    <w:rsid w:val="00237147"/>
    <w:rsid w:val="002372C0"/>
    <w:rsid w:val="00237358"/>
    <w:rsid w:val="00237741"/>
    <w:rsid w:val="00237847"/>
    <w:rsid w:val="00237A4A"/>
    <w:rsid w:val="00237C16"/>
    <w:rsid w:val="00237C1E"/>
    <w:rsid w:val="00237C30"/>
    <w:rsid w:val="00237E04"/>
    <w:rsid w:val="00237F50"/>
    <w:rsid w:val="0024011D"/>
    <w:rsid w:val="00240120"/>
    <w:rsid w:val="00240284"/>
    <w:rsid w:val="002403DF"/>
    <w:rsid w:val="00240484"/>
    <w:rsid w:val="002405C8"/>
    <w:rsid w:val="0024060F"/>
    <w:rsid w:val="002408A3"/>
    <w:rsid w:val="0024092A"/>
    <w:rsid w:val="002409C5"/>
    <w:rsid w:val="002410D5"/>
    <w:rsid w:val="00241276"/>
    <w:rsid w:val="002414A8"/>
    <w:rsid w:val="002414D7"/>
    <w:rsid w:val="00241629"/>
    <w:rsid w:val="00241A38"/>
    <w:rsid w:val="002420CA"/>
    <w:rsid w:val="002422C6"/>
    <w:rsid w:val="002422D0"/>
    <w:rsid w:val="002423CA"/>
    <w:rsid w:val="002426BC"/>
    <w:rsid w:val="00242878"/>
    <w:rsid w:val="00242B15"/>
    <w:rsid w:val="00242BEF"/>
    <w:rsid w:val="00242DF0"/>
    <w:rsid w:val="00242E33"/>
    <w:rsid w:val="00243166"/>
    <w:rsid w:val="00243201"/>
    <w:rsid w:val="00243408"/>
    <w:rsid w:val="002434F6"/>
    <w:rsid w:val="00243543"/>
    <w:rsid w:val="00243894"/>
    <w:rsid w:val="002439CA"/>
    <w:rsid w:val="00243A5B"/>
    <w:rsid w:val="00243AEC"/>
    <w:rsid w:val="00243CF9"/>
    <w:rsid w:val="00243FA0"/>
    <w:rsid w:val="00243FEA"/>
    <w:rsid w:val="00244044"/>
    <w:rsid w:val="00244188"/>
    <w:rsid w:val="0024425C"/>
    <w:rsid w:val="00244413"/>
    <w:rsid w:val="00244689"/>
    <w:rsid w:val="0024470A"/>
    <w:rsid w:val="0024489F"/>
    <w:rsid w:val="00244AAD"/>
    <w:rsid w:val="00244AAE"/>
    <w:rsid w:val="00244B47"/>
    <w:rsid w:val="00244E02"/>
    <w:rsid w:val="00244EA3"/>
    <w:rsid w:val="00245069"/>
    <w:rsid w:val="0024509B"/>
    <w:rsid w:val="002450B6"/>
    <w:rsid w:val="002452B9"/>
    <w:rsid w:val="002453A0"/>
    <w:rsid w:val="00245407"/>
    <w:rsid w:val="002454E6"/>
    <w:rsid w:val="00245608"/>
    <w:rsid w:val="002458C4"/>
    <w:rsid w:val="00245A9F"/>
    <w:rsid w:val="00245B91"/>
    <w:rsid w:val="00245EBF"/>
    <w:rsid w:val="00246112"/>
    <w:rsid w:val="0024624B"/>
    <w:rsid w:val="0024631B"/>
    <w:rsid w:val="00246707"/>
    <w:rsid w:val="0024681D"/>
    <w:rsid w:val="0024695F"/>
    <w:rsid w:val="00246BE0"/>
    <w:rsid w:val="00246F99"/>
    <w:rsid w:val="0024720E"/>
    <w:rsid w:val="002477CA"/>
    <w:rsid w:val="002479C9"/>
    <w:rsid w:val="00247B3C"/>
    <w:rsid w:val="00247F1A"/>
    <w:rsid w:val="00250090"/>
    <w:rsid w:val="002500AD"/>
    <w:rsid w:val="00250133"/>
    <w:rsid w:val="002501CF"/>
    <w:rsid w:val="00250282"/>
    <w:rsid w:val="002505D8"/>
    <w:rsid w:val="00250888"/>
    <w:rsid w:val="00250C4C"/>
    <w:rsid w:val="0025102F"/>
    <w:rsid w:val="00251211"/>
    <w:rsid w:val="002512A7"/>
    <w:rsid w:val="00251363"/>
    <w:rsid w:val="00251416"/>
    <w:rsid w:val="002516D0"/>
    <w:rsid w:val="00251A13"/>
    <w:rsid w:val="00251A76"/>
    <w:rsid w:val="00251CC9"/>
    <w:rsid w:val="00251E5F"/>
    <w:rsid w:val="00251EC0"/>
    <w:rsid w:val="002521EB"/>
    <w:rsid w:val="00252231"/>
    <w:rsid w:val="002524B0"/>
    <w:rsid w:val="002527C8"/>
    <w:rsid w:val="00252865"/>
    <w:rsid w:val="00252F4B"/>
    <w:rsid w:val="00252F8B"/>
    <w:rsid w:val="00252FB2"/>
    <w:rsid w:val="00253164"/>
    <w:rsid w:val="0025332A"/>
    <w:rsid w:val="002534C6"/>
    <w:rsid w:val="00253506"/>
    <w:rsid w:val="00253741"/>
    <w:rsid w:val="00253752"/>
    <w:rsid w:val="002537C4"/>
    <w:rsid w:val="002539F0"/>
    <w:rsid w:val="00253B15"/>
    <w:rsid w:val="00253C4B"/>
    <w:rsid w:val="00253F87"/>
    <w:rsid w:val="00254331"/>
    <w:rsid w:val="0025457E"/>
    <w:rsid w:val="002546F6"/>
    <w:rsid w:val="00254FE9"/>
    <w:rsid w:val="00255010"/>
    <w:rsid w:val="0025530B"/>
    <w:rsid w:val="0025567E"/>
    <w:rsid w:val="00255742"/>
    <w:rsid w:val="00255F54"/>
    <w:rsid w:val="00256010"/>
    <w:rsid w:val="002560C2"/>
    <w:rsid w:val="00256555"/>
    <w:rsid w:val="002567C5"/>
    <w:rsid w:val="002569E7"/>
    <w:rsid w:val="0025727C"/>
    <w:rsid w:val="00257293"/>
    <w:rsid w:val="00257789"/>
    <w:rsid w:val="0025784F"/>
    <w:rsid w:val="00257AC4"/>
    <w:rsid w:val="00257B64"/>
    <w:rsid w:val="00257D86"/>
    <w:rsid w:val="00257E1E"/>
    <w:rsid w:val="00260049"/>
    <w:rsid w:val="002603B3"/>
    <w:rsid w:val="00260A8C"/>
    <w:rsid w:val="0026113F"/>
    <w:rsid w:val="0026146A"/>
    <w:rsid w:val="0026151D"/>
    <w:rsid w:val="00261752"/>
    <w:rsid w:val="002617E0"/>
    <w:rsid w:val="00261D0A"/>
    <w:rsid w:val="00261F60"/>
    <w:rsid w:val="00262192"/>
    <w:rsid w:val="0026222A"/>
    <w:rsid w:val="002623FF"/>
    <w:rsid w:val="00262889"/>
    <w:rsid w:val="00262B48"/>
    <w:rsid w:val="00262C56"/>
    <w:rsid w:val="00262C72"/>
    <w:rsid w:val="00262CCF"/>
    <w:rsid w:val="00263235"/>
    <w:rsid w:val="002633C9"/>
    <w:rsid w:val="00263418"/>
    <w:rsid w:val="00263814"/>
    <w:rsid w:val="0026388D"/>
    <w:rsid w:val="00263B0E"/>
    <w:rsid w:val="00263CAA"/>
    <w:rsid w:val="00263EB4"/>
    <w:rsid w:val="00263F37"/>
    <w:rsid w:val="00263FEC"/>
    <w:rsid w:val="00264008"/>
    <w:rsid w:val="002641F4"/>
    <w:rsid w:val="0026438D"/>
    <w:rsid w:val="00264812"/>
    <w:rsid w:val="00264937"/>
    <w:rsid w:val="00264BAB"/>
    <w:rsid w:val="00264EA8"/>
    <w:rsid w:val="00265213"/>
    <w:rsid w:val="0026535D"/>
    <w:rsid w:val="002658EA"/>
    <w:rsid w:val="0026591E"/>
    <w:rsid w:val="00265B39"/>
    <w:rsid w:val="00265D83"/>
    <w:rsid w:val="00265E1A"/>
    <w:rsid w:val="0026646E"/>
    <w:rsid w:val="00266538"/>
    <w:rsid w:val="00266654"/>
    <w:rsid w:val="00266757"/>
    <w:rsid w:val="00266E55"/>
    <w:rsid w:val="00267740"/>
    <w:rsid w:val="0026776C"/>
    <w:rsid w:val="00267839"/>
    <w:rsid w:val="00267B1D"/>
    <w:rsid w:val="00267C69"/>
    <w:rsid w:val="00267E96"/>
    <w:rsid w:val="00270918"/>
    <w:rsid w:val="00270D52"/>
    <w:rsid w:val="00270DE2"/>
    <w:rsid w:val="00270E82"/>
    <w:rsid w:val="00270F90"/>
    <w:rsid w:val="00271212"/>
    <w:rsid w:val="00271794"/>
    <w:rsid w:val="00271ACC"/>
    <w:rsid w:val="00271C51"/>
    <w:rsid w:val="00271D42"/>
    <w:rsid w:val="00271EC5"/>
    <w:rsid w:val="0027221B"/>
    <w:rsid w:val="002722CB"/>
    <w:rsid w:val="00272542"/>
    <w:rsid w:val="0027284A"/>
    <w:rsid w:val="0027297F"/>
    <w:rsid w:val="00272C35"/>
    <w:rsid w:val="00273173"/>
    <w:rsid w:val="002731E0"/>
    <w:rsid w:val="002733CE"/>
    <w:rsid w:val="0027346F"/>
    <w:rsid w:val="00273761"/>
    <w:rsid w:val="00273DDA"/>
    <w:rsid w:val="0027407F"/>
    <w:rsid w:val="002740AB"/>
    <w:rsid w:val="00274101"/>
    <w:rsid w:val="00274298"/>
    <w:rsid w:val="002742D7"/>
    <w:rsid w:val="00274401"/>
    <w:rsid w:val="00274430"/>
    <w:rsid w:val="00274441"/>
    <w:rsid w:val="00274B48"/>
    <w:rsid w:val="00274DF8"/>
    <w:rsid w:val="00275030"/>
    <w:rsid w:val="002750A6"/>
    <w:rsid w:val="0027522F"/>
    <w:rsid w:val="00275305"/>
    <w:rsid w:val="00275426"/>
    <w:rsid w:val="002756C8"/>
    <w:rsid w:val="00275753"/>
    <w:rsid w:val="00275CC5"/>
    <w:rsid w:val="00275D84"/>
    <w:rsid w:val="00276139"/>
    <w:rsid w:val="0027616C"/>
    <w:rsid w:val="0027635F"/>
    <w:rsid w:val="00276412"/>
    <w:rsid w:val="002765DB"/>
    <w:rsid w:val="00276736"/>
    <w:rsid w:val="00276BB8"/>
    <w:rsid w:val="00276D85"/>
    <w:rsid w:val="002771F8"/>
    <w:rsid w:val="0027749C"/>
    <w:rsid w:val="00277756"/>
    <w:rsid w:val="0027798E"/>
    <w:rsid w:val="00277A7B"/>
    <w:rsid w:val="00277ADC"/>
    <w:rsid w:val="002800B2"/>
    <w:rsid w:val="0028021B"/>
    <w:rsid w:val="0028042A"/>
    <w:rsid w:val="002805BE"/>
    <w:rsid w:val="00280899"/>
    <w:rsid w:val="00280CEC"/>
    <w:rsid w:val="00280DF8"/>
    <w:rsid w:val="002811B2"/>
    <w:rsid w:val="00281517"/>
    <w:rsid w:val="00281522"/>
    <w:rsid w:val="00281AA2"/>
    <w:rsid w:val="00281BB4"/>
    <w:rsid w:val="00281BDC"/>
    <w:rsid w:val="00281BF2"/>
    <w:rsid w:val="00281F72"/>
    <w:rsid w:val="00282075"/>
    <w:rsid w:val="0028219B"/>
    <w:rsid w:val="00282424"/>
    <w:rsid w:val="00282621"/>
    <w:rsid w:val="00282663"/>
    <w:rsid w:val="002826B1"/>
    <w:rsid w:val="002828C0"/>
    <w:rsid w:val="002829B1"/>
    <w:rsid w:val="002829FE"/>
    <w:rsid w:val="00282A84"/>
    <w:rsid w:val="00282B7B"/>
    <w:rsid w:val="00282E22"/>
    <w:rsid w:val="00282E2D"/>
    <w:rsid w:val="00283090"/>
    <w:rsid w:val="00283460"/>
    <w:rsid w:val="00283489"/>
    <w:rsid w:val="0028372A"/>
    <w:rsid w:val="002837A5"/>
    <w:rsid w:val="002839C0"/>
    <w:rsid w:val="00283A1F"/>
    <w:rsid w:val="00283B09"/>
    <w:rsid w:val="00283D1E"/>
    <w:rsid w:val="00283FCF"/>
    <w:rsid w:val="00283FE3"/>
    <w:rsid w:val="002840D5"/>
    <w:rsid w:val="002842D8"/>
    <w:rsid w:val="002843AA"/>
    <w:rsid w:val="002845A1"/>
    <w:rsid w:val="0028491B"/>
    <w:rsid w:val="00284B0F"/>
    <w:rsid w:val="00284F1E"/>
    <w:rsid w:val="002850B4"/>
    <w:rsid w:val="002850FF"/>
    <w:rsid w:val="00285236"/>
    <w:rsid w:val="00285382"/>
    <w:rsid w:val="002855A6"/>
    <w:rsid w:val="00285789"/>
    <w:rsid w:val="00285797"/>
    <w:rsid w:val="0028593C"/>
    <w:rsid w:val="00285988"/>
    <w:rsid w:val="00285A95"/>
    <w:rsid w:val="00285ABF"/>
    <w:rsid w:val="00285B8C"/>
    <w:rsid w:val="0028605D"/>
    <w:rsid w:val="002867F9"/>
    <w:rsid w:val="002868F3"/>
    <w:rsid w:val="002869E7"/>
    <w:rsid w:val="00286A1D"/>
    <w:rsid w:val="00286CEA"/>
    <w:rsid w:val="00286E0B"/>
    <w:rsid w:val="00286F7E"/>
    <w:rsid w:val="00287097"/>
    <w:rsid w:val="0028753C"/>
    <w:rsid w:val="00287B9D"/>
    <w:rsid w:val="00287D8D"/>
    <w:rsid w:val="00287E20"/>
    <w:rsid w:val="00287F1A"/>
    <w:rsid w:val="0029009B"/>
    <w:rsid w:val="002906C0"/>
    <w:rsid w:val="0029096C"/>
    <w:rsid w:val="00290970"/>
    <w:rsid w:val="00290D52"/>
    <w:rsid w:val="00290E83"/>
    <w:rsid w:val="00290F2E"/>
    <w:rsid w:val="002910B4"/>
    <w:rsid w:val="002910BD"/>
    <w:rsid w:val="002911E5"/>
    <w:rsid w:val="00291362"/>
    <w:rsid w:val="0029173D"/>
    <w:rsid w:val="00291D64"/>
    <w:rsid w:val="00291D87"/>
    <w:rsid w:val="00291EC4"/>
    <w:rsid w:val="00292087"/>
    <w:rsid w:val="002921D7"/>
    <w:rsid w:val="002925CC"/>
    <w:rsid w:val="002929E6"/>
    <w:rsid w:val="00292D38"/>
    <w:rsid w:val="00293171"/>
    <w:rsid w:val="002932DE"/>
    <w:rsid w:val="002933A8"/>
    <w:rsid w:val="00293745"/>
    <w:rsid w:val="00293765"/>
    <w:rsid w:val="00293B3D"/>
    <w:rsid w:val="00293E84"/>
    <w:rsid w:val="002944AE"/>
    <w:rsid w:val="002945C4"/>
    <w:rsid w:val="002948E1"/>
    <w:rsid w:val="00294B41"/>
    <w:rsid w:val="00294BCC"/>
    <w:rsid w:val="00294DFD"/>
    <w:rsid w:val="00294E6B"/>
    <w:rsid w:val="00294EE9"/>
    <w:rsid w:val="00295262"/>
    <w:rsid w:val="0029545E"/>
    <w:rsid w:val="00295578"/>
    <w:rsid w:val="00295797"/>
    <w:rsid w:val="00295B4D"/>
    <w:rsid w:val="00295F20"/>
    <w:rsid w:val="002961DD"/>
    <w:rsid w:val="002964AE"/>
    <w:rsid w:val="002964DB"/>
    <w:rsid w:val="002964EE"/>
    <w:rsid w:val="00296593"/>
    <w:rsid w:val="00296719"/>
    <w:rsid w:val="0029672A"/>
    <w:rsid w:val="00296996"/>
    <w:rsid w:val="00296C7F"/>
    <w:rsid w:val="002971AA"/>
    <w:rsid w:val="002973D4"/>
    <w:rsid w:val="002973F1"/>
    <w:rsid w:val="0029742A"/>
    <w:rsid w:val="0029772F"/>
    <w:rsid w:val="0029785D"/>
    <w:rsid w:val="00297921"/>
    <w:rsid w:val="00297C1C"/>
    <w:rsid w:val="00297D33"/>
    <w:rsid w:val="00297E4D"/>
    <w:rsid w:val="002A009E"/>
    <w:rsid w:val="002A0458"/>
    <w:rsid w:val="002A04A5"/>
    <w:rsid w:val="002A0AA5"/>
    <w:rsid w:val="002A0D33"/>
    <w:rsid w:val="002A0E97"/>
    <w:rsid w:val="002A0EBB"/>
    <w:rsid w:val="002A0F8C"/>
    <w:rsid w:val="002A1268"/>
    <w:rsid w:val="002A12DF"/>
    <w:rsid w:val="002A13C2"/>
    <w:rsid w:val="002A1417"/>
    <w:rsid w:val="002A17A5"/>
    <w:rsid w:val="002A18E6"/>
    <w:rsid w:val="002A1B86"/>
    <w:rsid w:val="002A1C33"/>
    <w:rsid w:val="002A1DA4"/>
    <w:rsid w:val="002A1EA3"/>
    <w:rsid w:val="002A2127"/>
    <w:rsid w:val="002A2270"/>
    <w:rsid w:val="002A2554"/>
    <w:rsid w:val="002A2701"/>
    <w:rsid w:val="002A2872"/>
    <w:rsid w:val="002A2C6B"/>
    <w:rsid w:val="002A304F"/>
    <w:rsid w:val="002A3535"/>
    <w:rsid w:val="002A358E"/>
    <w:rsid w:val="002A3834"/>
    <w:rsid w:val="002A3D77"/>
    <w:rsid w:val="002A40D8"/>
    <w:rsid w:val="002A4661"/>
    <w:rsid w:val="002A4718"/>
    <w:rsid w:val="002A48F8"/>
    <w:rsid w:val="002A491B"/>
    <w:rsid w:val="002A494A"/>
    <w:rsid w:val="002A49FC"/>
    <w:rsid w:val="002A4BE8"/>
    <w:rsid w:val="002A4F32"/>
    <w:rsid w:val="002A5777"/>
    <w:rsid w:val="002A5A82"/>
    <w:rsid w:val="002A5B78"/>
    <w:rsid w:val="002A5F5E"/>
    <w:rsid w:val="002A5FF9"/>
    <w:rsid w:val="002A6040"/>
    <w:rsid w:val="002A6618"/>
    <w:rsid w:val="002A6853"/>
    <w:rsid w:val="002A6B0E"/>
    <w:rsid w:val="002A6F1B"/>
    <w:rsid w:val="002A6FF5"/>
    <w:rsid w:val="002A73BF"/>
    <w:rsid w:val="002A77A3"/>
    <w:rsid w:val="002A7D37"/>
    <w:rsid w:val="002B010E"/>
    <w:rsid w:val="002B046F"/>
    <w:rsid w:val="002B05BD"/>
    <w:rsid w:val="002B076A"/>
    <w:rsid w:val="002B0854"/>
    <w:rsid w:val="002B0A86"/>
    <w:rsid w:val="002B0C6A"/>
    <w:rsid w:val="002B0F7E"/>
    <w:rsid w:val="002B113E"/>
    <w:rsid w:val="002B13C9"/>
    <w:rsid w:val="002B1587"/>
    <w:rsid w:val="002B17B1"/>
    <w:rsid w:val="002B17BA"/>
    <w:rsid w:val="002B1891"/>
    <w:rsid w:val="002B1896"/>
    <w:rsid w:val="002B1BA2"/>
    <w:rsid w:val="002B1CEB"/>
    <w:rsid w:val="002B1D24"/>
    <w:rsid w:val="002B1D78"/>
    <w:rsid w:val="002B1DF1"/>
    <w:rsid w:val="002B2006"/>
    <w:rsid w:val="002B2393"/>
    <w:rsid w:val="002B256D"/>
    <w:rsid w:val="002B2790"/>
    <w:rsid w:val="002B2861"/>
    <w:rsid w:val="002B2BAC"/>
    <w:rsid w:val="002B2C14"/>
    <w:rsid w:val="002B2E07"/>
    <w:rsid w:val="002B2F00"/>
    <w:rsid w:val="002B3014"/>
    <w:rsid w:val="002B310E"/>
    <w:rsid w:val="002B36B5"/>
    <w:rsid w:val="002B370E"/>
    <w:rsid w:val="002B4927"/>
    <w:rsid w:val="002B4B5F"/>
    <w:rsid w:val="002B4CAB"/>
    <w:rsid w:val="002B52BC"/>
    <w:rsid w:val="002B53E6"/>
    <w:rsid w:val="002B5425"/>
    <w:rsid w:val="002B5B0A"/>
    <w:rsid w:val="002B5DFE"/>
    <w:rsid w:val="002B5ECC"/>
    <w:rsid w:val="002B62A4"/>
    <w:rsid w:val="002B653E"/>
    <w:rsid w:val="002B6770"/>
    <w:rsid w:val="002B6A5E"/>
    <w:rsid w:val="002B6AC1"/>
    <w:rsid w:val="002B6B82"/>
    <w:rsid w:val="002B6CF6"/>
    <w:rsid w:val="002B6DC8"/>
    <w:rsid w:val="002B6EFA"/>
    <w:rsid w:val="002B71C9"/>
    <w:rsid w:val="002B7B24"/>
    <w:rsid w:val="002B7BA0"/>
    <w:rsid w:val="002B7C91"/>
    <w:rsid w:val="002B7D72"/>
    <w:rsid w:val="002B7EF3"/>
    <w:rsid w:val="002B7F96"/>
    <w:rsid w:val="002C0577"/>
    <w:rsid w:val="002C072E"/>
    <w:rsid w:val="002C0789"/>
    <w:rsid w:val="002C0A37"/>
    <w:rsid w:val="002C0C23"/>
    <w:rsid w:val="002C0E2F"/>
    <w:rsid w:val="002C0FAD"/>
    <w:rsid w:val="002C10FA"/>
    <w:rsid w:val="002C1153"/>
    <w:rsid w:val="002C123E"/>
    <w:rsid w:val="002C195A"/>
    <w:rsid w:val="002C1965"/>
    <w:rsid w:val="002C1A40"/>
    <w:rsid w:val="002C1A87"/>
    <w:rsid w:val="002C1B06"/>
    <w:rsid w:val="002C1C46"/>
    <w:rsid w:val="002C1C47"/>
    <w:rsid w:val="002C205E"/>
    <w:rsid w:val="002C27B1"/>
    <w:rsid w:val="002C287E"/>
    <w:rsid w:val="002C2AB0"/>
    <w:rsid w:val="002C2FF5"/>
    <w:rsid w:val="002C331B"/>
    <w:rsid w:val="002C375A"/>
    <w:rsid w:val="002C3BAD"/>
    <w:rsid w:val="002C3C46"/>
    <w:rsid w:val="002C401E"/>
    <w:rsid w:val="002C42A1"/>
    <w:rsid w:val="002C4698"/>
    <w:rsid w:val="002C478D"/>
    <w:rsid w:val="002C47D6"/>
    <w:rsid w:val="002C49B2"/>
    <w:rsid w:val="002C4A99"/>
    <w:rsid w:val="002C4B55"/>
    <w:rsid w:val="002C4BF1"/>
    <w:rsid w:val="002C5127"/>
    <w:rsid w:val="002C5228"/>
    <w:rsid w:val="002C5230"/>
    <w:rsid w:val="002C52D7"/>
    <w:rsid w:val="002C559A"/>
    <w:rsid w:val="002C55A8"/>
    <w:rsid w:val="002C55D7"/>
    <w:rsid w:val="002C592D"/>
    <w:rsid w:val="002C59A9"/>
    <w:rsid w:val="002C5BBC"/>
    <w:rsid w:val="002C5CCD"/>
    <w:rsid w:val="002C5DDA"/>
    <w:rsid w:val="002C5EC1"/>
    <w:rsid w:val="002C60C0"/>
    <w:rsid w:val="002C649A"/>
    <w:rsid w:val="002C6538"/>
    <w:rsid w:val="002C65DB"/>
    <w:rsid w:val="002C660E"/>
    <w:rsid w:val="002C6ADA"/>
    <w:rsid w:val="002C6D5A"/>
    <w:rsid w:val="002C73DA"/>
    <w:rsid w:val="002C7432"/>
    <w:rsid w:val="002C7848"/>
    <w:rsid w:val="002C7867"/>
    <w:rsid w:val="002C79A4"/>
    <w:rsid w:val="002C7F6F"/>
    <w:rsid w:val="002D0008"/>
    <w:rsid w:val="002D00C0"/>
    <w:rsid w:val="002D0180"/>
    <w:rsid w:val="002D0431"/>
    <w:rsid w:val="002D07F3"/>
    <w:rsid w:val="002D08DC"/>
    <w:rsid w:val="002D098C"/>
    <w:rsid w:val="002D0A82"/>
    <w:rsid w:val="002D0B6B"/>
    <w:rsid w:val="002D0FDA"/>
    <w:rsid w:val="002D1231"/>
    <w:rsid w:val="002D17C8"/>
    <w:rsid w:val="002D180B"/>
    <w:rsid w:val="002D1B57"/>
    <w:rsid w:val="002D1C22"/>
    <w:rsid w:val="002D1E03"/>
    <w:rsid w:val="002D2089"/>
    <w:rsid w:val="002D2092"/>
    <w:rsid w:val="002D21FE"/>
    <w:rsid w:val="002D2330"/>
    <w:rsid w:val="002D282C"/>
    <w:rsid w:val="002D29A0"/>
    <w:rsid w:val="002D2AFE"/>
    <w:rsid w:val="002D2B29"/>
    <w:rsid w:val="002D2BAE"/>
    <w:rsid w:val="002D3125"/>
    <w:rsid w:val="002D3196"/>
    <w:rsid w:val="002D3470"/>
    <w:rsid w:val="002D380A"/>
    <w:rsid w:val="002D386E"/>
    <w:rsid w:val="002D3BA3"/>
    <w:rsid w:val="002D3C7D"/>
    <w:rsid w:val="002D3D32"/>
    <w:rsid w:val="002D3FCB"/>
    <w:rsid w:val="002D42C4"/>
    <w:rsid w:val="002D431F"/>
    <w:rsid w:val="002D4612"/>
    <w:rsid w:val="002D4687"/>
    <w:rsid w:val="002D471B"/>
    <w:rsid w:val="002D47DA"/>
    <w:rsid w:val="002D4C32"/>
    <w:rsid w:val="002D4E2D"/>
    <w:rsid w:val="002D57F2"/>
    <w:rsid w:val="002D59DD"/>
    <w:rsid w:val="002D5B36"/>
    <w:rsid w:val="002D5BB0"/>
    <w:rsid w:val="002D5DF6"/>
    <w:rsid w:val="002D5E80"/>
    <w:rsid w:val="002D6164"/>
    <w:rsid w:val="002D62D9"/>
    <w:rsid w:val="002D634D"/>
    <w:rsid w:val="002D66A5"/>
    <w:rsid w:val="002D728B"/>
    <w:rsid w:val="002D73F3"/>
    <w:rsid w:val="002D7552"/>
    <w:rsid w:val="002D7B3A"/>
    <w:rsid w:val="002E0435"/>
    <w:rsid w:val="002E0A0A"/>
    <w:rsid w:val="002E0A15"/>
    <w:rsid w:val="002E0A96"/>
    <w:rsid w:val="002E0A9B"/>
    <w:rsid w:val="002E0DBB"/>
    <w:rsid w:val="002E1093"/>
    <w:rsid w:val="002E12AD"/>
    <w:rsid w:val="002E12DE"/>
    <w:rsid w:val="002E14B0"/>
    <w:rsid w:val="002E1681"/>
    <w:rsid w:val="002E17D0"/>
    <w:rsid w:val="002E17F7"/>
    <w:rsid w:val="002E1F2C"/>
    <w:rsid w:val="002E2099"/>
    <w:rsid w:val="002E20DF"/>
    <w:rsid w:val="002E21D7"/>
    <w:rsid w:val="002E279C"/>
    <w:rsid w:val="002E2DA6"/>
    <w:rsid w:val="002E30E7"/>
    <w:rsid w:val="002E32A0"/>
    <w:rsid w:val="002E3368"/>
    <w:rsid w:val="002E342E"/>
    <w:rsid w:val="002E35CF"/>
    <w:rsid w:val="002E35F9"/>
    <w:rsid w:val="002E3990"/>
    <w:rsid w:val="002E3B59"/>
    <w:rsid w:val="002E3C21"/>
    <w:rsid w:val="002E3C4D"/>
    <w:rsid w:val="002E4780"/>
    <w:rsid w:val="002E4BF2"/>
    <w:rsid w:val="002E4E0E"/>
    <w:rsid w:val="002E504D"/>
    <w:rsid w:val="002E50F5"/>
    <w:rsid w:val="002E5445"/>
    <w:rsid w:val="002E5535"/>
    <w:rsid w:val="002E5577"/>
    <w:rsid w:val="002E5705"/>
    <w:rsid w:val="002E5E6E"/>
    <w:rsid w:val="002E637E"/>
    <w:rsid w:val="002E64E1"/>
    <w:rsid w:val="002E67B4"/>
    <w:rsid w:val="002E684C"/>
    <w:rsid w:val="002E6893"/>
    <w:rsid w:val="002E68CB"/>
    <w:rsid w:val="002E699E"/>
    <w:rsid w:val="002E6B90"/>
    <w:rsid w:val="002E6D58"/>
    <w:rsid w:val="002E71C2"/>
    <w:rsid w:val="002E725A"/>
    <w:rsid w:val="002E7375"/>
    <w:rsid w:val="002E74BE"/>
    <w:rsid w:val="002E771F"/>
    <w:rsid w:val="002E7801"/>
    <w:rsid w:val="002E7835"/>
    <w:rsid w:val="002E7E33"/>
    <w:rsid w:val="002E7F74"/>
    <w:rsid w:val="002F00BD"/>
    <w:rsid w:val="002F0115"/>
    <w:rsid w:val="002F0264"/>
    <w:rsid w:val="002F0293"/>
    <w:rsid w:val="002F02D8"/>
    <w:rsid w:val="002F034E"/>
    <w:rsid w:val="002F0733"/>
    <w:rsid w:val="002F08A7"/>
    <w:rsid w:val="002F0BB3"/>
    <w:rsid w:val="002F0BB4"/>
    <w:rsid w:val="002F0CA5"/>
    <w:rsid w:val="002F0D49"/>
    <w:rsid w:val="002F1517"/>
    <w:rsid w:val="002F16FB"/>
    <w:rsid w:val="002F1738"/>
    <w:rsid w:val="002F1817"/>
    <w:rsid w:val="002F1936"/>
    <w:rsid w:val="002F1C6D"/>
    <w:rsid w:val="002F20AF"/>
    <w:rsid w:val="002F22CB"/>
    <w:rsid w:val="002F2574"/>
    <w:rsid w:val="002F26DA"/>
    <w:rsid w:val="002F2961"/>
    <w:rsid w:val="002F2A0B"/>
    <w:rsid w:val="002F2AC2"/>
    <w:rsid w:val="002F2BF8"/>
    <w:rsid w:val="002F2DF3"/>
    <w:rsid w:val="002F2E13"/>
    <w:rsid w:val="002F315F"/>
    <w:rsid w:val="002F34B2"/>
    <w:rsid w:val="002F38D5"/>
    <w:rsid w:val="002F3B49"/>
    <w:rsid w:val="002F403E"/>
    <w:rsid w:val="002F413D"/>
    <w:rsid w:val="002F42B9"/>
    <w:rsid w:val="002F42CA"/>
    <w:rsid w:val="002F451D"/>
    <w:rsid w:val="002F456E"/>
    <w:rsid w:val="002F47B1"/>
    <w:rsid w:val="002F489D"/>
    <w:rsid w:val="002F48C5"/>
    <w:rsid w:val="002F48D9"/>
    <w:rsid w:val="002F49B2"/>
    <w:rsid w:val="002F4A6C"/>
    <w:rsid w:val="002F4C08"/>
    <w:rsid w:val="002F50A2"/>
    <w:rsid w:val="002F5137"/>
    <w:rsid w:val="002F51C5"/>
    <w:rsid w:val="002F5207"/>
    <w:rsid w:val="002F52B3"/>
    <w:rsid w:val="002F5416"/>
    <w:rsid w:val="002F5572"/>
    <w:rsid w:val="002F5641"/>
    <w:rsid w:val="002F567A"/>
    <w:rsid w:val="002F57A9"/>
    <w:rsid w:val="002F58AA"/>
    <w:rsid w:val="002F5A93"/>
    <w:rsid w:val="002F5AA0"/>
    <w:rsid w:val="002F5DCD"/>
    <w:rsid w:val="002F5FE6"/>
    <w:rsid w:val="002F60F5"/>
    <w:rsid w:val="002F681E"/>
    <w:rsid w:val="002F6AC2"/>
    <w:rsid w:val="002F6AE5"/>
    <w:rsid w:val="002F6B1C"/>
    <w:rsid w:val="002F6E0D"/>
    <w:rsid w:val="002F6EE6"/>
    <w:rsid w:val="002F6F26"/>
    <w:rsid w:val="002F70A8"/>
    <w:rsid w:val="002F7317"/>
    <w:rsid w:val="002F73AF"/>
    <w:rsid w:val="002F7444"/>
    <w:rsid w:val="002F75B7"/>
    <w:rsid w:val="002F75B9"/>
    <w:rsid w:val="002F766B"/>
    <w:rsid w:val="002F76CC"/>
    <w:rsid w:val="002F7AE1"/>
    <w:rsid w:val="002F7AF7"/>
    <w:rsid w:val="002F7CF8"/>
    <w:rsid w:val="002F7E10"/>
    <w:rsid w:val="00300097"/>
    <w:rsid w:val="00300A6B"/>
    <w:rsid w:val="00300C4F"/>
    <w:rsid w:val="00300D7B"/>
    <w:rsid w:val="00300E37"/>
    <w:rsid w:val="00300E9D"/>
    <w:rsid w:val="003010ED"/>
    <w:rsid w:val="0030155B"/>
    <w:rsid w:val="0030158F"/>
    <w:rsid w:val="003017AD"/>
    <w:rsid w:val="003018D6"/>
    <w:rsid w:val="003018ED"/>
    <w:rsid w:val="00301B9D"/>
    <w:rsid w:val="00301EA1"/>
    <w:rsid w:val="0030222B"/>
    <w:rsid w:val="00302324"/>
    <w:rsid w:val="00302470"/>
    <w:rsid w:val="0030288A"/>
    <w:rsid w:val="00302A3F"/>
    <w:rsid w:val="00302CF7"/>
    <w:rsid w:val="003030BF"/>
    <w:rsid w:val="00303169"/>
    <w:rsid w:val="00303516"/>
    <w:rsid w:val="00303778"/>
    <w:rsid w:val="0030381E"/>
    <w:rsid w:val="003039A6"/>
    <w:rsid w:val="00303BF0"/>
    <w:rsid w:val="0030482C"/>
    <w:rsid w:val="00304E3C"/>
    <w:rsid w:val="003050D1"/>
    <w:rsid w:val="003052B5"/>
    <w:rsid w:val="003053EF"/>
    <w:rsid w:val="00305463"/>
    <w:rsid w:val="00305641"/>
    <w:rsid w:val="003056AA"/>
    <w:rsid w:val="003056E5"/>
    <w:rsid w:val="00305AA4"/>
    <w:rsid w:val="00305B80"/>
    <w:rsid w:val="00305EAA"/>
    <w:rsid w:val="003060D2"/>
    <w:rsid w:val="0030612D"/>
    <w:rsid w:val="0030622A"/>
    <w:rsid w:val="00306349"/>
    <w:rsid w:val="003064AF"/>
    <w:rsid w:val="00306AC9"/>
    <w:rsid w:val="00306B1F"/>
    <w:rsid w:val="00306D27"/>
    <w:rsid w:val="00306E09"/>
    <w:rsid w:val="0030738A"/>
    <w:rsid w:val="0030741F"/>
    <w:rsid w:val="00307A50"/>
    <w:rsid w:val="00307C6D"/>
    <w:rsid w:val="00307E3D"/>
    <w:rsid w:val="00307F7D"/>
    <w:rsid w:val="00310118"/>
    <w:rsid w:val="00310903"/>
    <w:rsid w:val="00310E15"/>
    <w:rsid w:val="00310EC2"/>
    <w:rsid w:val="00311199"/>
    <w:rsid w:val="00311209"/>
    <w:rsid w:val="003114E9"/>
    <w:rsid w:val="0031156C"/>
    <w:rsid w:val="003117D7"/>
    <w:rsid w:val="003118FD"/>
    <w:rsid w:val="00311E51"/>
    <w:rsid w:val="00311E7D"/>
    <w:rsid w:val="003120B2"/>
    <w:rsid w:val="00312157"/>
    <w:rsid w:val="003124C2"/>
    <w:rsid w:val="003128FB"/>
    <w:rsid w:val="00312B0E"/>
    <w:rsid w:val="00312B63"/>
    <w:rsid w:val="00312C5C"/>
    <w:rsid w:val="00312EB7"/>
    <w:rsid w:val="0031316B"/>
    <w:rsid w:val="003132BB"/>
    <w:rsid w:val="003132C5"/>
    <w:rsid w:val="0031347F"/>
    <w:rsid w:val="003136DB"/>
    <w:rsid w:val="00313E9E"/>
    <w:rsid w:val="003141C4"/>
    <w:rsid w:val="003141D6"/>
    <w:rsid w:val="00314453"/>
    <w:rsid w:val="0031479B"/>
    <w:rsid w:val="00314840"/>
    <w:rsid w:val="00314916"/>
    <w:rsid w:val="00314B47"/>
    <w:rsid w:val="00314D9A"/>
    <w:rsid w:val="00314FBB"/>
    <w:rsid w:val="00314FC0"/>
    <w:rsid w:val="003152E5"/>
    <w:rsid w:val="00315853"/>
    <w:rsid w:val="00315CBD"/>
    <w:rsid w:val="00315D5A"/>
    <w:rsid w:val="003162C8"/>
    <w:rsid w:val="00316656"/>
    <w:rsid w:val="003167E2"/>
    <w:rsid w:val="003167FE"/>
    <w:rsid w:val="00316BB1"/>
    <w:rsid w:val="00316BBE"/>
    <w:rsid w:val="00316E99"/>
    <w:rsid w:val="00316EC8"/>
    <w:rsid w:val="00316FD1"/>
    <w:rsid w:val="003178B5"/>
    <w:rsid w:val="00320414"/>
    <w:rsid w:val="003206E8"/>
    <w:rsid w:val="0032071F"/>
    <w:rsid w:val="0032075B"/>
    <w:rsid w:val="00320855"/>
    <w:rsid w:val="00320B55"/>
    <w:rsid w:val="00320EAA"/>
    <w:rsid w:val="00320EBE"/>
    <w:rsid w:val="003213AB"/>
    <w:rsid w:val="0032145E"/>
    <w:rsid w:val="003217AD"/>
    <w:rsid w:val="003218F3"/>
    <w:rsid w:val="00321DAE"/>
    <w:rsid w:val="00321EC6"/>
    <w:rsid w:val="003224CE"/>
    <w:rsid w:val="0032257D"/>
    <w:rsid w:val="00322B47"/>
    <w:rsid w:val="00322E6A"/>
    <w:rsid w:val="003230F7"/>
    <w:rsid w:val="0032316E"/>
    <w:rsid w:val="003239BD"/>
    <w:rsid w:val="00323B17"/>
    <w:rsid w:val="00323C1D"/>
    <w:rsid w:val="00323D01"/>
    <w:rsid w:val="00324558"/>
    <w:rsid w:val="003246DB"/>
    <w:rsid w:val="00324798"/>
    <w:rsid w:val="0032485C"/>
    <w:rsid w:val="00324C83"/>
    <w:rsid w:val="0032513F"/>
    <w:rsid w:val="0032540F"/>
    <w:rsid w:val="003254EE"/>
    <w:rsid w:val="0032561E"/>
    <w:rsid w:val="003256AD"/>
    <w:rsid w:val="00325720"/>
    <w:rsid w:val="003257D7"/>
    <w:rsid w:val="00325918"/>
    <w:rsid w:val="003259EF"/>
    <w:rsid w:val="00325A2C"/>
    <w:rsid w:val="00325B2C"/>
    <w:rsid w:val="00325E3F"/>
    <w:rsid w:val="00325EB0"/>
    <w:rsid w:val="003261B0"/>
    <w:rsid w:val="0032623B"/>
    <w:rsid w:val="003263C0"/>
    <w:rsid w:val="003264DC"/>
    <w:rsid w:val="0032677E"/>
    <w:rsid w:val="00326BDA"/>
    <w:rsid w:val="00326D33"/>
    <w:rsid w:val="00326FA0"/>
    <w:rsid w:val="0032729D"/>
    <w:rsid w:val="00327357"/>
    <w:rsid w:val="00327406"/>
    <w:rsid w:val="0032758B"/>
    <w:rsid w:val="003275B9"/>
    <w:rsid w:val="00327E6C"/>
    <w:rsid w:val="00330135"/>
    <w:rsid w:val="00330707"/>
    <w:rsid w:val="0033083A"/>
    <w:rsid w:val="003308EB"/>
    <w:rsid w:val="003308F7"/>
    <w:rsid w:val="00330BE3"/>
    <w:rsid w:val="00330F7C"/>
    <w:rsid w:val="003311F1"/>
    <w:rsid w:val="003316D6"/>
    <w:rsid w:val="003317A1"/>
    <w:rsid w:val="00332298"/>
    <w:rsid w:val="00332508"/>
    <w:rsid w:val="00332784"/>
    <w:rsid w:val="00332804"/>
    <w:rsid w:val="0033285B"/>
    <w:rsid w:val="00332CEE"/>
    <w:rsid w:val="00332D32"/>
    <w:rsid w:val="00332D59"/>
    <w:rsid w:val="00333031"/>
    <w:rsid w:val="003330F3"/>
    <w:rsid w:val="003334DA"/>
    <w:rsid w:val="003335AF"/>
    <w:rsid w:val="00333643"/>
    <w:rsid w:val="0033390C"/>
    <w:rsid w:val="003339BF"/>
    <w:rsid w:val="00333A86"/>
    <w:rsid w:val="00333AD6"/>
    <w:rsid w:val="00333EAB"/>
    <w:rsid w:val="0033424E"/>
    <w:rsid w:val="00334D9F"/>
    <w:rsid w:val="00334DCE"/>
    <w:rsid w:val="00334E8F"/>
    <w:rsid w:val="00334E98"/>
    <w:rsid w:val="00334F3C"/>
    <w:rsid w:val="00334FC0"/>
    <w:rsid w:val="0033501A"/>
    <w:rsid w:val="00335061"/>
    <w:rsid w:val="003353EC"/>
    <w:rsid w:val="0033543C"/>
    <w:rsid w:val="00335618"/>
    <w:rsid w:val="0033563B"/>
    <w:rsid w:val="00335836"/>
    <w:rsid w:val="003358B8"/>
    <w:rsid w:val="003359C1"/>
    <w:rsid w:val="00335D71"/>
    <w:rsid w:val="00335EB9"/>
    <w:rsid w:val="00335F94"/>
    <w:rsid w:val="00335FFF"/>
    <w:rsid w:val="00336139"/>
    <w:rsid w:val="003362AA"/>
    <w:rsid w:val="0033639E"/>
    <w:rsid w:val="0033646B"/>
    <w:rsid w:val="00336479"/>
    <w:rsid w:val="0033651B"/>
    <w:rsid w:val="00336675"/>
    <w:rsid w:val="00337285"/>
    <w:rsid w:val="00337486"/>
    <w:rsid w:val="00337752"/>
    <w:rsid w:val="003377A4"/>
    <w:rsid w:val="003378CC"/>
    <w:rsid w:val="00337B7F"/>
    <w:rsid w:val="00337EAF"/>
    <w:rsid w:val="00337ED5"/>
    <w:rsid w:val="00337FA7"/>
    <w:rsid w:val="00340362"/>
    <w:rsid w:val="00340576"/>
    <w:rsid w:val="0034062F"/>
    <w:rsid w:val="00340665"/>
    <w:rsid w:val="00340666"/>
    <w:rsid w:val="00340AFC"/>
    <w:rsid w:val="00340F3B"/>
    <w:rsid w:val="00340FDA"/>
    <w:rsid w:val="003415C6"/>
    <w:rsid w:val="0034179E"/>
    <w:rsid w:val="00341915"/>
    <w:rsid w:val="00341BBF"/>
    <w:rsid w:val="00341CD3"/>
    <w:rsid w:val="00341DCC"/>
    <w:rsid w:val="00342153"/>
    <w:rsid w:val="003422D4"/>
    <w:rsid w:val="0034235C"/>
    <w:rsid w:val="00342419"/>
    <w:rsid w:val="00342754"/>
    <w:rsid w:val="0034298D"/>
    <w:rsid w:val="00342AAA"/>
    <w:rsid w:val="00342BCA"/>
    <w:rsid w:val="00342C73"/>
    <w:rsid w:val="00342D1D"/>
    <w:rsid w:val="00343006"/>
    <w:rsid w:val="00343506"/>
    <w:rsid w:val="003437B7"/>
    <w:rsid w:val="003437D6"/>
    <w:rsid w:val="00343BD8"/>
    <w:rsid w:val="00343EA3"/>
    <w:rsid w:val="00343EEC"/>
    <w:rsid w:val="00343F0E"/>
    <w:rsid w:val="00343F63"/>
    <w:rsid w:val="00344581"/>
    <w:rsid w:val="003446A7"/>
    <w:rsid w:val="0034495D"/>
    <w:rsid w:val="00344998"/>
    <w:rsid w:val="00344C05"/>
    <w:rsid w:val="0034531E"/>
    <w:rsid w:val="0034561F"/>
    <w:rsid w:val="00345894"/>
    <w:rsid w:val="003458CF"/>
    <w:rsid w:val="00345FAB"/>
    <w:rsid w:val="00346668"/>
    <w:rsid w:val="00346870"/>
    <w:rsid w:val="00346C14"/>
    <w:rsid w:val="00346DC9"/>
    <w:rsid w:val="00346E98"/>
    <w:rsid w:val="00346EC2"/>
    <w:rsid w:val="00346F6D"/>
    <w:rsid w:val="00347584"/>
    <w:rsid w:val="003478D2"/>
    <w:rsid w:val="003479D1"/>
    <w:rsid w:val="00347BD5"/>
    <w:rsid w:val="00350278"/>
    <w:rsid w:val="003505AA"/>
    <w:rsid w:val="00350648"/>
    <w:rsid w:val="00350674"/>
    <w:rsid w:val="003508D7"/>
    <w:rsid w:val="00350925"/>
    <w:rsid w:val="00350AAB"/>
    <w:rsid w:val="00350AC6"/>
    <w:rsid w:val="003514C6"/>
    <w:rsid w:val="00351866"/>
    <w:rsid w:val="003519A0"/>
    <w:rsid w:val="003520C0"/>
    <w:rsid w:val="0035212F"/>
    <w:rsid w:val="0035226C"/>
    <w:rsid w:val="0035229B"/>
    <w:rsid w:val="00352344"/>
    <w:rsid w:val="00352497"/>
    <w:rsid w:val="003526F7"/>
    <w:rsid w:val="003527B7"/>
    <w:rsid w:val="00352DC1"/>
    <w:rsid w:val="00352E84"/>
    <w:rsid w:val="00352F41"/>
    <w:rsid w:val="00353027"/>
    <w:rsid w:val="003530DF"/>
    <w:rsid w:val="0035336A"/>
    <w:rsid w:val="00353493"/>
    <w:rsid w:val="00353BEA"/>
    <w:rsid w:val="00353C84"/>
    <w:rsid w:val="00353E0A"/>
    <w:rsid w:val="00353F63"/>
    <w:rsid w:val="00354326"/>
    <w:rsid w:val="003544A6"/>
    <w:rsid w:val="003546A7"/>
    <w:rsid w:val="003546D5"/>
    <w:rsid w:val="00354736"/>
    <w:rsid w:val="00354814"/>
    <w:rsid w:val="003549F3"/>
    <w:rsid w:val="00354B60"/>
    <w:rsid w:val="00354EAF"/>
    <w:rsid w:val="00354FC0"/>
    <w:rsid w:val="00355520"/>
    <w:rsid w:val="00355807"/>
    <w:rsid w:val="00355966"/>
    <w:rsid w:val="00355AFC"/>
    <w:rsid w:val="00355F4A"/>
    <w:rsid w:val="00356004"/>
    <w:rsid w:val="00356694"/>
    <w:rsid w:val="00356A02"/>
    <w:rsid w:val="00356A20"/>
    <w:rsid w:val="00356CD0"/>
    <w:rsid w:val="0035709B"/>
    <w:rsid w:val="003574EA"/>
    <w:rsid w:val="00357537"/>
    <w:rsid w:val="00357546"/>
    <w:rsid w:val="003575C7"/>
    <w:rsid w:val="003575F5"/>
    <w:rsid w:val="003576E6"/>
    <w:rsid w:val="00357878"/>
    <w:rsid w:val="00357931"/>
    <w:rsid w:val="00357951"/>
    <w:rsid w:val="00357BC0"/>
    <w:rsid w:val="00357BC3"/>
    <w:rsid w:val="003604DF"/>
    <w:rsid w:val="003609CF"/>
    <w:rsid w:val="00360B62"/>
    <w:rsid w:val="00360BA5"/>
    <w:rsid w:val="00360C24"/>
    <w:rsid w:val="00360C3D"/>
    <w:rsid w:val="00360D21"/>
    <w:rsid w:val="00360F00"/>
    <w:rsid w:val="00361504"/>
    <w:rsid w:val="00361557"/>
    <w:rsid w:val="00361784"/>
    <w:rsid w:val="003619F5"/>
    <w:rsid w:val="00361A11"/>
    <w:rsid w:val="00361BF0"/>
    <w:rsid w:val="00361C5A"/>
    <w:rsid w:val="0036202D"/>
    <w:rsid w:val="00362A4A"/>
    <w:rsid w:val="00362B25"/>
    <w:rsid w:val="00363244"/>
    <w:rsid w:val="0036335A"/>
    <w:rsid w:val="003633F6"/>
    <w:rsid w:val="00363444"/>
    <w:rsid w:val="003639DF"/>
    <w:rsid w:val="00363CD6"/>
    <w:rsid w:val="00363D50"/>
    <w:rsid w:val="00363E84"/>
    <w:rsid w:val="003640A6"/>
    <w:rsid w:val="003644C9"/>
    <w:rsid w:val="003645A9"/>
    <w:rsid w:val="00364A4C"/>
    <w:rsid w:val="00364FB7"/>
    <w:rsid w:val="00365023"/>
    <w:rsid w:val="003651F0"/>
    <w:rsid w:val="003654C8"/>
    <w:rsid w:val="0036558C"/>
    <w:rsid w:val="003658A4"/>
    <w:rsid w:val="003658AF"/>
    <w:rsid w:val="003659E0"/>
    <w:rsid w:val="00365A26"/>
    <w:rsid w:val="00365ACE"/>
    <w:rsid w:val="00365AE0"/>
    <w:rsid w:val="00366023"/>
    <w:rsid w:val="003660B9"/>
    <w:rsid w:val="003660E6"/>
    <w:rsid w:val="003664B1"/>
    <w:rsid w:val="00366982"/>
    <w:rsid w:val="00366990"/>
    <w:rsid w:val="00366C16"/>
    <w:rsid w:val="00366EF3"/>
    <w:rsid w:val="00366F21"/>
    <w:rsid w:val="00367055"/>
    <w:rsid w:val="003670C1"/>
    <w:rsid w:val="0036720D"/>
    <w:rsid w:val="003672CE"/>
    <w:rsid w:val="00367433"/>
    <w:rsid w:val="00367629"/>
    <w:rsid w:val="0036791D"/>
    <w:rsid w:val="00367A26"/>
    <w:rsid w:val="00367B55"/>
    <w:rsid w:val="00367BE8"/>
    <w:rsid w:val="00367C49"/>
    <w:rsid w:val="00367C8D"/>
    <w:rsid w:val="00367D88"/>
    <w:rsid w:val="00367E4B"/>
    <w:rsid w:val="00367FC0"/>
    <w:rsid w:val="00370ABD"/>
    <w:rsid w:val="00370AC3"/>
    <w:rsid w:val="00370C61"/>
    <w:rsid w:val="00370F07"/>
    <w:rsid w:val="00370F5B"/>
    <w:rsid w:val="00371052"/>
    <w:rsid w:val="00371161"/>
    <w:rsid w:val="003711F1"/>
    <w:rsid w:val="003713C1"/>
    <w:rsid w:val="00371776"/>
    <w:rsid w:val="00371968"/>
    <w:rsid w:val="00371DB2"/>
    <w:rsid w:val="00372335"/>
    <w:rsid w:val="0037235B"/>
    <w:rsid w:val="0037256C"/>
    <w:rsid w:val="003728AA"/>
    <w:rsid w:val="00372AD7"/>
    <w:rsid w:val="00372D65"/>
    <w:rsid w:val="00372F85"/>
    <w:rsid w:val="00372FAF"/>
    <w:rsid w:val="0037331C"/>
    <w:rsid w:val="003735B3"/>
    <w:rsid w:val="00373683"/>
    <w:rsid w:val="0037376C"/>
    <w:rsid w:val="003739CA"/>
    <w:rsid w:val="00373A98"/>
    <w:rsid w:val="00373DDD"/>
    <w:rsid w:val="00373E55"/>
    <w:rsid w:val="00373F1F"/>
    <w:rsid w:val="003743A9"/>
    <w:rsid w:val="003743B5"/>
    <w:rsid w:val="003749CC"/>
    <w:rsid w:val="00374A81"/>
    <w:rsid w:val="00374FF3"/>
    <w:rsid w:val="003751AE"/>
    <w:rsid w:val="003751DC"/>
    <w:rsid w:val="0037531C"/>
    <w:rsid w:val="00375700"/>
    <w:rsid w:val="00375921"/>
    <w:rsid w:val="00375979"/>
    <w:rsid w:val="00375A86"/>
    <w:rsid w:val="00375CFC"/>
    <w:rsid w:val="00375EC6"/>
    <w:rsid w:val="00376247"/>
    <w:rsid w:val="0037633C"/>
    <w:rsid w:val="003763BB"/>
    <w:rsid w:val="003764AE"/>
    <w:rsid w:val="0037650F"/>
    <w:rsid w:val="0037664A"/>
    <w:rsid w:val="00376A93"/>
    <w:rsid w:val="00376AFA"/>
    <w:rsid w:val="00376B09"/>
    <w:rsid w:val="00376E6D"/>
    <w:rsid w:val="003772FB"/>
    <w:rsid w:val="00377475"/>
    <w:rsid w:val="00377575"/>
    <w:rsid w:val="003776F8"/>
    <w:rsid w:val="00377A5F"/>
    <w:rsid w:val="00377AC5"/>
    <w:rsid w:val="00377BC7"/>
    <w:rsid w:val="00377EDE"/>
    <w:rsid w:val="00377F04"/>
    <w:rsid w:val="003801D1"/>
    <w:rsid w:val="0038089D"/>
    <w:rsid w:val="00380B0E"/>
    <w:rsid w:val="00380E63"/>
    <w:rsid w:val="00380F7A"/>
    <w:rsid w:val="00381848"/>
    <w:rsid w:val="00381ACC"/>
    <w:rsid w:val="00381B51"/>
    <w:rsid w:val="00381EEB"/>
    <w:rsid w:val="003821A9"/>
    <w:rsid w:val="003821B0"/>
    <w:rsid w:val="003821FE"/>
    <w:rsid w:val="00382269"/>
    <w:rsid w:val="00382386"/>
    <w:rsid w:val="00382704"/>
    <w:rsid w:val="003827F1"/>
    <w:rsid w:val="003828E9"/>
    <w:rsid w:val="00382C18"/>
    <w:rsid w:val="00382DDC"/>
    <w:rsid w:val="00382EA0"/>
    <w:rsid w:val="00382F2D"/>
    <w:rsid w:val="0038315A"/>
    <w:rsid w:val="0038333A"/>
    <w:rsid w:val="0038334D"/>
    <w:rsid w:val="003836E8"/>
    <w:rsid w:val="00383819"/>
    <w:rsid w:val="0038458F"/>
    <w:rsid w:val="00384610"/>
    <w:rsid w:val="00384737"/>
    <w:rsid w:val="0038485D"/>
    <w:rsid w:val="0038499D"/>
    <w:rsid w:val="00384C1A"/>
    <w:rsid w:val="00384C61"/>
    <w:rsid w:val="00384DF3"/>
    <w:rsid w:val="00384F37"/>
    <w:rsid w:val="00384F8C"/>
    <w:rsid w:val="00385452"/>
    <w:rsid w:val="00385588"/>
    <w:rsid w:val="003856B4"/>
    <w:rsid w:val="00385706"/>
    <w:rsid w:val="0038573F"/>
    <w:rsid w:val="0038585B"/>
    <w:rsid w:val="00385989"/>
    <w:rsid w:val="00385AEA"/>
    <w:rsid w:val="00385B92"/>
    <w:rsid w:val="00385BC2"/>
    <w:rsid w:val="00385E2F"/>
    <w:rsid w:val="00385FCF"/>
    <w:rsid w:val="00386293"/>
    <w:rsid w:val="00386306"/>
    <w:rsid w:val="003871C5"/>
    <w:rsid w:val="00387215"/>
    <w:rsid w:val="0038724C"/>
    <w:rsid w:val="00387380"/>
    <w:rsid w:val="0038748B"/>
    <w:rsid w:val="00387D17"/>
    <w:rsid w:val="00387DC4"/>
    <w:rsid w:val="00387ED3"/>
    <w:rsid w:val="0039018A"/>
    <w:rsid w:val="00390545"/>
    <w:rsid w:val="00390583"/>
    <w:rsid w:val="003905F9"/>
    <w:rsid w:val="003906E3"/>
    <w:rsid w:val="003907DE"/>
    <w:rsid w:val="00390BA1"/>
    <w:rsid w:val="00390CD2"/>
    <w:rsid w:val="00390DF0"/>
    <w:rsid w:val="00390E2B"/>
    <w:rsid w:val="003911A4"/>
    <w:rsid w:val="00391211"/>
    <w:rsid w:val="00391320"/>
    <w:rsid w:val="003913CC"/>
    <w:rsid w:val="003916EC"/>
    <w:rsid w:val="003916F9"/>
    <w:rsid w:val="00391A32"/>
    <w:rsid w:val="00391ADA"/>
    <w:rsid w:val="00391E2F"/>
    <w:rsid w:val="00392431"/>
    <w:rsid w:val="0039244B"/>
    <w:rsid w:val="0039262C"/>
    <w:rsid w:val="0039266C"/>
    <w:rsid w:val="003928F0"/>
    <w:rsid w:val="00392C77"/>
    <w:rsid w:val="00392C96"/>
    <w:rsid w:val="00392D75"/>
    <w:rsid w:val="0039305A"/>
    <w:rsid w:val="00393A18"/>
    <w:rsid w:val="00393E2E"/>
    <w:rsid w:val="00393E60"/>
    <w:rsid w:val="003940A2"/>
    <w:rsid w:val="003946C5"/>
    <w:rsid w:val="00394748"/>
    <w:rsid w:val="00394A15"/>
    <w:rsid w:val="00394A2F"/>
    <w:rsid w:val="0039507C"/>
    <w:rsid w:val="003950C6"/>
    <w:rsid w:val="003954E3"/>
    <w:rsid w:val="003956D5"/>
    <w:rsid w:val="00395727"/>
    <w:rsid w:val="00395D46"/>
    <w:rsid w:val="00396448"/>
    <w:rsid w:val="00396514"/>
    <w:rsid w:val="003965F9"/>
    <w:rsid w:val="003967AB"/>
    <w:rsid w:val="00396A3F"/>
    <w:rsid w:val="00396C38"/>
    <w:rsid w:val="00396CBA"/>
    <w:rsid w:val="00396D38"/>
    <w:rsid w:val="00396DC6"/>
    <w:rsid w:val="00397165"/>
    <w:rsid w:val="00397472"/>
    <w:rsid w:val="003975D3"/>
    <w:rsid w:val="00397798"/>
    <w:rsid w:val="00397889"/>
    <w:rsid w:val="00397A40"/>
    <w:rsid w:val="00397BA3"/>
    <w:rsid w:val="00397C20"/>
    <w:rsid w:val="00397CA5"/>
    <w:rsid w:val="00397CC7"/>
    <w:rsid w:val="00397D6A"/>
    <w:rsid w:val="00397FDD"/>
    <w:rsid w:val="003A006D"/>
    <w:rsid w:val="003A007A"/>
    <w:rsid w:val="003A00D3"/>
    <w:rsid w:val="003A0796"/>
    <w:rsid w:val="003A0C5F"/>
    <w:rsid w:val="003A0CA5"/>
    <w:rsid w:val="003A0DE6"/>
    <w:rsid w:val="003A10D7"/>
    <w:rsid w:val="003A1130"/>
    <w:rsid w:val="003A12E1"/>
    <w:rsid w:val="003A1329"/>
    <w:rsid w:val="003A149E"/>
    <w:rsid w:val="003A153D"/>
    <w:rsid w:val="003A158C"/>
    <w:rsid w:val="003A16CC"/>
    <w:rsid w:val="003A1D93"/>
    <w:rsid w:val="003A232F"/>
    <w:rsid w:val="003A24DC"/>
    <w:rsid w:val="003A2823"/>
    <w:rsid w:val="003A28A6"/>
    <w:rsid w:val="003A2922"/>
    <w:rsid w:val="003A29D1"/>
    <w:rsid w:val="003A2E3E"/>
    <w:rsid w:val="003A3145"/>
    <w:rsid w:val="003A33A4"/>
    <w:rsid w:val="003A34C6"/>
    <w:rsid w:val="003A3546"/>
    <w:rsid w:val="003A390F"/>
    <w:rsid w:val="003A3C8A"/>
    <w:rsid w:val="003A405B"/>
    <w:rsid w:val="003A4295"/>
    <w:rsid w:val="003A46DD"/>
    <w:rsid w:val="003A4746"/>
    <w:rsid w:val="003A4DE1"/>
    <w:rsid w:val="003A4EF7"/>
    <w:rsid w:val="003A526A"/>
    <w:rsid w:val="003A5835"/>
    <w:rsid w:val="003A597F"/>
    <w:rsid w:val="003A5A97"/>
    <w:rsid w:val="003A5B38"/>
    <w:rsid w:val="003A5D03"/>
    <w:rsid w:val="003A5D7B"/>
    <w:rsid w:val="003A5FE9"/>
    <w:rsid w:val="003A6020"/>
    <w:rsid w:val="003A642A"/>
    <w:rsid w:val="003A647B"/>
    <w:rsid w:val="003A64EF"/>
    <w:rsid w:val="003A6935"/>
    <w:rsid w:val="003A6A2F"/>
    <w:rsid w:val="003A6A3A"/>
    <w:rsid w:val="003A6B07"/>
    <w:rsid w:val="003A6CDD"/>
    <w:rsid w:val="003A6D4F"/>
    <w:rsid w:val="003A7261"/>
    <w:rsid w:val="003A7277"/>
    <w:rsid w:val="003A72FD"/>
    <w:rsid w:val="003A76DC"/>
    <w:rsid w:val="003A77DA"/>
    <w:rsid w:val="003A7B2C"/>
    <w:rsid w:val="003A7E42"/>
    <w:rsid w:val="003B003A"/>
    <w:rsid w:val="003B0138"/>
    <w:rsid w:val="003B0277"/>
    <w:rsid w:val="003B05F0"/>
    <w:rsid w:val="003B0824"/>
    <w:rsid w:val="003B0828"/>
    <w:rsid w:val="003B0B3D"/>
    <w:rsid w:val="003B0F68"/>
    <w:rsid w:val="003B103C"/>
    <w:rsid w:val="003B114C"/>
    <w:rsid w:val="003B13BE"/>
    <w:rsid w:val="003B1588"/>
    <w:rsid w:val="003B15D8"/>
    <w:rsid w:val="003B1AB7"/>
    <w:rsid w:val="003B1FE3"/>
    <w:rsid w:val="003B22A7"/>
    <w:rsid w:val="003B2366"/>
    <w:rsid w:val="003B2568"/>
    <w:rsid w:val="003B26C3"/>
    <w:rsid w:val="003B2AC6"/>
    <w:rsid w:val="003B3089"/>
    <w:rsid w:val="003B31F3"/>
    <w:rsid w:val="003B32DC"/>
    <w:rsid w:val="003B34B1"/>
    <w:rsid w:val="003B373C"/>
    <w:rsid w:val="003B37BD"/>
    <w:rsid w:val="003B3811"/>
    <w:rsid w:val="003B38CE"/>
    <w:rsid w:val="003B3CAC"/>
    <w:rsid w:val="003B3ED0"/>
    <w:rsid w:val="003B3F86"/>
    <w:rsid w:val="003B3FB4"/>
    <w:rsid w:val="003B4028"/>
    <w:rsid w:val="003B418D"/>
    <w:rsid w:val="003B4199"/>
    <w:rsid w:val="003B4278"/>
    <w:rsid w:val="003B4338"/>
    <w:rsid w:val="003B4773"/>
    <w:rsid w:val="003B4FB4"/>
    <w:rsid w:val="003B50A7"/>
    <w:rsid w:val="003B50C4"/>
    <w:rsid w:val="003B524B"/>
    <w:rsid w:val="003B52FE"/>
    <w:rsid w:val="003B566B"/>
    <w:rsid w:val="003B5737"/>
    <w:rsid w:val="003B589A"/>
    <w:rsid w:val="003B58A8"/>
    <w:rsid w:val="003B5901"/>
    <w:rsid w:val="003B5C2C"/>
    <w:rsid w:val="003B5CBA"/>
    <w:rsid w:val="003B6230"/>
    <w:rsid w:val="003B65B1"/>
    <w:rsid w:val="003B6624"/>
    <w:rsid w:val="003B6763"/>
    <w:rsid w:val="003B6CD5"/>
    <w:rsid w:val="003B6F58"/>
    <w:rsid w:val="003B7168"/>
    <w:rsid w:val="003B780B"/>
    <w:rsid w:val="003B799C"/>
    <w:rsid w:val="003B7B2E"/>
    <w:rsid w:val="003B7D2B"/>
    <w:rsid w:val="003B7DD8"/>
    <w:rsid w:val="003B7F1B"/>
    <w:rsid w:val="003C025E"/>
    <w:rsid w:val="003C0455"/>
    <w:rsid w:val="003C04BF"/>
    <w:rsid w:val="003C0774"/>
    <w:rsid w:val="003C07F3"/>
    <w:rsid w:val="003C08F8"/>
    <w:rsid w:val="003C0960"/>
    <w:rsid w:val="003C0BCF"/>
    <w:rsid w:val="003C0DFF"/>
    <w:rsid w:val="003C0F83"/>
    <w:rsid w:val="003C1382"/>
    <w:rsid w:val="003C1762"/>
    <w:rsid w:val="003C18F3"/>
    <w:rsid w:val="003C193D"/>
    <w:rsid w:val="003C1989"/>
    <w:rsid w:val="003C1A35"/>
    <w:rsid w:val="003C1D8A"/>
    <w:rsid w:val="003C1DBF"/>
    <w:rsid w:val="003C209E"/>
    <w:rsid w:val="003C223E"/>
    <w:rsid w:val="003C24B7"/>
    <w:rsid w:val="003C25EF"/>
    <w:rsid w:val="003C2882"/>
    <w:rsid w:val="003C2BDD"/>
    <w:rsid w:val="003C2FF0"/>
    <w:rsid w:val="003C31A5"/>
    <w:rsid w:val="003C31FA"/>
    <w:rsid w:val="003C366A"/>
    <w:rsid w:val="003C3ADD"/>
    <w:rsid w:val="003C3CF9"/>
    <w:rsid w:val="003C3D7C"/>
    <w:rsid w:val="003C3F54"/>
    <w:rsid w:val="003C40F6"/>
    <w:rsid w:val="003C46CC"/>
    <w:rsid w:val="003C4A4A"/>
    <w:rsid w:val="003C4A5E"/>
    <w:rsid w:val="003C528A"/>
    <w:rsid w:val="003C5408"/>
    <w:rsid w:val="003C5540"/>
    <w:rsid w:val="003C5904"/>
    <w:rsid w:val="003C5AA8"/>
    <w:rsid w:val="003C5B83"/>
    <w:rsid w:val="003C5B97"/>
    <w:rsid w:val="003C5D46"/>
    <w:rsid w:val="003C5FE8"/>
    <w:rsid w:val="003C60F0"/>
    <w:rsid w:val="003C63D9"/>
    <w:rsid w:val="003C650E"/>
    <w:rsid w:val="003C6C20"/>
    <w:rsid w:val="003C6EAE"/>
    <w:rsid w:val="003C70D6"/>
    <w:rsid w:val="003C7111"/>
    <w:rsid w:val="003C721F"/>
    <w:rsid w:val="003C72AF"/>
    <w:rsid w:val="003C7459"/>
    <w:rsid w:val="003C76CC"/>
    <w:rsid w:val="003C7A2F"/>
    <w:rsid w:val="003C7A46"/>
    <w:rsid w:val="003C7BFA"/>
    <w:rsid w:val="003C7CB1"/>
    <w:rsid w:val="003D0003"/>
    <w:rsid w:val="003D0131"/>
    <w:rsid w:val="003D03A2"/>
    <w:rsid w:val="003D087D"/>
    <w:rsid w:val="003D0C18"/>
    <w:rsid w:val="003D0E18"/>
    <w:rsid w:val="003D1085"/>
    <w:rsid w:val="003D11F2"/>
    <w:rsid w:val="003D125F"/>
    <w:rsid w:val="003D12BB"/>
    <w:rsid w:val="003D152F"/>
    <w:rsid w:val="003D15BB"/>
    <w:rsid w:val="003D167B"/>
    <w:rsid w:val="003D1AA5"/>
    <w:rsid w:val="003D1AF0"/>
    <w:rsid w:val="003D1C85"/>
    <w:rsid w:val="003D2122"/>
    <w:rsid w:val="003D2426"/>
    <w:rsid w:val="003D2E52"/>
    <w:rsid w:val="003D2F68"/>
    <w:rsid w:val="003D355F"/>
    <w:rsid w:val="003D3565"/>
    <w:rsid w:val="003D360A"/>
    <w:rsid w:val="003D365D"/>
    <w:rsid w:val="003D38DB"/>
    <w:rsid w:val="003D3C13"/>
    <w:rsid w:val="003D3CDD"/>
    <w:rsid w:val="003D3DED"/>
    <w:rsid w:val="003D3E48"/>
    <w:rsid w:val="003D3E4D"/>
    <w:rsid w:val="003D3FA8"/>
    <w:rsid w:val="003D44D9"/>
    <w:rsid w:val="003D4B34"/>
    <w:rsid w:val="003D4CD1"/>
    <w:rsid w:val="003D4CF0"/>
    <w:rsid w:val="003D4EEC"/>
    <w:rsid w:val="003D50A7"/>
    <w:rsid w:val="003D52AB"/>
    <w:rsid w:val="003D541A"/>
    <w:rsid w:val="003D5F62"/>
    <w:rsid w:val="003D60F9"/>
    <w:rsid w:val="003D61EE"/>
    <w:rsid w:val="003D622E"/>
    <w:rsid w:val="003D6975"/>
    <w:rsid w:val="003D69D9"/>
    <w:rsid w:val="003D6E39"/>
    <w:rsid w:val="003D6F89"/>
    <w:rsid w:val="003D7136"/>
    <w:rsid w:val="003D72B8"/>
    <w:rsid w:val="003D747C"/>
    <w:rsid w:val="003D7551"/>
    <w:rsid w:val="003D761A"/>
    <w:rsid w:val="003D7843"/>
    <w:rsid w:val="003D7904"/>
    <w:rsid w:val="003D79A7"/>
    <w:rsid w:val="003D7BDE"/>
    <w:rsid w:val="003D7CFC"/>
    <w:rsid w:val="003D7D29"/>
    <w:rsid w:val="003E0021"/>
    <w:rsid w:val="003E0035"/>
    <w:rsid w:val="003E016E"/>
    <w:rsid w:val="003E0297"/>
    <w:rsid w:val="003E0511"/>
    <w:rsid w:val="003E0843"/>
    <w:rsid w:val="003E0877"/>
    <w:rsid w:val="003E0C83"/>
    <w:rsid w:val="003E0D01"/>
    <w:rsid w:val="003E0E87"/>
    <w:rsid w:val="003E0EA6"/>
    <w:rsid w:val="003E0F4C"/>
    <w:rsid w:val="003E141C"/>
    <w:rsid w:val="003E181C"/>
    <w:rsid w:val="003E1B41"/>
    <w:rsid w:val="003E1BAB"/>
    <w:rsid w:val="003E1BAC"/>
    <w:rsid w:val="003E1D9D"/>
    <w:rsid w:val="003E1ED2"/>
    <w:rsid w:val="003E1F02"/>
    <w:rsid w:val="003E21F4"/>
    <w:rsid w:val="003E282F"/>
    <w:rsid w:val="003E286F"/>
    <w:rsid w:val="003E2BEB"/>
    <w:rsid w:val="003E2BF2"/>
    <w:rsid w:val="003E31D5"/>
    <w:rsid w:val="003E343D"/>
    <w:rsid w:val="003E389D"/>
    <w:rsid w:val="003E38FB"/>
    <w:rsid w:val="003E3CF8"/>
    <w:rsid w:val="003E3F63"/>
    <w:rsid w:val="003E4367"/>
    <w:rsid w:val="003E43D7"/>
    <w:rsid w:val="003E4457"/>
    <w:rsid w:val="003E4501"/>
    <w:rsid w:val="003E4B40"/>
    <w:rsid w:val="003E4BD8"/>
    <w:rsid w:val="003E5360"/>
    <w:rsid w:val="003E55B9"/>
    <w:rsid w:val="003E56B5"/>
    <w:rsid w:val="003E58AC"/>
    <w:rsid w:val="003E633C"/>
    <w:rsid w:val="003E6510"/>
    <w:rsid w:val="003E6975"/>
    <w:rsid w:val="003E6B50"/>
    <w:rsid w:val="003E6E1F"/>
    <w:rsid w:val="003E6EC9"/>
    <w:rsid w:val="003E6F47"/>
    <w:rsid w:val="003E70E0"/>
    <w:rsid w:val="003E7263"/>
    <w:rsid w:val="003E754C"/>
    <w:rsid w:val="003E76E9"/>
    <w:rsid w:val="003E77F9"/>
    <w:rsid w:val="003E7B20"/>
    <w:rsid w:val="003E7B92"/>
    <w:rsid w:val="003F0174"/>
    <w:rsid w:val="003F040E"/>
    <w:rsid w:val="003F0450"/>
    <w:rsid w:val="003F0501"/>
    <w:rsid w:val="003F103F"/>
    <w:rsid w:val="003F1645"/>
    <w:rsid w:val="003F1818"/>
    <w:rsid w:val="003F1B11"/>
    <w:rsid w:val="003F1BE9"/>
    <w:rsid w:val="003F2420"/>
    <w:rsid w:val="003F246C"/>
    <w:rsid w:val="003F2558"/>
    <w:rsid w:val="003F258F"/>
    <w:rsid w:val="003F27A7"/>
    <w:rsid w:val="003F2890"/>
    <w:rsid w:val="003F29A5"/>
    <w:rsid w:val="003F29CD"/>
    <w:rsid w:val="003F2AFA"/>
    <w:rsid w:val="003F2BFB"/>
    <w:rsid w:val="003F2C9C"/>
    <w:rsid w:val="003F2D1D"/>
    <w:rsid w:val="003F2D54"/>
    <w:rsid w:val="003F2E00"/>
    <w:rsid w:val="003F2E40"/>
    <w:rsid w:val="003F2FCB"/>
    <w:rsid w:val="003F3322"/>
    <w:rsid w:val="003F33F2"/>
    <w:rsid w:val="003F354A"/>
    <w:rsid w:val="003F3B71"/>
    <w:rsid w:val="003F3BC3"/>
    <w:rsid w:val="003F3DCB"/>
    <w:rsid w:val="003F3EFB"/>
    <w:rsid w:val="003F3F17"/>
    <w:rsid w:val="003F3F24"/>
    <w:rsid w:val="003F3F94"/>
    <w:rsid w:val="003F44C8"/>
    <w:rsid w:val="003F4605"/>
    <w:rsid w:val="003F4843"/>
    <w:rsid w:val="003F48A0"/>
    <w:rsid w:val="003F48E4"/>
    <w:rsid w:val="003F4929"/>
    <w:rsid w:val="003F49AB"/>
    <w:rsid w:val="003F4A7F"/>
    <w:rsid w:val="003F57A2"/>
    <w:rsid w:val="003F592D"/>
    <w:rsid w:val="003F60DE"/>
    <w:rsid w:val="003F62F0"/>
    <w:rsid w:val="003F634E"/>
    <w:rsid w:val="003F64A9"/>
    <w:rsid w:val="003F675E"/>
    <w:rsid w:val="003F6839"/>
    <w:rsid w:val="003F6AEF"/>
    <w:rsid w:val="003F730A"/>
    <w:rsid w:val="003F739F"/>
    <w:rsid w:val="003F7CE2"/>
    <w:rsid w:val="003F7EE5"/>
    <w:rsid w:val="00400598"/>
    <w:rsid w:val="0040065B"/>
    <w:rsid w:val="004009F4"/>
    <w:rsid w:val="00400D5B"/>
    <w:rsid w:val="00400F8A"/>
    <w:rsid w:val="004012E8"/>
    <w:rsid w:val="00401382"/>
    <w:rsid w:val="00401704"/>
    <w:rsid w:val="004017F0"/>
    <w:rsid w:val="00401D48"/>
    <w:rsid w:val="0040202C"/>
    <w:rsid w:val="0040205D"/>
    <w:rsid w:val="004020D7"/>
    <w:rsid w:val="00402195"/>
    <w:rsid w:val="004021A4"/>
    <w:rsid w:val="0040228E"/>
    <w:rsid w:val="004027A7"/>
    <w:rsid w:val="00402DC7"/>
    <w:rsid w:val="004031FB"/>
    <w:rsid w:val="00403271"/>
    <w:rsid w:val="0040345D"/>
    <w:rsid w:val="004034DD"/>
    <w:rsid w:val="0040352C"/>
    <w:rsid w:val="004036B9"/>
    <w:rsid w:val="00403719"/>
    <w:rsid w:val="00403A02"/>
    <w:rsid w:val="00403CFB"/>
    <w:rsid w:val="00403E62"/>
    <w:rsid w:val="00404013"/>
    <w:rsid w:val="00404025"/>
    <w:rsid w:val="004041D5"/>
    <w:rsid w:val="00404757"/>
    <w:rsid w:val="00404A21"/>
    <w:rsid w:val="00404AB4"/>
    <w:rsid w:val="00404D76"/>
    <w:rsid w:val="0040528C"/>
    <w:rsid w:val="0040532D"/>
    <w:rsid w:val="00405BB0"/>
    <w:rsid w:val="0040602C"/>
    <w:rsid w:val="0040687F"/>
    <w:rsid w:val="00406AD8"/>
    <w:rsid w:val="00406B6D"/>
    <w:rsid w:val="004079E6"/>
    <w:rsid w:val="00407C34"/>
    <w:rsid w:val="00407CBB"/>
    <w:rsid w:val="00410075"/>
    <w:rsid w:val="00410140"/>
    <w:rsid w:val="004101C5"/>
    <w:rsid w:val="0041026C"/>
    <w:rsid w:val="00410453"/>
    <w:rsid w:val="00410718"/>
    <w:rsid w:val="00410834"/>
    <w:rsid w:val="004108F7"/>
    <w:rsid w:val="00410F73"/>
    <w:rsid w:val="004110D3"/>
    <w:rsid w:val="0041120F"/>
    <w:rsid w:val="004112BE"/>
    <w:rsid w:val="004113DC"/>
    <w:rsid w:val="00411776"/>
    <w:rsid w:val="004117FA"/>
    <w:rsid w:val="00411889"/>
    <w:rsid w:val="00411965"/>
    <w:rsid w:val="004119C1"/>
    <w:rsid w:val="00411AF8"/>
    <w:rsid w:val="00411BCC"/>
    <w:rsid w:val="0041212C"/>
    <w:rsid w:val="00412420"/>
    <w:rsid w:val="004128AF"/>
    <w:rsid w:val="00412BAB"/>
    <w:rsid w:val="00412DCD"/>
    <w:rsid w:val="00412E3D"/>
    <w:rsid w:val="00413184"/>
    <w:rsid w:val="00413235"/>
    <w:rsid w:val="0041333A"/>
    <w:rsid w:val="0041343F"/>
    <w:rsid w:val="004134E4"/>
    <w:rsid w:val="0041376B"/>
    <w:rsid w:val="004139D3"/>
    <w:rsid w:val="00413D03"/>
    <w:rsid w:val="00413D99"/>
    <w:rsid w:val="00413DD4"/>
    <w:rsid w:val="0041401A"/>
    <w:rsid w:val="004140C0"/>
    <w:rsid w:val="00414B2A"/>
    <w:rsid w:val="00414E3B"/>
    <w:rsid w:val="00415031"/>
    <w:rsid w:val="0041509F"/>
    <w:rsid w:val="00415163"/>
    <w:rsid w:val="004155BB"/>
    <w:rsid w:val="00415676"/>
    <w:rsid w:val="0041573B"/>
    <w:rsid w:val="00415982"/>
    <w:rsid w:val="004159EF"/>
    <w:rsid w:val="00415AE6"/>
    <w:rsid w:val="00415C26"/>
    <w:rsid w:val="00415C3F"/>
    <w:rsid w:val="00415D0F"/>
    <w:rsid w:val="00415DA8"/>
    <w:rsid w:val="00415ECA"/>
    <w:rsid w:val="0041601A"/>
    <w:rsid w:val="00416475"/>
    <w:rsid w:val="0041691D"/>
    <w:rsid w:val="00416B88"/>
    <w:rsid w:val="00416D02"/>
    <w:rsid w:val="0041731E"/>
    <w:rsid w:val="0041783B"/>
    <w:rsid w:val="004178AB"/>
    <w:rsid w:val="004178C4"/>
    <w:rsid w:val="004178D1"/>
    <w:rsid w:val="004178F1"/>
    <w:rsid w:val="00417ACE"/>
    <w:rsid w:val="00417C67"/>
    <w:rsid w:val="00420107"/>
    <w:rsid w:val="004202FE"/>
    <w:rsid w:val="00420EE0"/>
    <w:rsid w:val="00420F65"/>
    <w:rsid w:val="00421016"/>
    <w:rsid w:val="0042118A"/>
    <w:rsid w:val="004211B4"/>
    <w:rsid w:val="004215CC"/>
    <w:rsid w:val="004218AD"/>
    <w:rsid w:val="00421BC4"/>
    <w:rsid w:val="00421C3E"/>
    <w:rsid w:val="0042210D"/>
    <w:rsid w:val="00422476"/>
    <w:rsid w:val="00422A01"/>
    <w:rsid w:val="00422A31"/>
    <w:rsid w:val="00422C53"/>
    <w:rsid w:val="00422CBC"/>
    <w:rsid w:val="00422D84"/>
    <w:rsid w:val="00422D93"/>
    <w:rsid w:val="00422E53"/>
    <w:rsid w:val="00422F1D"/>
    <w:rsid w:val="004230C5"/>
    <w:rsid w:val="00423693"/>
    <w:rsid w:val="004236EA"/>
    <w:rsid w:val="0042370C"/>
    <w:rsid w:val="004238BD"/>
    <w:rsid w:val="004239C8"/>
    <w:rsid w:val="004239EB"/>
    <w:rsid w:val="00423CD8"/>
    <w:rsid w:val="00423DC0"/>
    <w:rsid w:val="00423EBC"/>
    <w:rsid w:val="004244AD"/>
    <w:rsid w:val="00424AA8"/>
    <w:rsid w:val="00424C0D"/>
    <w:rsid w:val="00424C76"/>
    <w:rsid w:val="00424D76"/>
    <w:rsid w:val="00425407"/>
    <w:rsid w:val="00425596"/>
    <w:rsid w:val="0042582D"/>
    <w:rsid w:val="00425CCE"/>
    <w:rsid w:val="00425E4F"/>
    <w:rsid w:val="00425FAA"/>
    <w:rsid w:val="00425FF4"/>
    <w:rsid w:val="00426928"/>
    <w:rsid w:val="00426A20"/>
    <w:rsid w:val="00426B04"/>
    <w:rsid w:val="00426EEE"/>
    <w:rsid w:val="004271E4"/>
    <w:rsid w:val="0042744B"/>
    <w:rsid w:val="00427628"/>
    <w:rsid w:val="004277B9"/>
    <w:rsid w:val="004277FF"/>
    <w:rsid w:val="0042789D"/>
    <w:rsid w:val="004278E9"/>
    <w:rsid w:val="004279E3"/>
    <w:rsid w:val="00427A15"/>
    <w:rsid w:val="00427B2F"/>
    <w:rsid w:val="00427CC0"/>
    <w:rsid w:val="00427DE1"/>
    <w:rsid w:val="00427FC4"/>
    <w:rsid w:val="00430076"/>
    <w:rsid w:val="004306BD"/>
    <w:rsid w:val="004309F0"/>
    <w:rsid w:val="00430CB4"/>
    <w:rsid w:val="004310C1"/>
    <w:rsid w:val="00431428"/>
    <w:rsid w:val="00431B81"/>
    <w:rsid w:val="00431DC6"/>
    <w:rsid w:val="00431E08"/>
    <w:rsid w:val="00431EE4"/>
    <w:rsid w:val="004320E9"/>
    <w:rsid w:val="0043210D"/>
    <w:rsid w:val="004322E9"/>
    <w:rsid w:val="00432366"/>
    <w:rsid w:val="004323E4"/>
    <w:rsid w:val="0043253D"/>
    <w:rsid w:val="0043253F"/>
    <w:rsid w:val="004325F6"/>
    <w:rsid w:val="004326BD"/>
    <w:rsid w:val="00432955"/>
    <w:rsid w:val="004329D5"/>
    <w:rsid w:val="00432AE2"/>
    <w:rsid w:val="00432B2D"/>
    <w:rsid w:val="00432E3F"/>
    <w:rsid w:val="00432E9A"/>
    <w:rsid w:val="004331A0"/>
    <w:rsid w:val="004337C7"/>
    <w:rsid w:val="00433852"/>
    <w:rsid w:val="004338F0"/>
    <w:rsid w:val="00433CE7"/>
    <w:rsid w:val="00433CF2"/>
    <w:rsid w:val="00433D39"/>
    <w:rsid w:val="00433DDF"/>
    <w:rsid w:val="00433F5B"/>
    <w:rsid w:val="00433FD7"/>
    <w:rsid w:val="00434097"/>
    <w:rsid w:val="00434148"/>
    <w:rsid w:val="00434222"/>
    <w:rsid w:val="00434538"/>
    <w:rsid w:val="00434546"/>
    <w:rsid w:val="0043461B"/>
    <w:rsid w:val="004346E0"/>
    <w:rsid w:val="0043481E"/>
    <w:rsid w:val="00434B85"/>
    <w:rsid w:val="00434BDC"/>
    <w:rsid w:val="00434FE2"/>
    <w:rsid w:val="004350DD"/>
    <w:rsid w:val="00435127"/>
    <w:rsid w:val="0043536E"/>
    <w:rsid w:val="00435481"/>
    <w:rsid w:val="004354A2"/>
    <w:rsid w:val="00435649"/>
    <w:rsid w:val="004357D8"/>
    <w:rsid w:val="00435B45"/>
    <w:rsid w:val="0043627A"/>
    <w:rsid w:val="004368A1"/>
    <w:rsid w:val="00436B58"/>
    <w:rsid w:val="004370BB"/>
    <w:rsid w:val="00437848"/>
    <w:rsid w:val="004379EF"/>
    <w:rsid w:val="00437E7D"/>
    <w:rsid w:val="004401EA"/>
    <w:rsid w:val="00440249"/>
    <w:rsid w:val="00440596"/>
    <w:rsid w:val="004406B7"/>
    <w:rsid w:val="00440839"/>
    <w:rsid w:val="00440B89"/>
    <w:rsid w:val="00440BC7"/>
    <w:rsid w:val="00440CC1"/>
    <w:rsid w:val="00440CDB"/>
    <w:rsid w:val="00440E53"/>
    <w:rsid w:val="00440E79"/>
    <w:rsid w:val="00440E9C"/>
    <w:rsid w:val="00440EC4"/>
    <w:rsid w:val="0044137B"/>
    <w:rsid w:val="00441479"/>
    <w:rsid w:val="004414CD"/>
    <w:rsid w:val="00441599"/>
    <w:rsid w:val="004417D2"/>
    <w:rsid w:val="00441AC4"/>
    <w:rsid w:val="00441DA5"/>
    <w:rsid w:val="00441DDF"/>
    <w:rsid w:val="00441F3C"/>
    <w:rsid w:val="00442279"/>
    <w:rsid w:val="00442327"/>
    <w:rsid w:val="00442384"/>
    <w:rsid w:val="004428E5"/>
    <w:rsid w:val="00442B1A"/>
    <w:rsid w:val="00442CAA"/>
    <w:rsid w:val="00442DF3"/>
    <w:rsid w:val="00443100"/>
    <w:rsid w:val="00443428"/>
    <w:rsid w:val="004435C6"/>
    <w:rsid w:val="004435F1"/>
    <w:rsid w:val="004437CC"/>
    <w:rsid w:val="0044386D"/>
    <w:rsid w:val="00443A1D"/>
    <w:rsid w:val="00443A2B"/>
    <w:rsid w:val="00443C2A"/>
    <w:rsid w:val="00443CF5"/>
    <w:rsid w:val="00443D45"/>
    <w:rsid w:val="0044413D"/>
    <w:rsid w:val="00444213"/>
    <w:rsid w:val="004442ED"/>
    <w:rsid w:val="0044435F"/>
    <w:rsid w:val="0044443B"/>
    <w:rsid w:val="004444F5"/>
    <w:rsid w:val="0044454B"/>
    <w:rsid w:val="00444813"/>
    <w:rsid w:val="00444E85"/>
    <w:rsid w:val="00444FDE"/>
    <w:rsid w:val="004457AF"/>
    <w:rsid w:val="0044605D"/>
    <w:rsid w:val="0044611D"/>
    <w:rsid w:val="0044684D"/>
    <w:rsid w:val="00446872"/>
    <w:rsid w:val="004468B4"/>
    <w:rsid w:val="004469E2"/>
    <w:rsid w:val="00446CEE"/>
    <w:rsid w:val="00446DB1"/>
    <w:rsid w:val="00446FA4"/>
    <w:rsid w:val="00447014"/>
    <w:rsid w:val="00447285"/>
    <w:rsid w:val="0044744B"/>
    <w:rsid w:val="00450757"/>
    <w:rsid w:val="00450A39"/>
    <w:rsid w:val="00450B7D"/>
    <w:rsid w:val="00450BD6"/>
    <w:rsid w:val="00450CEE"/>
    <w:rsid w:val="00451083"/>
    <w:rsid w:val="004513CF"/>
    <w:rsid w:val="004514FB"/>
    <w:rsid w:val="0045162D"/>
    <w:rsid w:val="0045167B"/>
    <w:rsid w:val="004516F4"/>
    <w:rsid w:val="00451795"/>
    <w:rsid w:val="00451881"/>
    <w:rsid w:val="004519A6"/>
    <w:rsid w:val="00451F64"/>
    <w:rsid w:val="00451F6E"/>
    <w:rsid w:val="00451F7A"/>
    <w:rsid w:val="004522C0"/>
    <w:rsid w:val="00452353"/>
    <w:rsid w:val="00452384"/>
    <w:rsid w:val="0045258A"/>
    <w:rsid w:val="004525D8"/>
    <w:rsid w:val="00452FD5"/>
    <w:rsid w:val="004532FC"/>
    <w:rsid w:val="004535CC"/>
    <w:rsid w:val="00453A5E"/>
    <w:rsid w:val="00453A78"/>
    <w:rsid w:val="00453E46"/>
    <w:rsid w:val="004544F4"/>
    <w:rsid w:val="004546E8"/>
    <w:rsid w:val="004548A0"/>
    <w:rsid w:val="00454A38"/>
    <w:rsid w:val="00454AD6"/>
    <w:rsid w:val="00454D1A"/>
    <w:rsid w:val="00454DA2"/>
    <w:rsid w:val="00454E2D"/>
    <w:rsid w:val="00454E33"/>
    <w:rsid w:val="00454E9E"/>
    <w:rsid w:val="00454F86"/>
    <w:rsid w:val="00454FB0"/>
    <w:rsid w:val="00455841"/>
    <w:rsid w:val="00455E49"/>
    <w:rsid w:val="00455F93"/>
    <w:rsid w:val="00456017"/>
    <w:rsid w:val="0045606F"/>
    <w:rsid w:val="004561DA"/>
    <w:rsid w:val="004562C0"/>
    <w:rsid w:val="004564F7"/>
    <w:rsid w:val="004565AD"/>
    <w:rsid w:val="00456836"/>
    <w:rsid w:val="00456A40"/>
    <w:rsid w:val="00456B36"/>
    <w:rsid w:val="0045704D"/>
    <w:rsid w:val="0045724F"/>
    <w:rsid w:val="004575CC"/>
    <w:rsid w:val="004575E4"/>
    <w:rsid w:val="004575F6"/>
    <w:rsid w:val="004576CB"/>
    <w:rsid w:val="0045799F"/>
    <w:rsid w:val="004601D0"/>
    <w:rsid w:val="00460510"/>
    <w:rsid w:val="0046069C"/>
    <w:rsid w:val="0046071D"/>
    <w:rsid w:val="00460763"/>
    <w:rsid w:val="00460807"/>
    <w:rsid w:val="00460914"/>
    <w:rsid w:val="00460922"/>
    <w:rsid w:val="004609A5"/>
    <w:rsid w:val="00460C27"/>
    <w:rsid w:val="00460C5E"/>
    <w:rsid w:val="00460DC6"/>
    <w:rsid w:val="00460E1E"/>
    <w:rsid w:val="00460E26"/>
    <w:rsid w:val="00460FF6"/>
    <w:rsid w:val="004612E2"/>
    <w:rsid w:val="004621A9"/>
    <w:rsid w:val="0046234A"/>
    <w:rsid w:val="004625E8"/>
    <w:rsid w:val="004628D9"/>
    <w:rsid w:val="00462CF8"/>
    <w:rsid w:val="00462DDF"/>
    <w:rsid w:val="00462F0C"/>
    <w:rsid w:val="00462F1A"/>
    <w:rsid w:val="00463249"/>
    <w:rsid w:val="00463256"/>
    <w:rsid w:val="0046327F"/>
    <w:rsid w:val="0046353F"/>
    <w:rsid w:val="00463850"/>
    <w:rsid w:val="00463C59"/>
    <w:rsid w:val="00464652"/>
    <w:rsid w:val="0046497D"/>
    <w:rsid w:val="00464F90"/>
    <w:rsid w:val="0046535B"/>
    <w:rsid w:val="00465AA0"/>
    <w:rsid w:val="00465C98"/>
    <w:rsid w:val="00465E47"/>
    <w:rsid w:val="00465E60"/>
    <w:rsid w:val="00466004"/>
    <w:rsid w:val="0046639A"/>
    <w:rsid w:val="004668B3"/>
    <w:rsid w:val="004668C0"/>
    <w:rsid w:val="00466984"/>
    <w:rsid w:val="00466A96"/>
    <w:rsid w:val="00467258"/>
    <w:rsid w:val="00467485"/>
    <w:rsid w:val="0046797C"/>
    <w:rsid w:val="004679A0"/>
    <w:rsid w:val="00467A6E"/>
    <w:rsid w:val="00467BF7"/>
    <w:rsid w:val="00467EAB"/>
    <w:rsid w:val="00470374"/>
    <w:rsid w:val="004704C2"/>
    <w:rsid w:val="00470636"/>
    <w:rsid w:val="004708E8"/>
    <w:rsid w:val="0047090F"/>
    <w:rsid w:val="0047091D"/>
    <w:rsid w:val="00470AD1"/>
    <w:rsid w:val="00470B5F"/>
    <w:rsid w:val="00470CEF"/>
    <w:rsid w:val="00470EA2"/>
    <w:rsid w:val="00471173"/>
    <w:rsid w:val="00471240"/>
    <w:rsid w:val="00471518"/>
    <w:rsid w:val="00471625"/>
    <w:rsid w:val="00471B8B"/>
    <w:rsid w:val="00471EA3"/>
    <w:rsid w:val="00471F1E"/>
    <w:rsid w:val="00471F8E"/>
    <w:rsid w:val="00472485"/>
    <w:rsid w:val="00472609"/>
    <w:rsid w:val="00472675"/>
    <w:rsid w:val="00472CC6"/>
    <w:rsid w:val="00472CF1"/>
    <w:rsid w:val="00472F03"/>
    <w:rsid w:val="0047323B"/>
    <w:rsid w:val="004732F0"/>
    <w:rsid w:val="00473593"/>
    <w:rsid w:val="0047370D"/>
    <w:rsid w:val="00473C33"/>
    <w:rsid w:val="00473E5B"/>
    <w:rsid w:val="00473ECE"/>
    <w:rsid w:val="00474297"/>
    <w:rsid w:val="00474392"/>
    <w:rsid w:val="004746C4"/>
    <w:rsid w:val="00474E36"/>
    <w:rsid w:val="00474E5C"/>
    <w:rsid w:val="00474F39"/>
    <w:rsid w:val="00474F3A"/>
    <w:rsid w:val="00474FD8"/>
    <w:rsid w:val="004750B2"/>
    <w:rsid w:val="004750DA"/>
    <w:rsid w:val="004751E4"/>
    <w:rsid w:val="004754EA"/>
    <w:rsid w:val="004754F8"/>
    <w:rsid w:val="00475515"/>
    <w:rsid w:val="00475586"/>
    <w:rsid w:val="00475664"/>
    <w:rsid w:val="004756EE"/>
    <w:rsid w:val="004758AA"/>
    <w:rsid w:val="00476069"/>
    <w:rsid w:val="004764C8"/>
    <w:rsid w:val="00476809"/>
    <w:rsid w:val="0047689A"/>
    <w:rsid w:val="004768B7"/>
    <w:rsid w:val="004771B5"/>
    <w:rsid w:val="004771F3"/>
    <w:rsid w:val="004773C7"/>
    <w:rsid w:val="004777A0"/>
    <w:rsid w:val="004777FF"/>
    <w:rsid w:val="00477922"/>
    <w:rsid w:val="00477B8D"/>
    <w:rsid w:val="00477CF0"/>
    <w:rsid w:val="00480415"/>
    <w:rsid w:val="0048047F"/>
    <w:rsid w:val="004805B9"/>
    <w:rsid w:val="004806C3"/>
    <w:rsid w:val="0048072B"/>
    <w:rsid w:val="00480839"/>
    <w:rsid w:val="00480A1A"/>
    <w:rsid w:val="00480D90"/>
    <w:rsid w:val="00480FD7"/>
    <w:rsid w:val="00481072"/>
    <w:rsid w:val="004810CF"/>
    <w:rsid w:val="00481236"/>
    <w:rsid w:val="004814CF"/>
    <w:rsid w:val="004815CB"/>
    <w:rsid w:val="0048198D"/>
    <w:rsid w:val="00481A2A"/>
    <w:rsid w:val="00481FA9"/>
    <w:rsid w:val="004823FF"/>
    <w:rsid w:val="004829D7"/>
    <w:rsid w:val="00482B65"/>
    <w:rsid w:val="00482D1A"/>
    <w:rsid w:val="00482D9D"/>
    <w:rsid w:val="00482F2A"/>
    <w:rsid w:val="00482F76"/>
    <w:rsid w:val="004830FD"/>
    <w:rsid w:val="004834CF"/>
    <w:rsid w:val="004837C9"/>
    <w:rsid w:val="00483912"/>
    <w:rsid w:val="00483ADA"/>
    <w:rsid w:val="00483E01"/>
    <w:rsid w:val="0048418B"/>
    <w:rsid w:val="004843AC"/>
    <w:rsid w:val="00484535"/>
    <w:rsid w:val="00484548"/>
    <w:rsid w:val="004847F8"/>
    <w:rsid w:val="00484862"/>
    <w:rsid w:val="00484998"/>
    <w:rsid w:val="00484B40"/>
    <w:rsid w:val="00484C61"/>
    <w:rsid w:val="00484D6E"/>
    <w:rsid w:val="0048506A"/>
    <w:rsid w:val="00485317"/>
    <w:rsid w:val="0048551A"/>
    <w:rsid w:val="004855A7"/>
    <w:rsid w:val="00485843"/>
    <w:rsid w:val="00485B96"/>
    <w:rsid w:val="00485CF7"/>
    <w:rsid w:val="00485D4E"/>
    <w:rsid w:val="00485E45"/>
    <w:rsid w:val="00486040"/>
    <w:rsid w:val="00486203"/>
    <w:rsid w:val="00486346"/>
    <w:rsid w:val="00486621"/>
    <w:rsid w:val="00486884"/>
    <w:rsid w:val="004868BA"/>
    <w:rsid w:val="0048696A"/>
    <w:rsid w:val="00486A27"/>
    <w:rsid w:val="00486B22"/>
    <w:rsid w:val="00486B4F"/>
    <w:rsid w:val="00486C80"/>
    <w:rsid w:val="00486EEF"/>
    <w:rsid w:val="00486FCD"/>
    <w:rsid w:val="00487022"/>
    <w:rsid w:val="00487273"/>
    <w:rsid w:val="0048732F"/>
    <w:rsid w:val="004876D7"/>
    <w:rsid w:val="0048787E"/>
    <w:rsid w:val="00487D9C"/>
    <w:rsid w:val="00487F05"/>
    <w:rsid w:val="00487F2B"/>
    <w:rsid w:val="00490404"/>
    <w:rsid w:val="00490735"/>
    <w:rsid w:val="00490818"/>
    <w:rsid w:val="00490871"/>
    <w:rsid w:val="00490AB6"/>
    <w:rsid w:val="00490ACC"/>
    <w:rsid w:val="00490BA9"/>
    <w:rsid w:val="00490CCA"/>
    <w:rsid w:val="004910FC"/>
    <w:rsid w:val="0049157F"/>
    <w:rsid w:val="004916F0"/>
    <w:rsid w:val="004917FC"/>
    <w:rsid w:val="00491BA8"/>
    <w:rsid w:val="00491E3B"/>
    <w:rsid w:val="004920D5"/>
    <w:rsid w:val="0049210C"/>
    <w:rsid w:val="00492241"/>
    <w:rsid w:val="00492412"/>
    <w:rsid w:val="0049284A"/>
    <w:rsid w:val="00492A38"/>
    <w:rsid w:val="00492B56"/>
    <w:rsid w:val="00492BFC"/>
    <w:rsid w:val="00492C8E"/>
    <w:rsid w:val="00492D1A"/>
    <w:rsid w:val="0049300C"/>
    <w:rsid w:val="004931B1"/>
    <w:rsid w:val="00493326"/>
    <w:rsid w:val="00493A7F"/>
    <w:rsid w:val="00493B9F"/>
    <w:rsid w:val="00493C9E"/>
    <w:rsid w:val="00493EFE"/>
    <w:rsid w:val="00493F92"/>
    <w:rsid w:val="0049410F"/>
    <w:rsid w:val="00494132"/>
    <w:rsid w:val="00494227"/>
    <w:rsid w:val="0049423B"/>
    <w:rsid w:val="004943C5"/>
    <w:rsid w:val="00494493"/>
    <w:rsid w:val="0049464C"/>
    <w:rsid w:val="004946C9"/>
    <w:rsid w:val="00494737"/>
    <w:rsid w:val="00494875"/>
    <w:rsid w:val="00494939"/>
    <w:rsid w:val="00494990"/>
    <w:rsid w:val="00494B41"/>
    <w:rsid w:val="00494BDC"/>
    <w:rsid w:val="00494E5F"/>
    <w:rsid w:val="00494E9F"/>
    <w:rsid w:val="00495022"/>
    <w:rsid w:val="00495131"/>
    <w:rsid w:val="0049519B"/>
    <w:rsid w:val="004951B1"/>
    <w:rsid w:val="00495272"/>
    <w:rsid w:val="00495736"/>
    <w:rsid w:val="00495796"/>
    <w:rsid w:val="00495860"/>
    <w:rsid w:val="0049597D"/>
    <w:rsid w:val="004959E4"/>
    <w:rsid w:val="00495B21"/>
    <w:rsid w:val="00495C85"/>
    <w:rsid w:val="00495D01"/>
    <w:rsid w:val="00495EE7"/>
    <w:rsid w:val="00495FEA"/>
    <w:rsid w:val="004968A5"/>
    <w:rsid w:val="00496A71"/>
    <w:rsid w:val="00496D4B"/>
    <w:rsid w:val="00496DCE"/>
    <w:rsid w:val="00496E83"/>
    <w:rsid w:val="00497095"/>
    <w:rsid w:val="0049747B"/>
    <w:rsid w:val="00497F65"/>
    <w:rsid w:val="004A00DC"/>
    <w:rsid w:val="004A019B"/>
    <w:rsid w:val="004A02EB"/>
    <w:rsid w:val="004A047D"/>
    <w:rsid w:val="004A06A5"/>
    <w:rsid w:val="004A08B3"/>
    <w:rsid w:val="004A09DC"/>
    <w:rsid w:val="004A0A47"/>
    <w:rsid w:val="004A0CC0"/>
    <w:rsid w:val="004A0E74"/>
    <w:rsid w:val="004A0EAD"/>
    <w:rsid w:val="004A12AC"/>
    <w:rsid w:val="004A1378"/>
    <w:rsid w:val="004A165A"/>
    <w:rsid w:val="004A197F"/>
    <w:rsid w:val="004A1989"/>
    <w:rsid w:val="004A1C5B"/>
    <w:rsid w:val="004A1E57"/>
    <w:rsid w:val="004A20A3"/>
    <w:rsid w:val="004A211B"/>
    <w:rsid w:val="004A249B"/>
    <w:rsid w:val="004A24B8"/>
    <w:rsid w:val="004A2630"/>
    <w:rsid w:val="004A2835"/>
    <w:rsid w:val="004A2843"/>
    <w:rsid w:val="004A28D7"/>
    <w:rsid w:val="004A2AB9"/>
    <w:rsid w:val="004A2AEA"/>
    <w:rsid w:val="004A2AEB"/>
    <w:rsid w:val="004A2C4A"/>
    <w:rsid w:val="004A331D"/>
    <w:rsid w:val="004A3340"/>
    <w:rsid w:val="004A33B5"/>
    <w:rsid w:val="004A33D4"/>
    <w:rsid w:val="004A34F5"/>
    <w:rsid w:val="004A3964"/>
    <w:rsid w:val="004A3983"/>
    <w:rsid w:val="004A3ABF"/>
    <w:rsid w:val="004A3BC4"/>
    <w:rsid w:val="004A3CC5"/>
    <w:rsid w:val="004A3D45"/>
    <w:rsid w:val="004A3EE1"/>
    <w:rsid w:val="004A405A"/>
    <w:rsid w:val="004A4092"/>
    <w:rsid w:val="004A41A7"/>
    <w:rsid w:val="004A43AE"/>
    <w:rsid w:val="004A44A6"/>
    <w:rsid w:val="004A4533"/>
    <w:rsid w:val="004A46A8"/>
    <w:rsid w:val="004A49A0"/>
    <w:rsid w:val="004A4AB2"/>
    <w:rsid w:val="004A4B65"/>
    <w:rsid w:val="004A4CF3"/>
    <w:rsid w:val="004A4D13"/>
    <w:rsid w:val="004A528D"/>
    <w:rsid w:val="004A55AC"/>
    <w:rsid w:val="004A580C"/>
    <w:rsid w:val="004A5907"/>
    <w:rsid w:val="004A5930"/>
    <w:rsid w:val="004A5B1C"/>
    <w:rsid w:val="004A5C60"/>
    <w:rsid w:val="004A5D4A"/>
    <w:rsid w:val="004A5E7C"/>
    <w:rsid w:val="004A5FDA"/>
    <w:rsid w:val="004A681C"/>
    <w:rsid w:val="004A6CE4"/>
    <w:rsid w:val="004A6DC3"/>
    <w:rsid w:val="004A6EA3"/>
    <w:rsid w:val="004A6F36"/>
    <w:rsid w:val="004A700D"/>
    <w:rsid w:val="004A71DE"/>
    <w:rsid w:val="004A72A2"/>
    <w:rsid w:val="004A7697"/>
    <w:rsid w:val="004A7D1C"/>
    <w:rsid w:val="004A7FA4"/>
    <w:rsid w:val="004A7FD3"/>
    <w:rsid w:val="004B012F"/>
    <w:rsid w:val="004B01A9"/>
    <w:rsid w:val="004B0360"/>
    <w:rsid w:val="004B05F4"/>
    <w:rsid w:val="004B0B1C"/>
    <w:rsid w:val="004B0F7F"/>
    <w:rsid w:val="004B105E"/>
    <w:rsid w:val="004B1270"/>
    <w:rsid w:val="004B15E3"/>
    <w:rsid w:val="004B1A86"/>
    <w:rsid w:val="004B1B45"/>
    <w:rsid w:val="004B1C67"/>
    <w:rsid w:val="004B1F87"/>
    <w:rsid w:val="004B200B"/>
    <w:rsid w:val="004B259F"/>
    <w:rsid w:val="004B265F"/>
    <w:rsid w:val="004B289A"/>
    <w:rsid w:val="004B2B39"/>
    <w:rsid w:val="004B2CD7"/>
    <w:rsid w:val="004B3072"/>
    <w:rsid w:val="004B32EA"/>
    <w:rsid w:val="004B3935"/>
    <w:rsid w:val="004B3B00"/>
    <w:rsid w:val="004B4006"/>
    <w:rsid w:val="004B4159"/>
    <w:rsid w:val="004B416C"/>
    <w:rsid w:val="004B42EA"/>
    <w:rsid w:val="004B455A"/>
    <w:rsid w:val="004B456F"/>
    <w:rsid w:val="004B4645"/>
    <w:rsid w:val="004B4E0E"/>
    <w:rsid w:val="004B4E1F"/>
    <w:rsid w:val="004B4FD5"/>
    <w:rsid w:val="004B5000"/>
    <w:rsid w:val="004B520C"/>
    <w:rsid w:val="004B53BA"/>
    <w:rsid w:val="004B5402"/>
    <w:rsid w:val="004B541E"/>
    <w:rsid w:val="004B57E2"/>
    <w:rsid w:val="004B590C"/>
    <w:rsid w:val="004B5C44"/>
    <w:rsid w:val="004B5D71"/>
    <w:rsid w:val="004B5DDB"/>
    <w:rsid w:val="004B6075"/>
    <w:rsid w:val="004B663D"/>
    <w:rsid w:val="004B6741"/>
    <w:rsid w:val="004B68FF"/>
    <w:rsid w:val="004B6C44"/>
    <w:rsid w:val="004B6D14"/>
    <w:rsid w:val="004B6D58"/>
    <w:rsid w:val="004B6F75"/>
    <w:rsid w:val="004B7109"/>
    <w:rsid w:val="004B743D"/>
    <w:rsid w:val="004B74FE"/>
    <w:rsid w:val="004B773F"/>
    <w:rsid w:val="004B7A28"/>
    <w:rsid w:val="004B7B2B"/>
    <w:rsid w:val="004B7B4F"/>
    <w:rsid w:val="004B7D6E"/>
    <w:rsid w:val="004B7F42"/>
    <w:rsid w:val="004C0094"/>
    <w:rsid w:val="004C039E"/>
    <w:rsid w:val="004C0662"/>
    <w:rsid w:val="004C0725"/>
    <w:rsid w:val="004C0A09"/>
    <w:rsid w:val="004C11CC"/>
    <w:rsid w:val="004C1308"/>
    <w:rsid w:val="004C1499"/>
    <w:rsid w:val="004C1776"/>
    <w:rsid w:val="004C19B8"/>
    <w:rsid w:val="004C1E6C"/>
    <w:rsid w:val="004C209F"/>
    <w:rsid w:val="004C22FF"/>
    <w:rsid w:val="004C261E"/>
    <w:rsid w:val="004C33A0"/>
    <w:rsid w:val="004C33DC"/>
    <w:rsid w:val="004C35D8"/>
    <w:rsid w:val="004C376E"/>
    <w:rsid w:val="004C379A"/>
    <w:rsid w:val="004C3927"/>
    <w:rsid w:val="004C3CBE"/>
    <w:rsid w:val="004C40DA"/>
    <w:rsid w:val="004C4467"/>
    <w:rsid w:val="004C4645"/>
    <w:rsid w:val="004C49A9"/>
    <w:rsid w:val="004C4DD5"/>
    <w:rsid w:val="004C4EE3"/>
    <w:rsid w:val="004C4F30"/>
    <w:rsid w:val="004C5388"/>
    <w:rsid w:val="004C5488"/>
    <w:rsid w:val="004C571A"/>
    <w:rsid w:val="004C59C9"/>
    <w:rsid w:val="004C5BBA"/>
    <w:rsid w:val="004C6B34"/>
    <w:rsid w:val="004C6D29"/>
    <w:rsid w:val="004C6D90"/>
    <w:rsid w:val="004C7371"/>
    <w:rsid w:val="004C7378"/>
    <w:rsid w:val="004C7418"/>
    <w:rsid w:val="004C788E"/>
    <w:rsid w:val="004C796A"/>
    <w:rsid w:val="004C7A70"/>
    <w:rsid w:val="004C7ABC"/>
    <w:rsid w:val="004C7B3F"/>
    <w:rsid w:val="004D00E7"/>
    <w:rsid w:val="004D0B6D"/>
    <w:rsid w:val="004D0DA8"/>
    <w:rsid w:val="004D1309"/>
    <w:rsid w:val="004D130A"/>
    <w:rsid w:val="004D1605"/>
    <w:rsid w:val="004D1726"/>
    <w:rsid w:val="004D17EB"/>
    <w:rsid w:val="004D1916"/>
    <w:rsid w:val="004D1EB4"/>
    <w:rsid w:val="004D1EC4"/>
    <w:rsid w:val="004D24AA"/>
    <w:rsid w:val="004D2563"/>
    <w:rsid w:val="004D258D"/>
    <w:rsid w:val="004D26E3"/>
    <w:rsid w:val="004D2832"/>
    <w:rsid w:val="004D286B"/>
    <w:rsid w:val="004D2DE2"/>
    <w:rsid w:val="004D2E7D"/>
    <w:rsid w:val="004D2F51"/>
    <w:rsid w:val="004D2F9E"/>
    <w:rsid w:val="004D31B4"/>
    <w:rsid w:val="004D3380"/>
    <w:rsid w:val="004D345E"/>
    <w:rsid w:val="004D3474"/>
    <w:rsid w:val="004D36D7"/>
    <w:rsid w:val="004D375C"/>
    <w:rsid w:val="004D39AE"/>
    <w:rsid w:val="004D3B97"/>
    <w:rsid w:val="004D3BA5"/>
    <w:rsid w:val="004D3FF5"/>
    <w:rsid w:val="004D44B4"/>
    <w:rsid w:val="004D48C9"/>
    <w:rsid w:val="004D4FB7"/>
    <w:rsid w:val="004D50C4"/>
    <w:rsid w:val="004D5613"/>
    <w:rsid w:val="004D5671"/>
    <w:rsid w:val="004D5895"/>
    <w:rsid w:val="004D5BC6"/>
    <w:rsid w:val="004D5DA3"/>
    <w:rsid w:val="004D6177"/>
    <w:rsid w:val="004D62EF"/>
    <w:rsid w:val="004D6403"/>
    <w:rsid w:val="004D651F"/>
    <w:rsid w:val="004D67D1"/>
    <w:rsid w:val="004D6BCB"/>
    <w:rsid w:val="004D72A8"/>
    <w:rsid w:val="004D76C9"/>
    <w:rsid w:val="004D79B1"/>
    <w:rsid w:val="004D7B01"/>
    <w:rsid w:val="004D7C83"/>
    <w:rsid w:val="004D7FA7"/>
    <w:rsid w:val="004E021E"/>
    <w:rsid w:val="004E034A"/>
    <w:rsid w:val="004E03DB"/>
    <w:rsid w:val="004E06B3"/>
    <w:rsid w:val="004E0A07"/>
    <w:rsid w:val="004E0AB4"/>
    <w:rsid w:val="004E0D52"/>
    <w:rsid w:val="004E19D3"/>
    <w:rsid w:val="004E1E4E"/>
    <w:rsid w:val="004E1F77"/>
    <w:rsid w:val="004E1FCB"/>
    <w:rsid w:val="004E208D"/>
    <w:rsid w:val="004E2441"/>
    <w:rsid w:val="004E24C9"/>
    <w:rsid w:val="004E251E"/>
    <w:rsid w:val="004E259C"/>
    <w:rsid w:val="004E281E"/>
    <w:rsid w:val="004E28DC"/>
    <w:rsid w:val="004E29EE"/>
    <w:rsid w:val="004E2A56"/>
    <w:rsid w:val="004E2C15"/>
    <w:rsid w:val="004E2D91"/>
    <w:rsid w:val="004E2F1A"/>
    <w:rsid w:val="004E3037"/>
    <w:rsid w:val="004E3543"/>
    <w:rsid w:val="004E358D"/>
    <w:rsid w:val="004E36C6"/>
    <w:rsid w:val="004E38CE"/>
    <w:rsid w:val="004E3A49"/>
    <w:rsid w:val="004E3B84"/>
    <w:rsid w:val="004E421E"/>
    <w:rsid w:val="004E451E"/>
    <w:rsid w:val="004E4A9C"/>
    <w:rsid w:val="004E4CDF"/>
    <w:rsid w:val="004E4FCF"/>
    <w:rsid w:val="004E5246"/>
    <w:rsid w:val="004E53F5"/>
    <w:rsid w:val="004E54D6"/>
    <w:rsid w:val="004E55F6"/>
    <w:rsid w:val="004E593E"/>
    <w:rsid w:val="004E59FD"/>
    <w:rsid w:val="004E5CF1"/>
    <w:rsid w:val="004E5E26"/>
    <w:rsid w:val="004E5ED0"/>
    <w:rsid w:val="004E5EEC"/>
    <w:rsid w:val="004E6278"/>
    <w:rsid w:val="004E6755"/>
    <w:rsid w:val="004E682F"/>
    <w:rsid w:val="004E69D8"/>
    <w:rsid w:val="004E7026"/>
    <w:rsid w:val="004E75F9"/>
    <w:rsid w:val="004E7973"/>
    <w:rsid w:val="004E7ED8"/>
    <w:rsid w:val="004F00EC"/>
    <w:rsid w:val="004F025D"/>
    <w:rsid w:val="004F0719"/>
    <w:rsid w:val="004F08DB"/>
    <w:rsid w:val="004F0902"/>
    <w:rsid w:val="004F092D"/>
    <w:rsid w:val="004F0B6C"/>
    <w:rsid w:val="004F0DB3"/>
    <w:rsid w:val="004F118D"/>
    <w:rsid w:val="004F1468"/>
    <w:rsid w:val="004F153B"/>
    <w:rsid w:val="004F16BD"/>
    <w:rsid w:val="004F1995"/>
    <w:rsid w:val="004F1A45"/>
    <w:rsid w:val="004F27DA"/>
    <w:rsid w:val="004F28E8"/>
    <w:rsid w:val="004F2A03"/>
    <w:rsid w:val="004F2A89"/>
    <w:rsid w:val="004F2B6F"/>
    <w:rsid w:val="004F2DA4"/>
    <w:rsid w:val="004F2E9C"/>
    <w:rsid w:val="004F2EFE"/>
    <w:rsid w:val="004F30E8"/>
    <w:rsid w:val="004F31CB"/>
    <w:rsid w:val="004F32A1"/>
    <w:rsid w:val="004F334B"/>
    <w:rsid w:val="004F37F2"/>
    <w:rsid w:val="004F3927"/>
    <w:rsid w:val="004F398F"/>
    <w:rsid w:val="004F3CCC"/>
    <w:rsid w:val="004F3DF1"/>
    <w:rsid w:val="004F3E62"/>
    <w:rsid w:val="004F3FD0"/>
    <w:rsid w:val="004F409A"/>
    <w:rsid w:val="004F42D9"/>
    <w:rsid w:val="004F4697"/>
    <w:rsid w:val="004F4A0A"/>
    <w:rsid w:val="004F4D2F"/>
    <w:rsid w:val="004F513F"/>
    <w:rsid w:val="004F517E"/>
    <w:rsid w:val="004F546D"/>
    <w:rsid w:val="004F5597"/>
    <w:rsid w:val="004F578F"/>
    <w:rsid w:val="004F5840"/>
    <w:rsid w:val="004F5D11"/>
    <w:rsid w:val="004F6042"/>
    <w:rsid w:val="004F66C3"/>
    <w:rsid w:val="004F68DF"/>
    <w:rsid w:val="004F6996"/>
    <w:rsid w:val="004F6A6F"/>
    <w:rsid w:val="004F6BA6"/>
    <w:rsid w:val="004F6DA7"/>
    <w:rsid w:val="004F6EBA"/>
    <w:rsid w:val="004F70BA"/>
    <w:rsid w:val="004F7472"/>
    <w:rsid w:val="004F7534"/>
    <w:rsid w:val="004F755B"/>
    <w:rsid w:val="004F75D7"/>
    <w:rsid w:val="004F7A42"/>
    <w:rsid w:val="004F7A87"/>
    <w:rsid w:val="0050078A"/>
    <w:rsid w:val="00500D53"/>
    <w:rsid w:val="00500EC1"/>
    <w:rsid w:val="0050124C"/>
    <w:rsid w:val="005014F5"/>
    <w:rsid w:val="0050153A"/>
    <w:rsid w:val="005016BC"/>
    <w:rsid w:val="00501730"/>
    <w:rsid w:val="0050173B"/>
    <w:rsid w:val="005018F7"/>
    <w:rsid w:val="00501A1D"/>
    <w:rsid w:val="00501EA3"/>
    <w:rsid w:val="00502043"/>
    <w:rsid w:val="0050214A"/>
    <w:rsid w:val="005024D6"/>
    <w:rsid w:val="0050266C"/>
    <w:rsid w:val="0050295D"/>
    <w:rsid w:val="00502FFD"/>
    <w:rsid w:val="00503459"/>
    <w:rsid w:val="0050354F"/>
    <w:rsid w:val="00503778"/>
    <w:rsid w:val="005037D1"/>
    <w:rsid w:val="00503A37"/>
    <w:rsid w:val="00503D78"/>
    <w:rsid w:val="00503D99"/>
    <w:rsid w:val="005042D5"/>
    <w:rsid w:val="005044E7"/>
    <w:rsid w:val="0050457C"/>
    <w:rsid w:val="00504682"/>
    <w:rsid w:val="00504848"/>
    <w:rsid w:val="005049BC"/>
    <w:rsid w:val="00504B84"/>
    <w:rsid w:val="005053F9"/>
    <w:rsid w:val="00505511"/>
    <w:rsid w:val="005056E8"/>
    <w:rsid w:val="00505756"/>
    <w:rsid w:val="00505A90"/>
    <w:rsid w:val="00505B70"/>
    <w:rsid w:val="00505BA9"/>
    <w:rsid w:val="00505BE7"/>
    <w:rsid w:val="00505FD2"/>
    <w:rsid w:val="00506521"/>
    <w:rsid w:val="0050656C"/>
    <w:rsid w:val="0050673D"/>
    <w:rsid w:val="0050674C"/>
    <w:rsid w:val="00506D4F"/>
    <w:rsid w:val="00507298"/>
    <w:rsid w:val="00507345"/>
    <w:rsid w:val="005074D4"/>
    <w:rsid w:val="005074F0"/>
    <w:rsid w:val="005075E4"/>
    <w:rsid w:val="00507868"/>
    <w:rsid w:val="005079DE"/>
    <w:rsid w:val="00507AD1"/>
    <w:rsid w:val="00507C93"/>
    <w:rsid w:val="00507D74"/>
    <w:rsid w:val="00507FE3"/>
    <w:rsid w:val="00510279"/>
    <w:rsid w:val="00510311"/>
    <w:rsid w:val="005103E1"/>
    <w:rsid w:val="00510526"/>
    <w:rsid w:val="005107BD"/>
    <w:rsid w:val="00510826"/>
    <w:rsid w:val="0051084E"/>
    <w:rsid w:val="005108B2"/>
    <w:rsid w:val="00510B1C"/>
    <w:rsid w:val="00510DF9"/>
    <w:rsid w:val="00510E34"/>
    <w:rsid w:val="00511483"/>
    <w:rsid w:val="005114DA"/>
    <w:rsid w:val="00511578"/>
    <w:rsid w:val="00511626"/>
    <w:rsid w:val="005117F3"/>
    <w:rsid w:val="00511938"/>
    <w:rsid w:val="00511D04"/>
    <w:rsid w:val="0051282C"/>
    <w:rsid w:val="00512E7D"/>
    <w:rsid w:val="00513076"/>
    <w:rsid w:val="005130CD"/>
    <w:rsid w:val="005131E2"/>
    <w:rsid w:val="005133FB"/>
    <w:rsid w:val="005138B0"/>
    <w:rsid w:val="005138B2"/>
    <w:rsid w:val="00513C21"/>
    <w:rsid w:val="00513E75"/>
    <w:rsid w:val="00513F99"/>
    <w:rsid w:val="0051434B"/>
    <w:rsid w:val="00514509"/>
    <w:rsid w:val="0051487F"/>
    <w:rsid w:val="00514B7F"/>
    <w:rsid w:val="0051504C"/>
    <w:rsid w:val="00515408"/>
    <w:rsid w:val="00515475"/>
    <w:rsid w:val="00515623"/>
    <w:rsid w:val="00515708"/>
    <w:rsid w:val="005157E0"/>
    <w:rsid w:val="00515926"/>
    <w:rsid w:val="00515E10"/>
    <w:rsid w:val="00516033"/>
    <w:rsid w:val="005161DB"/>
    <w:rsid w:val="00516423"/>
    <w:rsid w:val="005166DA"/>
    <w:rsid w:val="00516742"/>
    <w:rsid w:val="00516E05"/>
    <w:rsid w:val="00516E4B"/>
    <w:rsid w:val="00516F8C"/>
    <w:rsid w:val="005172D7"/>
    <w:rsid w:val="0051735A"/>
    <w:rsid w:val="00517834"/>
    <w:rsid w:val="00517853"/>
    <w:rsid w:val="00517928"/>
    <w:rsid w:val="00517A35"/>
    <w:rsid w:val="00517BDD"/>
    <w:rsid w:val="00517DA2"/>
    <w:rsid w:val="005200BD"/>
    <w:rsid w:val="00520214"/>
    <w:rsid w:val="00520882"/>
    <w:rsid w:val="005209A4"/>
    <w:rsid w:val="00520A6E"/>
    <w:rsid w:val="00520BD4"/>
    <w:rsid w:val="00520D7A"/>
    <w:rsid w:val="00520D83"/>
    <w:rsid w:val="00520EBC"/>
    <w:rsid w:val="00520EDE"/>
    <w:rsid w:val="0052117B"/>
    <w:rsid w:val="00521688"/>
    <w:rsid w:val="00522858"/>
    <w:rsid w:val="00522BBE"/>
    <w:rsid w:val="00522C5C"/>
    <w:rsid w:val="00522E91"/>
    <w:rsid w:val="00522FFD"/>
    <w:rsid w:val="00523179"/>
    <w:rsid w:val="005231AC"/>
    <w:rsid w:val="005236D8"/>
    <w:rsid w:val="00523822"/>
    <w:rsid w:val="00524257"/>
    <w:rsid w:val="005242F4"/>
    <w:rsid w:val="00524344"/>
    <w:rsid w:val="005249C4"/>
    <w:rsid w:val="00524C22"/>
    <w:rsid w:val="00524C56"/>
    <w:rsid w:val="00524CA8"/>
    <w:rsid w:val="005252A4"/>
    <w:rsid w:val="00525611"/>
    <w:rsid w:val="0052592D"/>
    <w:rsid w:val="005259EE"/>
    <w:rsid w:val="00525D52"/>
    <w:rsid w:val="00526086"/>
    <w:rsid w:val="0052619C"/>
    <w:rsid w:val="005262F9"/>
    <w:rsid w:val="00526524"/>
    <w:rsid w:val="00526A06"/>
    <w:rsid w:val="00526FD0"/>
    <w:rsid w:val="0052702D"/>
    <w:rsid w:val="005270B6"/>
    <w:rsid w:val="00527387"/>
    <w:rsid w:val="00527C92"/>
    <w:rsid w:val="00527CFC"/>
    <w:rsid w:val="00527E40"/>
    <w:rsid w:val="00527F7C"/>
    <w:rsid w:val="00530094"/>
    <w:rsid w:val="00530523"/>
    <w:rsid w:val="005305F0"/>
    <w:rsid w:val="00530DA6"/>
    <w:rsid w:val="00530FD3"/>
    <w:rsid w:val="005310BA"/>
    <w:rsid w:val="0053144A"/>
    <w:rsid w:val="005317AF"/>
    <w:rsid w:val="00531884"/>
    <w:rsid w:val="00531C0D"/>
    <w:rsid w:val="00531E8A"/>
    <w:rsid w:val="005322D0"/>
    <w:rsid w:val="00532304"/>
    <w:rsid w:val="005323AC"/>
    <w:rsid w:val="005323BD"/>
    <w:rsid w:val="00532614"/>
    <w:rsid w:val="00532C26"/>
    <w:rsid w:val="00532CAD"/>
    <w:rsid w:val="00532CF5"/>
    <w:rsid w:val="00532D97"/>
    <w:rsid w:val="0053304C"/>
    <w:rsid w:val="005331C7"/>
    <w:rsid w:val="00533325"/>
    <w:rsid w:val="00533471"/>
    <w:rsid w:val="0053350A"/>
    <w:rsid w:val="005335B6"/>
    <w:rsid w:val="005337A0"/>
    <w:rsid w:val="005338BC"/>
    <w:rsid w:val="005338FF"/>
    <w:rsid w:val="00533C70"/>
    <w:rsid w:val="00533FF5"/>
    <w:rsid w:val="0053405E"/>
    <w:rsid w:val="00534100"/>
    <w:rsid w:val="00534896"/>
    <w:rsid w:val="00534939"/>
    <w:rsid w:val="005349C0"/>
    <w:rsid w:val="00534C92"/>
    <w:rsid w:val="005356C1"/>
    <w:rsid w:val="005356C3"/>
    <w:rsid w:val="0053588B"/>
    <w:rsid w:val="00535929"/>
    <w:rsid w:val="00535B48"/>
    <w:rsid w:val="00535B6E"/>
    <w:rsid w:val="00535EEF"/>
    <w:rsid w:val="00535EF7"/>
    <w:rsid w:val="00535F15"/>
    <w:rsid w:val="005360B0"/>
    <w:rsid w:val="005362DC"/>
    <w:rsid w:val="00536314"/>
    <w:rsid w:val="005365F1"/>
    <w:rsid w:val="00536737"/>
    <w:rsid w:val="00537031"/>
    <w:rsid w:val="00537150"/>
    <w:rsid w:val="00537220"/>
    <w:rsid w:val="005376A3"/>
    <w:rsid w:val="00537925"/>
    <w:rsid w:val="00537977"/>
    <w:rsid w:val="00537B01"/>
    <w:rsid w:val="00537D81"/>
    <w:rsid w:val="00537E63"/>
    <w:rsid w:val="00537F43"/>
    <w:rsid w:val="00537F4C"/>
    <w:rsid w:val="00540010"/>
    <w:rsid w:val="00540016"/>
    <w:rsid w:val="00540123"/>
    <w:rsid w:val="005407AA"/>
    <w:rsid w:val="005408E2"/>
    <w:rsid w:val="00540925"/>
    <w:rsid w:val="00540BAA"/>
    <w:rsid w:val="00540C94"/>
    <w:rsid w:val="00540D63"/>
    <w:rsid w:val="00540E47"/>
    <w:rsid w:val="00540F2B"/>
    <w:rsid w:val="00541027"/>
    <w:rsid w:val="005415EF"/>
    <w:rsid w:val="00541619"/>
    <w:rsid w:val="005418CC"/>
    <w:rsid w:val="005419C0"/>
    <w:rsid w:val="00541A78"/>
    <w:rsid w:val="00541AFF"/>
    <w:rsid w:val="00541E6C"/>
    <w:rsid w:val="00542318"/>
    <w:rsid w:val="0054235C"/>
    <w:rsid w:val="0054295F"/>
    <w:rsid w:val="00542A0F"/>
    <w:rsid w:val="00542EB9"/>
    <w:rsid w:val="00543318"/>
    <w:rsid w:val="00543475"/>
    <w:rsid w:val="0054356D"/>
    <w:rsid w:val="005435BF"/>
    <w:rsid w:val="00543AFF"/>
    <w:rsid w:val="00543B6C"/>
    <w:rsid w:val="00543BC7"/>
    <w:rsid w:val="00543E21"/>
    <w:rsid w:val="00544130"/>
    <w:rsid w:val="00544139"/>
    <w:rsid w:val="005442E2"/>
    <w:rsid w:val="00544378"/>
    <w:rsid w:val="0054439D"/>
    <w:rsid w:val="00544628"/>
    <w:rsid w:val="0054487B"/>
    <w:rsid w:val="00544975"/>
    <w:rsid w:val="005449C0"/>
    <w:rsid w:val="005449F7"/>
    <w:rsid w:val="00544A38"/>
    <w:rsid w:val="00545070"/>
    <w:rsid w:val="00545557"/>
    <w:rsid w:val="00545834"/>
    <w:rsid w:val="0054589C"/>
    <w:rsid w:val="00545A1D"/>
    <w:rsid w:val="00545A2B"/>
    <w:rsid w:val="00545B60"/>
    <w:rsid w:val="0054619E"/>
    <w:rsid w:val="005461EF"/>
    <w:rsid w:val="005465FD"/>
    <w:rsid w:val="0054673B"/>
    <w:rsid w:val="00546824"/>
    <w:rsid w:val="005468EB"/>
    <w:rsid w:val="005469E0"/>
    <w:rsid w:val="00546F3A"/>
    <w:rsid w:val="005474E3"/>
    <w:rsid w:val="005474EA"/>
    <w:rsid w:val="00547504"/>
    <w:rsid w:val="0054788F"/>
    <w:rsid w:val="005478AF"/>
    <w:rsid w:val="00547917"/>
    <w:rsid w:val="00547EC8"/>
    <w:rsid w:val="00550282"/>
    <w:rsid w:val="005504A7"/>
    <w:rsid w:val="00550760"/>
    <w:rsid w:val="00550A7E"/>
    <w:rsid w:val="00550BA4"/>
    <w:rsid w:val="00550C80"/>
    <w:rsid w:val="00550F45"/>
    <w:rsid w:val="0055108C"/>
    <w:rsid w:val="0055138B"/>
    <w:rsid w:val="005515E8"/>
    <w:rsid w:val="005515FC"/>
    <w:rsid w:val="00551611"/>
    <w:rsid w:val="00551A20"/>
    <w:rsid w:val="00551AC9"/>
    <w:rsid w:val="00551FE1"/>
    <w:rsid w:val="0055225F"/>
    <w:rsid w:val="00552688"/>
    <w:rsid w:val="00552724"/>
    <w:rsid w:val="00552736"/>
    <w:rsid w:val="0055296B"/>
    <w:rsid w:val="00552A38"/>
    <w:rsid w:val="00552AF2"/>
    <w:rsid w:val="00552BA0"/>
    <w:rsid w:val="00552BC6"/>
    <w:rsid w:val="0055321A"/>
    <w:rsid w:val="00553524"/>
    <w:rsid w:val="00553976"/>
    <w:rsid w:val="00553D35"/>
    <w:rsid w:val="00553D48"/>
    <w:rsid w:val="00553F4B"/>
    <w:rsid w:val="00554045"/>
    <w:rsid w:val="00554066"/>
    <w:rsid w:val="0055451C"/>
    <w:rsid w:val="005547D2"/>
    <w:rsid w:val="0055484E"/>
    <w:rsid w:val="00554C80"/>
    <w:rsid w:val="00554D32"/>
    <w:rsid w:val="00554D34"/>
    <w:rsid w:val="00554D5C"/>
    <w:rsid w:val="00554DD3"/>
    <w:rsid w:val="00554DEF"/>
    <w:rsid w:val="00554F6F"/>
    <w:rsid w:val="00555D68"/>
    <w:rsid w:val="0055602F"/>
    <w:rsid w:val="00556109"/>
    <w:rsid w:val="00556434"/>
    <w:rsid w:val="0055654A"/>
    <w:rsid w:val="00557730"/>
    <w:rsid w:val="00557832"/>
    <w:rsid w:val="0055796C"/>
    <w:rsid w:val="00557B4C"/>
    <w:rsid w:val="00557DCA"/>
    <w:rsid w:val="00557DDF"/>
    <w:rsid w:val="00557E89"/>
    <w:rsid w:val="00560095"/>
    <w:rsid w:val="005606D7"/>
    <w:rsid w:val="0056079B"/>
    <w:rsid w:val="005608B9"/>
    <w:rsid w:val="00560A95"/>
    <w:rsid w:val="00560C1C"/>
    <w:rsid w:val="00560DC3"/>
    <w:rsid w:val="005611B9"/>
    <w:rsid w:val="00561296"/>
    <w:rsid w:val="005617A1"/>
    <w:rsid w:val="0056188C"/>
    <w:rsid w:val="00561AF8"/>
    <w:rsid w:val="00562132"/>
    <w:rsid w:val="00562323"/>
    <w:rsid w:val="005626A9"/>
    <w:rsid w:val="00562BC1"/>
    <w:rsid w:val="00562F11"/>
    <w:rsid w:val="00563050"/>
    <w:rsid w:val="005631B6"/>
    <w:rsid w:val="00563753"/>
    <w:rsid w:val="00563E18"/>
    <w:rsid w:val="00564004"/>
    <w:rsid w:val="00564204"/>
    <w:rsid w:val="0056437C"/>
    <w:rsid w:val="00564842"/>
    <w:rsid w:val="005649FE"/>
    <w:rsid w:val="00564A90"/>
    <w:rsid w:val="00564A98"/>
    <w:rsid w:val="00564E75"/>
    <w:rsid w:val="0056512E"/>
    <w:rsid w:val="00565305"/>
    <w:rsid w:val="005653FE"/>
    <w:rsid w:val="00565720"/>
    <w:rsid w:val="00565AF8"/>
    <w:rsid w:val="00565CB3"/>
    <w:rsid w:val="00565F92"/>
    <w:rsid w:val="005663A8"/>
    <w:rsid w:val="005664BE"/>
    <w:rsid w:val="0056655E"/>
    <w:rsid w:val="0056672E"/>
    <w:rsid w:val="005667C3"/>
    <w:rsid w:val="0056690E"/>
    <w:rsid w:val="00566B30"/>
    <w:rsid w:val="00566BE1"/>
    <w:rsid w:val="00566E13"/>
    <w:rsid w:val="00566E39"/>
    <w:rsid w:val="00566F95"/>
    <w:rsid w:val="005671C8"/>
    <w:rsid w:val="005675CE"/>
    <w:rsid w:val="0056776D"/>
    <w:rsid w:val="005677B4"/>
    <w:rsid w:val="00567A99"/>
    <w:rsid w:val="00567E56"/>
    <w:rsid w:val="00567E5A"/>
    <w:rsid w:val="00567E7E"/>
    <w:rsid w:val="00567F7A"/>
    <w:rsid w:val="00570442"/>
    <w:rsid w:val="0057063F"/>
    <w:rsid w:val="00570641"/>
    <w:rsid w:val="00570649"/>
    <w:rsid w:val="0057072C"/>
    <w:rsid w:val="0057078D"/>
    <w:rsid w:val="005708AA"/>
    <w:rsid w:val="00570AC3"/>
    <w:rsid w:val="00570B5E"/>
    <w:rsid w:val="00570CC7"/>
    <w:rsid w:val="005713EA"/>
    <w:rsid w:val="005715AA"/>
    <w:rsid w:val="005715B1"/>
    <w:rsid w:val="00571A41"/>
    <w:rsid w:val="00571A71"/>
    <w:rsid w:val="00571A72"/>
    <w:rsid w:val="00571B6F"/>
    <w:rsid w:val="00571D0E"/>
    <w:rsid w:val="00571F54"/>
    <w:rsid w:val="00572038"/>
    <w:rsid w:val="0057216A"/>
    <w:rsid w:val="00572170"/>
    <w:rsid w:val="005721D3"/>
    <w:rsid w:val="005725E3"/>
    <w:rsid w:val="00572749"/>
    <w:rsid w:val="00572816"/>
    <w:rsid w:val="0057283E"/>
    <w:rsid w:val="0057285F"/>
    <w:rsid w:val="00572C81"/>
    <w:rsid w:val="00572D0F"/>
    <w:rsid w:val="00572D75"/>
    <w:rsid w:val="00572EB2"/>
    <w:rsid w:val="00572F82"/>
    <w:rsid w:val="00573031"/>
    <w:rsid w:val="0057315F"/>
    <w:rsid w:val="005735AE"/>
    <w:rsid w:val="005736A3"/>
    <w:rsid w:val="0057393E"/>
    <w:rsid w:val="0057399B"/>
    <w:rsid w:val="00573B92"/>
    <w:rsid w:val="00573D17"/>
    <w:rsid w:val="00573E20"/>
    <w:rsid w:val="00573ECB"/>
    <w:rsid w:val="00573FBE"/>
    <w:rsid w:val="0057445B"/>
    <w:rsid w:val="005744E0"/>
    <w:rsid w:val="0057477D"/>
    <w:rsid w:val="00574805"/>
    <w:rsid w:val="00574829"/>
    <w:rsid w:val="00574885"/>
    <w:rsid w:val="0057496C"/>
    <w:rsid w:val="00574A40"/>
    <w:rsid w:val="00574C88"/>
    <w:rsid w:val="00574DC6"/>
    <w:rsid w:val="00574F1D"/>
    <w:rsid w:val="00574F65"/>
    <w:rsid w:val="0057512E"/>
    <w:rsid w:val="00575213"/>
    <w:rsid w:val="005756F1"/>
    <w:rsid w:val="00575C72"/>
    <w:rsid w:val="00575EA5"/>
    <w:rsid w:val="005760B1"/>
    <w:rsid w:val="00576342"/>
    <w:rsid w:val="0057637C"/>
    <w:rsid w:val="005764A6"/>
    <w:rsid w:val="005764AB"/>
    <w:rsid w:val="00576940"/>
    <w:rsid w:val="00576BDB"/>
    <w:rsid w:val="00576D40"/>
    <w:rsid w:val="00576DC6"/>
    <w:rsid w:val="00576F87"/>
    <w:rsid w:val="00577130"/>
    <w:rsid w:val="00577271"/>
    <w:rsid w:val="005773B3"/>
    <w:rsid w:val="00577586"/>
    <w:rsid w:val="0057769F"/>
    <w:rsid w:val="005776A8"/>
    <w:rsid w:val="00577EBA"/>
    <w:rsid w:val="00580670"/>
    <w:rsid w:val="005806C7"/>
    <w:rsid w:val="005807B9"/>
    <w:rsid w:val="00580954"/>
    <w:rsid w:val="005809FD"/>
    <w:rsid w:val="00580C00"/>
    <w:rsid w:val="00580CC1"/>
    <w:rsid w:val="00580E6C"/>
    <w:rsid w:val="00580EDD"/>
    <w:rsid w:val="00580EF6"/>
    <w:rsid w:val="0058121C"/>
    <w:rsid w:val="00581482"/>
    <w:rsid w:val="005817CB"/>
    <w:rsid w:val="005817F0"/>
    <w:rsid w:val="00581D10"/>
    <w:rsid w:val="00581D7B"/>
    <w:rsid w:val="00581EF1"/>
    <w:rsid w:val="0058250F"/>
    <w:rsid w:val="00582C73"/>
    <w:rsid w:val="00583109"/>
    <w:rsid w:val="00583361"/>
    <w:rsid w:val="00583783"/>
    <w:rsid w:val="00583C9A"/>
    <w:rsid w:val="0058409C"/>
    <w:rsid w:val="00584431"/>
    <w:rsid w:val="00584702"/>
    <w:rsid w:val="00584B62"/>
    <w:rsid w:val="00584F03"/>
    <w:rsid w:val="00585445"/>
    <w:rsid w:val="005857BE"/>
    <w:rsid w:val="005858B7"/>
    <w:rsid w:val="00585D32"/>
    <w:rsid w:val="00585F5A"/>
    <w:rsid w:val="005860FF"/>
    <w:rsid w:val="00586889"/>
    <w:rsid w:val="005869C9"/>
    <w:rsid w:val="00586D0A"/>
    <w:rsid w:val="00586D5F"/>
    <w:rsid w:val="00586E5E"/>
    <w:rsid w:val="00587030"/>
    <w:rsid w:val="0058718F"/>
    <w:rsid w:val="005871FF"/>
    <w:rsid w:val="00587259"/>
    <w:rsid w:val="0058737F"/>
    <w:rsid w:val="00587550"/>
    <w:rsid w:val="005876C0"/>
    <w:rsid w:val="00587828"/>
    <w:rsid w:val="00587BF9"/>
    <w:rsid w:val="00587C7A"/>
    <w:rsid w:val="00590B5D"/>
    <w:rsid w:val="00590D82"/>
    <w:rsid w:val="00590DCB"/>
    <w:rsid w:val="00590E82"/>
    <w:rsid w:val="00590E87"/>
    <w:rsid w:val="00591410"/>
    <w:rsid w:val="00591451"/>
    <w:rsid w:val="005914E8"/>
    <w:rsid w:val="005915D8"/>
    <w:rsid w:val="0059169F"/>
    <w:rsid w:val="00591717"/>
    <w:rsid w:val="005917AA"/>
    <w:rsid w:val="005919D2"/>
    <w:rsid w:val="00591AB8"/>
    <w:rsid w:val="00591AF7"/>
    <w:rsid w:val="00591CEA"/>
    <w:rsid w:val="00592061"/>
    <w:rsid w:val="005920AD"/>
    <w:rsid w:val="0059226B"/>
    <w:rsid w:val="005923B0"/>
    <w:rsid w:val="005924FC"/>
    <w:rsid w:val="005927BC"/>
    <w:rsid w:val="005929D4"/>
    <w:rsid w:val="00592C7D"/>
    <w:rsid w:val="00592DEF"/>
    <w:rsid w:val="00592F72"/>
    <w:rsid w:val="005935D7"/>
    <w:rsid w:val="00593D70"/>
    <w:rsid w:val="00594021"/>
    <w:rsid w:val="00594312"/>
    <w:rsid w:val="00594616"/>
    <w:rsid w:val="0059467E"/>
    <w:rsid w:val="005947E1"/>
    <w:rsid w:val="005947FE"/>
    <w:rsid w:val="00594901"/>
    <w:rsid w:val="005949F7"/>
    <w:rsid w:val="00594A31"/>
    <w:rsid w:val="00594AAE"/>
    <w:rsid w:val="00594BFE"/>
    <w:rsid w:val="00594C94"/>
    <w:rsid w:val="00595216"/>
    <w:rsid w:val="00595721"/>
    <w:rsid w:val="00595A5C"/>
    <w:rsid w:val="00595C92"/>
    <w:rsid w:val="00595E17"/>
    <w:rsid w:val="0059610B"/>
    <w:rsid w:val="005964E7"/>
    <w:rsid w:val="00596527"/>
    <w:rsid w:val="005965DC"/>
    <w:rsid w:val="0059686D"/>
    <w:rsid w:val="00596BCF"/>
    <w:rsid w:val="00597138"/>
    <w:rsid w:val="005971AA"/>
    <w:rsid w:val="00597205"/>
    <w:rsid w:val="005974D1"/>
    <w:rsid w:val="0059782D"/>
    <w:rsid w:val="00597B3A"/>
    <w:rsid w:val="00597FF7"/>
    <w:rsid w:val="005A02AB"/>
    <w:rsid w:val="005A02BA"/>
    <w:rsid w:val="005A04B8"/>
    <w:rsid w:val="005A0646"/>
    <w:rsid w:val="005A064A"/>
    <w:rsid w:val="005A07EA"/>
    <w:rsid w:val="005A096B"/>
    <w:rsid w:val="005A0A6B"/>
    <w:rsid w:val="005A0C62"/>
    <w:rsid w:val="005A117F"/>
    <w:rsid w:val="005A171E"/>
    <w:rsid w:val="005A175D"/>
    <w:rsid w:val="005A1795"/>
    <w:rsid w:val="005A1BAA"/>
    <w:rsid w:val="005A1F80"/>
    <w:rsid w:val="005A2204"/>
    <w:rsid w:val="005A227C"/>
    <w:rsid w:val="005A25AC"/>
    <w:rsid w:val="005A3029"/>
    <w:rsid w:val="005A3109"/>
    <w:rsid w:val="005A3422"/>
    <w:rsid w:val="005A36A6"/>
    <w:rsid w:val="005A38F0"/>
    <w:rsid w:val="005A3AD2"/>
    <w:rsid w:val="005A3E56"/>
    <w:rsid w:val="005A3F5D"/>
    <w:rsid w:val="005A40D5"/>
    <w:rsid w:val="005A40DC"/>
    <w:rsid w:val="005A4606"/>
    <w:rsid w:val="005A4672"/>
    <w:rsid w:val="005A498A"/>
    <w:rsid w:val="005A4A5D"/>
    <w:rsid w:val="005A4B61"/>
    <w:rsid w:val="005A4BD2"/>
    <w:rsid w:val="005A4C6B"/>
    <w:rsid w:val="005A4C97"/>
    <w:rsid w:val="005A4CFF"/>
    <w:rsid w:val="005A4D12"/>
    <w:rsid w:val="005A4D9F"/>
    <w:rsid w:val="005A4EEF"/>
    <w:rsid w:val="005A50C4"/>
    <w:rsid w:val="005A5382"/>
    <w:rsid w:val="005A58D7"/>
    <w:rsid w:val="005A5B6F"/>
    <w:rsid w:val="005A5D8C"/>
    <w:rsid w:val="005A5EFA"/>
    <w:rsid w:val="005A5F9A"/>
    <w:rsid w:val="005A60EC"/>
    <w:rsid w:val="005A62D6"/>
    <w:rsid w:val="005A654E"/>
    <w:rsid w:val="005A6607"/>
    <w:rsid w:val="005A67FB"/>
    <w:rsid w:val="005A68D1"/>
    <w:rsid w:val="005A6C9A"/>
    <w:rsid w:val="005A70A7"/>
    <w:rsid w:val="005A70E9"/>
    <w:rsid w:val="005A71C2"/>
    <w:rsid w:val="005A72E3"/>
    <w:rsid w:val="005A747D"/>
    <w:rsid w:val="005A7676"/>
    <w:rsid w:val="005A7747"/>
    <w:rsid w:val="005A78B1"/>
    <w:rsid w:val="005A79A7"/>
    <w:rsid w:val="005A7DDB"/>
    <w:rsid w:val="005A7E2E"/>
    <w:rsid w:val="005B0164"/>
    <w:rsid w:val="005B04C5"/>
    <w:rsid w:val="005B068D"/>
    <w:rsid w:val="005B073E"/>
    <w:rsid w:val="005B07E8"/>
    <w:rsid w:val="005B09FE"/>
    <w:rsid w:val="005B0ACC"/>
    <w:rsid w:val="005B0B6C"/>
    <w:rsid w:val="005B0C44"/>
    <w:rsid w:val="005B0FBB"/>
    <w:rsid w:val="005B10BF"/>
    <w:rsid w:val="005B119D"/>
    <w:rsid w:val="005B1345"/>
    <w:rsid w:val="005B14EA"/>
    <w:rsid w:val="005B1A51"/>
    <w:rsid w:val="005B1EAD"/>
    <w:rsid w:val="005B212C"/>
    <w:rsid w:val="005B2635"/>
    <w:rsid w:val="005B28D3"/>
    <w:rsid w:val="005B28EA"/>
    <w:rsid w:val="005B2911"/>
    <w:rsid w:val="005B2B1B"/>
    <w:rsid w:val="005B2C27"/>
    <w:rsid w:val="005B2CC6"/>
    <w:rsid w:val="005B2DEF"/>
    <w:rsid w:val="005B2EFB"/>
    <w:rsid w:val="005B314A"/>
    <w:rsid w:val="005B31F8"/>
    <w:rsid w:val="005B331A"/>
    <w:rsid w:val="005B3467"/>
    <w:rsid w:val="005B34D4"/>
    <w:rsid w:val="005B3683"/>
    <w:rsid w:val="005B3775"/>
    <w:rsid w:val="005B37C4"/>
    <w:rsid w:val="005B38C0"/>
    <w:rsid w:val="005B3B2A"/>
    <w:rsid w:val="005B3B50"/>
    <w:rsid w:val="005B3B72"/>
    <w:rsid w:val="005B3D11"/>
    <w:rsid w:val="005B3DDC"/>
    <w:rsid w:val="005B3F9C"/>
    <w:rsid w:val="005B4241"/>
    <w:rsid w:val="005B4242"/>
    <w:rsid w:val="005B42CA"/>
    <w:rsid w:val="005B44B5"/>
    <w:rsid w:val="005B4852"/>
    <w:rsid w:val="005B4871"/>
    <w:rsid w:val="005B4B6C"/>
    <w:rsid w:val="005B4E79"/>
    <w:rsid w:val="005B5239"/>
    <w:rsid w:val="005B539C"/>
    <w:rsid w:val="005B5433"/>
    <w:rsid w:val="005B55C4"/>
    <w:rsid w:val="005B5886"/>
    <w:rsid w:val="005B5B17"/>
    <w:rsid w:val="005B5BB1"/>
    <w:rsid w:val="005B5C68"/>
    <w:rsid w:val="005B5E4F"/>
    <w:rsid w:val="005B61C9"/>
    <w:rsid w:val="005B6234"/>
    <w:rsid w:val="005B6371"/>
    <w:rsid w:val="005B639F"/>
    <w:rsid w:val="005B6668"/>
    <w:rsid w:val="005B68CC"/>
    <w:rsid w:val="005B6A2E"/>
    <w:rsid w:val="005B6F3A"/>
    <w:rsid w:val="005B7330"/>
    <w:rsid w:val="005B78F0"/>
    <w:rsid w:val="005C00AE"/>
    <w:rsid w:val="005C01B6"/>
    <w:rsid w:val="005C0281"/>
    <w:rsid w:val="005C03BC"/>
    <w:rsid w:val="005C04BA"/>
    <w:rsid w:val="005C069F"/>
    <w:rsid w:val="005C06E5"/>
    <w:rsid w:val="005C0878"/>
    <w:rsid w:val="005C0978"/>
    <w:rsid w:val="005C0980"/>
    <w:rsid w:val="005C0AAD"/>
    <w:rsid w:val="005C0AC6"/>
    <w:rsid w:val="005C0AF5"/>
    <w:rsid w:val="005C0BC0"/>
    <w:rsid w:val="005C0C38"/>
    <w:rsid w:val="005C0C64"/>
    <w:rsid w:val="005C0CD5"/>
    <w:rsid w:val="005C1151"/>
    <w:rsid w:val="005C1375"/>
    <w:rsid w:val="005C13F7"/>
    <w:rsid w:val="005C178F"/>
    <w:rsid w:val="005C1ABA"/>
    <w:rsid w:val="005C1C9F"/>
    <w:rsid w:val="005C1CF0"/>
    <w:rsid w:val="005C1D7B"/>
    <w:rsid w:val="005C1DC7"/>
    <w:rsid w:val="005C1E1A"/>
    <w:rsid w:val="005C22A3"/>
    <w:rsid w:val="005C27D8"/>
    <w:rsid w:val="005C28CF"/>
    <w:rsid w:val="005C2A58"/>
    <w:rsid w:val="005C2B60"/>
    <w:rsid w:val="005C2B68"/>
    <w:rsid w:val="005C2C74"/>
    <w:rsid w:val="005C2DA8"/>
    <w:rsid w:val="005C2DAD"/>
    <w:rsid w:val="005C2DD9"/>
    <w:rsid w:val="005C2DE4"/>
    <w:rsid w:val="005C3149"/>
    <w:rsid w:val="005C31F4"/>
    <w:rsid w:val="005C3395"/>
    <w:rsid w:val="005C3481"/>
    <w:rsid w:val="005C375A"/>
    <w:rsid w:val="005C381B"/>
    <w:rsid w:val="005C3AE6"/>
    <w:rsid w:val="005C3B8E"/>
    <w:rsid w:val="005C3CFE"/>
    <w:rsid w:val="005C3D56"/>
    <w:rsid w:val="005C3E19"/>
    <w:rsid w:val="005C3F10"/>
    <w:rsid w:val="005C402A"/>
    <w:rsid w:val="005C4289"/>
    <w:rsid w:val="005C4919"/>
    <w:rsid w:val="005C4962"/>
    <w:rsid w:val="005C49B1"/>
    <w:rsid w:val="005C4C12"/>
    <w:rsid w:val="005C52B4"/>
    <w:rsid w:val="005C55FF"/>
    <w:rsid w:val="005C5971"/>
    <w:rsid w:val="005C5C76"/>
    <w:rsid w:val="005C5EAD"/>
    <w:rsid w:val="005C6112"/>
    <w:rsid w:val="005C61D0"/>
    <w:rsid w:val="005C6391"/>
    <w:rsid w:val="005C6630"/>
    <w:rsid w:val="005C672B"/>
    <w:rsid w:val="005C6842"/>
    <w:rsid w:val="005C6C57"/>
    <w:rsid w:val="005C6C63"/>
    <w:rsid w:val="005C704F"/>
    <w:rsid w:val="005C71D4"/>
    <w:rsid w:val="005C722F"/>
    <w:rsid w:val="005C7470"/>
    <w:rsid w:val="005C7800"/>
    <w:rsid w:val="005C787C"/>
    <w:rsid w:val="005C79E8"/>
    <w:rsid w:val="005C7C83"/>
    <w:rsid w:val="005C7D88"/>
    <w:rsid w:val="005D03D8"/>
    <w:rsid w:val="005D04D5"/>
    <w:rsid w:val="005D04EF"/>
    <w:rsid w:val="005D0602"/>
    <w:rsid w:val="005D0805"/>
    <w:rsid w:val="005D099C"/>
    <w:rsid w:val="005D0BB3"/>
    <w:rsid w:val="005D1253"/>
    <w:rsid w:val="005D125D"/>
    <w:rsid w:val="005D1423"/>
    <w:rsid w:val="005D179C"/>
    <w:rsid w:val="005D1EAB"/>
    <w:rsid w:val="005D2216"/>
    <w:rsid w:val="005D22F8"/>
    <w:rsid w:val="005D2974"/>
    <w:rsid w:val="005D2BCD"/>
    <w:rsid w:val="005D308C"/>
    <w:rsid w:val="005D359B"/>
    <w:rsid w:val="005D35D7"/>
    <w:rsid w:val="005D3920"/>
    <w:rsid w:val="005D3CA5"/>
    <w:rsid w:val="005D3D93"/>
    <w:rsid w:val="005D3E08"/>
    <w:rsid w:val="005D3EFC"/>
    <w:rsid w:val="005D4235"/>
    <w:rsid w:val="005D426C"/>
    <w:rsid w:val="005D43A2"/>
    <w:rsid w:val="005D43D0"/>
    <w:rsid w:val="005D4439"/>
    <w:rsid w:val="005D4721"/>
    <w:rsid w:val="005D4899"/>
    <w:rsid w:val="005D48A3"/>
    <w:rsid w:val="005D48D8"/>
    <w:rsid w:val="005D491F"/>
    <w:rsid w:val="005D4B5D"/>
    <w:rsid w:val="005D4D43"/>
    <w:rsid w:val="005D4F52"/>
    <w:rsid w:val="005D5143"/>
    <w:rsid w:val="005D51CA"/>
    <w:rsid w:val="005D51EF"/>
    <w:rsid w:val="005D5499"/>
    <w:rsid w:val="005D55BF"/>
    <w:rsid w:val="005D58DE"/>
    <w:rsid w:val="005D59F0"/>
    <w:rsid w:val="005D5BF4"/>
    <w:rsid w:val="005D5F61"/>
    <w:rsid w:val="005D6004"/>
    <w:rsid w:val="005D602B"/>
    <w:rsid w:val="005D6378"/>
    <w:rsid w:val="005D654F"/>
    <w:rsid w:val="005D680E"/>
    <w:rsid w:val="005D6819"/>
    <w:rsid w:val="005D7176"/>
    <w:rsid w:val="005D7371"/>
    <w:rsid w:val="005D73D6"/>
    <w:rsid w:val="005D7553"/>
    <w:rsid w:val="005D764D"/>
    <w:rsid w:val="005D76D5"/>
    <w:rsid w:val="005D7B69"/>
    <w:rsid w:val="005D7BE1"/>
    <w:rsid w:val="005D7FE5"/>
    <w:rsid w:val="005E0159"/>
    <w:rsid w:val="005E0403"/>
    <w:rsid w:val="005E047C"/>
    <w:rsid w:val="005E05D1"/>
    <w:rsid w:val="005E062B"/>
    <w:rsid w:val="005E0AE0"/>
    <w:rsid w:val="005E0D1F"/>
    <w:rsid w:val="005E0E88"/>
    <w:rsid w:val="005E0FA0"/>
    <w:rsid w:val="005E0FB3"/>
    <w:rsid w:val="005E1089"/>
    <w:rsid w:val="005E119D"/>
    <w:rsid w:val="005E1396"/>
    <w:rsid w:val="005E1448"/>
    <w:rsid w:val="005E157F"/>
    <w:rsid w:val="005E1B6F"/>
    <w:rsid w:val="005E1EFF"/>
    <w:rsid w:val="005E1F30"/>
    <w:rsid w:val="005E21F7"/>
    <w:rsid w:val="005E27C0"/>
    <w:rsid w:val="005E27E8"/>
    <w:rsid w:val="005E298D"/>
    <w:rsid w:val="005E2C0A"/>
    <w:rsid w:val="005E2ECC"/>
    <w:rsid w:val="005E3126"/>
    <w:rsid w:val="005E31D1"/>
    <w:rsid w:val="005E337E"/>
    <w:rsid w:val="005E38C3"/>
    <w:rsid w:val="005E3D97"/>
    <w:rsid w:val="005E3D9C"/>
    <w:rsid w:val="005E3E60"/>
    <w:rsid w:val="005E4AAA"/>
    <w:rsid w:val="005E4AE9"/>
    <w:rsid w:val="005E4CC5"/>
    <w:rsid w:val="005E4CE1"/>
    <w:rsid w:val="005E4DDB"/>
    <w:rsid w:val="005E4E46"/>
    <w:rsid w:val="005E4F33"/>
    <w:rsid w:val="005E50B6"/>
    <w:rsid w:val="005E5267"/>
    <w:rsid w:val="005E54B1"/>
    <w:rsid w:val="005E5EED"/>
    <w:rsid w:val="005E60C5"/>
    <w:rsid w:val="005E61D7"/>
    <w:rsid w:val="005E65EF"/>
    <w:rsid w:val="005E67E3"/>
    <w:rsid w:val="005E6907"/>
    <w:rsid w:val="005E6A6B"/>
    <w:rsid w:val="005E6AB7"/>
    <w:rsid w:val="005E6FA5"/>
    <w:rsid w:val="005E7375"/>
    <w:rsid w:val="005E7380"/>
    <w:rsid w:val="005E73A4"/>
    <w:rsid w:val="005E7425"/>
    <w:rsid w:val="005E75A6"/>
    <w:rsid w:val="005E76B0"/>
    <w:rsid w:val="005E7AAA"/>
    <w:rsid w:val="005E7B1C"/>
    <w:rsid w:val="005E7D03"/>
    <w:rsid w:val="005E7DE2"/>
    <w:rsid w:val="005E7E23"/>
    <w:rsid w:val="005E7E7D"/>
    <w:rsid w:val="005E7F05"/>
    <w:rsid w:val="005E7FAA"/>
    <w:rsid w:val="005F02F1"/>
    <w:rsid w:val="005F02F6"/>
    <w:rsid w:val="005F0369"/>
    <w:rsid w:val="005F0605"/>
    <w:rsid w:val="005F0C32"/>
    <w:rsid w:val="005F0E22"/>
    <w:rsid w:val="005F1024"/>
    <w:rsid w:val="005F1236"/>
    <w:rsid w:val="005F12AA"/>
    <w:rsid w:val="005F140E"/>
    <w:rsid w:val="005F190F"/>
    <w:rsid w:val="005F1990"/>
    <w:rsid w:val="005F1AAA"/>
    <w:rsid w:val="005F1DD5"/>
    <w:rsid w:val="005F26BD"/>
    <w:rsid w:val="005F280E"/>
    <w:rsid w:val="005F2926"/>
    <w:rsid w:val="005F2B3D"/>
    <w:rsid w:val="005F2B4E"/>
    <w:rsid w:val="005F2B94"/>
    <w:rsid w:val="005F380A"/>
    <w:rsid w:val="005F384A"/>
    <w:rsid w:val="005F3E0C"/>
    <w:rsid w:val="005F3E73"/>
    <w:rsid w:val="005F3F7D"/>
    <w:rsid w:val="005F3FE7"/>
    <w:rsid w:val="005F42C4"/>
    <w:rsid w:val="005F4615"/>
    <w:rsid w:val="005F46C5"/>
    <w:rsid w:val="005F4A7F"/>
    <w:rsid w:val="005F5003"/>
    <w:rsid w:val="005F52AF"/>
    <w:rsid w:val="005F52DF"/>
    <w:rsid w:val="005F5892"/>
    <w:rsid w:val="005F5D03"/>
    <w:rsid w:val="005F5D71"/>
    <w:rsid w:val="005F5E3E"/>
    <w:rsid w:val="005F5FCE"/>
    <w:rsid w:val="005F61AF"/>
    <w:rsid w:val="005F64FF"/>
    <w:rsid w:val="005F6609"/>
    <w:rsid w:val="005F66D9"/>
    <w:rsid w:val="005F673C"/>
    <w:rsid w:val="005F6782"/>
    <w:rsid w:val="005F6D03"/>
    <w:rsid w:val="005F7249"/>
    <w:rsid w:val="005F73B3"/>
    <w:rsid w:val="005F740F"/>
    <w:rsid w:val="005F7CD1"/>
    <w:rsid w:val="005F7D65"/>
    <w:rsid w:val="00600184"/>
    <w:rsid w:val="006002C7"/>
    <w:rsid w:val="006003EA"/>
    <w:rsid w:val="00600520"/>
    <w:rsid w:val="006005D0"/>
    <w:rsid w:val="00600AA8"/>
    <w:rsid w:val="00600C04"/>
    <w:rsid w:val="00600F7C"/>
    <w:rsid w:val="00601231"/>
    <w:rsid w:val="0060165E"/>
    <w:rsid w:val="006016CE"/>
    <w:rsid w:val="00601839"/>
    <w:rsid w:val="00601ACC"/>
    <w:rsid w:val="00602055"/>
    <w:rsid w:val="00602234"/>
    <w:rsid w:val="00602242"/>
    <w:rsid w:val="00602587"/>
    <w:rsid w:val="006029C8"/>
    <w:rsid w:val="00602A65"/>
    <w:rsid w:val="00602B80"/>
    <w:rsid w:val="00603423"/>
    <w:rsid w:val="006035BE"/>
    <w:rsid w:val="00603793"/>
    <w:rsid w:val="00603A60"/>
    <w:rsid w:val="00603AA6"/>
    <w:rsid w:val="0060404B"/>
    <w:rsid w:val="00604251"/>
    <w:rsid w:val="0060498E"/>
    <w:rsid w:val="00604A53"/>
    <w:rsid w:val="00604BB1"/>
    <w:rsid w:val="00604C67"/>
    <w:rsid w:val="00604C7F"/>
    <w:rsid w:val="00604E32"/>
    <w:rsid w:val="006051AB"/>
    <w:rsid w:val="0060532E"/>
    <w:rsid w:val="0060555E"/>
    <w:rsid w:val="006056DD"/>
    <w:rsid w:val="0060588F"/>
    <w:rsid w:val="00605B1A"/>
    <w:rsid w:val="00605D7C"/>
    <w:rsid w:val="00606505"/>
    <w:rsid w:val="00606689"/>
    <w:rsid w:val="006066A7"/>
    <w:rsid w:val="00606E0E"/>
    <w:rsid w:val="006070B9"/>
    <w:rsid w:val="00607301"/>
    <w:rsid w:val="006073A4"/>
    <w:rsid w:val="00607688"/>
    <w:rsid w:val="006076F4"/>
    <w:rsid w:val="00607A53"/>
    <w:rsid w:val="00607D3E"/>
    <w:rsid w:val="00607F5A"/>
    <w:rsid w:val="0061005E"/>
    <w:rsid w:val="00610200"/>
    <w:rsid w:val="00610283"/>
    <w:rsid w:val="006104E4"/>
    <w:rsid w:val="006108AE"/>
    <w:rsid w:val="00610B49"/>
    <w:rsid w:val="0061100E"/>
    <w:rsid w:val="0061139C"/>
    <w:rsid w:val="00611510"/>
    <w:rsid w:val="00611589"/>
    <w:rsid w:val="00611646"/>
    <w:rsid w:val="0061193D"/>
    <w:rsid w:val="0061194E"/>
    <w:rsid w:val="00611C99"/>
    <w:rsid w:val="00612424"/>
    <w:rsid w:val="0061273D"/>
    <w:rsid w:val="0061291B"/>
    <w:rsid w:val="00612CC8"/>
    <w:rsid w:val="00612E45"/>
    <w:rsid w:val="00612FBB"/>
    <w:rsid w:val="00613054"/>
    <w:rsid w:val="0061314E"/>
    <w:rsid w:val="00613B00"/>
    <w:rsid w:val="00613C0C"/>
    <w:rsid w:val="00613FBB"/>
    <w:rsid w:val="006148F1"/>
    <w:rsid w:val="0061493E"/>
    <w:rsid w:val="006149E8"/>
    <w:rsid w:val="00614CF8"/>
    <w:rsid w:val="00614F2F"/>
    <w:rsid w:val="006150E9"/>
    <w:rsid w:val="006151AC"/>
    <w:rsid w:val="006153F6"/>
    <w:rsid w:val="006158B7"/>
    <w:rsid w:val="00615C56"/>
    <w:rsid w:val="00615D60"/>
    <w:rsid w:val="00615F99"/>
    <w:rsid w:val="0061608F"/>
    <w:rsid w:val="006161B9"/>
    <w:rsid w:val="00616607"/>
    <w:rsid w:val="006168A2"/>
    <w:rsid w:val="006169FB"/>
    <w:rsid w:val="00616B34"/>
    <w:rsid w:val="00616D3F"/>
    <w:rsid w:val="00616D5D"/>
    <w:rsid w:val="00616D6F"/>
    <w:rsid w:val="0061712E"/>
    <w:rsid w:val="006174AA"/>
    <w:rsid w:val="006174E9"/>
    <w:rsid w:val="0061751C"/>
    <w:rsid w:val="006176F7"/>
    <w:rsid w:val="00617A1E"/>
    <w:rsid w:val="00617B64"/>
    <w:rsid w:val="00617D44"/>
    <w:rsid w:val="00617F30"/>
    <w:rsid w:val="00617F54"/>
    <w:rsid w:val="006205AC"/>
    <w:rsid w:val="00620799"/>
    <w:rsid w:val="00620B5C"/>
    <w:rsid w:val="00620BFF"/>
    <w:rsid w:val="00620EFE"/>
    <w:rsid w:val="00620F51"/>
    <w:rsid w:val="006211AD"/>
    <w:rsid w:val="006212A6"/>
    <w:rsid w:val="006213EA"/>
    <w:rsid w:val="006216E6"/>
    <w:rsid w:val="00621A72"/>
    <w:rsid w:val="00621B07"/>
    <w:rsid w:val="00621C90"/>
    <w:rsid w:val="006222B9"/>
    <w:rsid w:val="00622436"/>
    <w:rsid w:val="006227CE"/>
    <w:rsid w:val="006227D2"/>
    <w:rsid w:val="0062280A"/>
    <w:rsid w:val="0062282B"/>
    <w:rsid w:val="006229D4"/>
    <w:rsid w:val="00622A11"/>
    <w:rsid w:val="00622B2B"/>
    <w:rsid w:val="00622C35"/>
    <w:rsid w:val="006233B5"/>
    <w:rsid w:val="00623424"/>
    <w:rsid w:val="006239B2"/>
    <w:rsid w:val="00623A5E"/>
    <w:rsid w:val="00623AC2"/>
    <w:rsid w:val="00623C53"/>
    <w:rsid w:val="00623D2A"/>
    <w:rsid w:val="00624026"/>
    <w:rsid w:val="0062412D"/>
    <w:rsid w:val="0062429E"/>
    <w:rsid w:val="00624590"/>
    <w:rsid w:val="006245BF"/>
    <w:rsid w:val="0062486F"/>
    <w:rsid w:val="006248D3"/>
    <w:rsid w:val="006248E3"/>
    <w:rsid w:val="00624922"/>
    <w:rsid w:val="00624952"/>
    <w:rsid w:val="00624BC9"/>
    <w:rsid w:val="00624E34"/>
    <w:rsid w:val="00624EBD"/>
    <w:rsid w:val="0062506A"/>
    <w:rsid w:val="00625318"/>
    <w:rsid w:val="00625B1B"/>
    <w:rsid w:val="00625CF6"/>
    <w:rsid w:val="00625E1F"/>
    <w:rsid w:val="00626015"/>
    <w:rsid w:val="00626189"/>
    <w:rsid w:val="00626AAB"/>
    <w:rsid w:val="00626BF7"/>
    <w:rsid w:val="00626D14"/>
    <w:rsid w:val="00627296"/>
    <w:rsid w:val="00627512"/>
    <w:rsid w:val="00627A2C"/>
    <w:rsid w:val="00627C21"/>
    <w:rsid w:val="00627E27"/>
    <w:rsid w:val="0063003D"/>
    <w:rsid w:val="00630046"/>
    <w:rsid w:val="00630060"/>
    <w:rsid w:val="00630278"/>
    <w:rsid w:val="0063065E"/>
    <w:rsid w:val="006307AF"/>
    <w:rsid w:val="006308F9"/>
    <w:rsid w:val="006309E3"/>
    <w:rsid w:val="00630A3E"/>
    <w:rsid w:val="00630A4D"/>
    <w:rsid w:val="00630CE3"/>
    <w:rsid w:val="00630CE4"/>
    <w:rsid w:val="006310D3"/>
    <w:rsid w:val="0063111E"/>
    <w:rsid w:val="006314A8"/>
    <w:rsid w:val="00631581"/>
    <w:rsid w:val="006317D1"/>
    <w:rsid w:val="00631968"/>
    <w:rsid w:val="00631C77"/>
    <w:rsid w:val="00632051"/>
    <w:rsid w:val="0063208B"/>
    <w:rsid w:val="006321C0"/>
    <w:rsid w:val="006323B3"/>
    <w:rsid w:val="006323CB"/>
    <w:rsid w:val="006323CC"/>
    <w:rsid w:val="006325F9"/>
    <w:rsid w:val="00632F95"/>
    <w:rsid w:val="0063312B"/>
    <w:rsid w:val="006332D1"/>
    <w:rsid w:val="00633458"/>
    <w:rsid w:val="00633508"/>
    <w:rsid w:val="0063352A"/>
    <w:rsid w:val="006335CE"/>
    <w:rsid w:val="006338B3"/>
    <w:rsid w:val="00633904"/>
    <w:rsid w:val="00633B82"/>
    <w:rsid w:val="00633D73"/>
    <w:rsid w:val="00633E93"/>
    <w:rsid w:val="006341CA"/>
    <w:rsid w:val="0063456D"/>
    <w:rsid w:val="00634650"/>
    <w:rsid w:val="006348A9"/>
    <w:rsid w:val="006348FF"/>
    <w:rsid w:val="00634A05"/>
    <w:rsid w:val="00634AD9"/>
    <w:rsid w:val="00634C2A"/>
    <w:rsid w:val="00634FFC"/>
    <w:rsid w:val="006350B9"/>
    <w:rsid w:val="006350E4"/>
    <w:rsid w:val="00635102"/>
    <w:rsid w:val="006357E9"/>
    <w:rsid w:val="006359E6"/>
    <w:rsid w:val="006359E7"/>
    <w:rsid w:val="00635B27"/>
    <w:rsid w:val="00635B49"/>
    <w:rsid w:val="00635C1D"/>
    <w:rsid w:val="0063645D"/>
    <w:rsid w:val="0063657B"/>
    <w:rsid w:val="006365DE"/>
    <w:rsid w:val="006365F4"/>
    <w:rsid w:val="00636769"/>
    <w:rsid w:val="006367F1"/>
    <w:rsid w:val="00636899"/>
    <w:rsid w:val="0063692F"/>
    <w:rsid w:val="00636AA8"/>
    <w:rsid w:val="00636CB4"/>
    <w:rsid w:val="00636E3F"/>
    <w:rsid w:val="00636E42"/>
    <w:rsid w:val="00636EFA"/>
    <w:rsid w:val="00637342"/>
    <w:rsid w:val="0063735C"/>
    <w:rsid w:val="00637388"/>
    <w:rsid w:val="006373B1"/>
    <w:rsid w:val="00637527"/>
    <w:rsid w:val="0063759F"/>
    <w:rsid w:val="006375BF"/>
    <w:rsid w:val="00637894"/>
    <w:rsid w:val="00637AC6"/>
    <w:rsid w:val="00637AFA"/>
    <w:rsid w:val="00637BC8"/>
    <w:rsid w:val="00640406"/>
    <w:rsid w:val="00640608"/>
    <w:rsid w:val="00640643"/>
    <w:rsid w:val="00640710"/>
    <w:rsid w:val="00640D69"/>
    <w:rsid w:val="00640F9A"/>
    <w:rsid w:val="006410D5"/>
    <w:rsid w:val="0064130E"/>
    <w:rsid w:val="0064132A"/>
    <w:rsid w:val="0064132F"/>
    <w:rsid w:val="00641506"/>
    <w:rsid w:val="006417AE"/>
    <w:rsid w:val="006417ED"/>
    <w:rsid w:val="00641A30"/>
    <w:rsid w:val="00641A64"/>
    <w:rsid w:val="00641DA3"/>
    <w:rsid w:val="00642290"/>
    <w:rsid w:val="006422A2"/>
    <w:rsid w:val="006424DA"/>
    <w:rsid w:val="006424E3"/>
    <w:rsid w:val="00642736"/>
    <w:rsid w:val="006427CB"/>
    <w:rsid w:val="00642831"/>
    <w:rsid w:val="00642A9B"/>
    <w:rsid w:val="00642AF5"/>
    <w:rsid w:val="00642C43"/>
    <w:rsid w:val="00642ED9"/>
    <w:rsid w:val="00643262"/>
    <w:rsid w:val="006435D2"/>
    <w:rsid w:val="00643911"/>
    <w:rsid w:val="00643BB4"/>
    <w:rsid w:val="00643C8B"/>
    <w:rsid w:val="00643D49"/>
    <w:rsid w:val="00643DB2"/>
    <w:rsid w:val="00644445"/>
    <w:rsid w:val="00644495"/>
    <w:rsid w:val="00644588"/>
    <w:rsid w:val="006445E3"/>
    <w:rsid w:val="00644A7F"/>
    <w:rsid w:val="00644AF8"/>
    <w:rsid w:val="00644DAC"/>
    <w:rsid w:val="006452EE"/>
    <w:rsid w:val="00645634"/>
    <w:rsid w:val="006456F1"/>
    <w:rsid w:val="00645A3E"/>
    <w:rsid w:val="00645AED"/>
    <w:rsid w:val="00645F1E"/>
    <w:rsid w:val="006463DA"/>
    <w:rsid w:val="00646560"/>
    <w:rsid w:val="00646646"/>
    <w:rsid w:val="006468B6"/>
    <w:rsid w:val="00646A23"/>
    <w:rsid w:val="00646B4C"/>
    <w:rsid w:val="006470F8"/>
    <w:rsid w:val="00647184"/>
    <w:rsid w:val="0064722D"/>
    <w:rsid w:val="00647666"/>
    <w:rsid w:val="006478A3"/>
    <w:rsid w:val="00647A33"/>
    <w:rsid w:val="00647B72"/>
    <w:rsid w:val="00647C80"/>
    <w:rsid w:val="00647CA2"/>
    <w:rsid w:val="00647DF5"/>
    <w:rsid w:val="00647E86"/>
    <w:rsid w:val="00650141"/>
    <w:rsid w:val="006502A5"/>
    <w:rsid w:val="006502DF"/>
    <w:rsid w:val="006503BD"/>
    <w:rsid w:val="00650814"/>
    <w:rsid w:val="006508F3"/>
    <w:rsid w:val="006509CD"/>
    <w:rsid w:val="00650AF7"/>
    <w:rsid w:val="00650D26"/>
    <w:rsid w:val="00650E7F"/>
    <w:rsid w:val="0065112D"/>
    <w:rsid w:val="006515D4"/>
    <w:rsid w:val="00651666"/>
    <w:rsid w:val="0065172B"/>
    <w:rsid w:val="00651736"/>
    <w:rsid w:val="0065179C"/>
    <w:rsid w:val="00651B64"/>
    <w:rsid w:val="00651D52"/>
    <w:rsid w:val="00651EDE"/>
    <w:rsid w:val="0065204A"/>
    <w:rsid w:val="0065214E"/>
    <w:rsid w:val="006524C4"/>
    <w:rsid w:val="0065252E"/>
    <w:rsid w:val="006526C5"/>
    <w:rsid w:val="00652735"/>
    <w:rsid w:val="00652A9B"/>
    <w:rsid w:val="00652BAD"/>
    <w:rsid w:val="00652D83"/>
    <w:rsid w:val="00652F54"/>
    <w:rsid w:val="00652F75"/>
    <w:rsid w:val="006533E2"/>
    <w:rsid w:val="006534F4"/>
    <w:rsid w:val="00653560"/>
    <w:rsid w:val="006535EB"/>
    <w:rsid w:val="00653936"/>
    <w:rsid w:val="006539DE"/>
    <w:rsid w:val="00653BDC"/>
    <w:rsid w:val="00653CD5"/>
    <w:rsid w:val="00653E39"/>
    <w:rsid w:val="00654232"/>
    <w:rsid w:val="006542F1"/>
    <w:rsid w:val="00654613"/>
    <w:rsid w:val="00654747"/>
    <w:rsid w:val="006547B0"/>
    <w:rsid w:val="006548C0"/>
    <w:rsid w:val="00654933"/>
    <w:rsid w:val="00654B15"/>
    <w:rsid w:val="00654E69"/>
    <w:rsid w:val="00654E83"/>
    <w:rsid w:val="00654F79"/>
    <w:rsid w:val="00654F94"/>
    <w:rsid w:val="00654FFB"/>
    <w:rsid w:val="006553A0"/>
    <w:rsid w:val="00655536"/>
    <w:rsid w:val="00655541"/>
    <w:rsid w:val="00655A04"/>
    <w:rsid w:val="00655ABB"/>
    <w:rsid w:val="00655F06"/>
    <w:rsid w:val="006560DA"/>
    <w:rsid w:val="00656A2D"/>
    <w:rsid w:val="00656CF9"/>
    <w:rsid w:val="00656EE0"/>
    <w:rsid w:val="00656FA4"/>
    <w:rsid w:val="006574BB"/>
    <w:rsid w:val="006576DD"/>
    <w:rsid w:val="00657DAC"/>
    <w:rsid w:val="00657E46"/>
    <w:rsid w:val="00660180"/>
    <w:rsid w:val="0066023F"/>
    <w:rsid w:val="0066059B"/>
    <w:rsid w:val="006605AD"/>
    <w:rsid w:val="0066070B"/>
    <w:rsid w:val="0066075E"/>
    <w:rsid w:val="00660898"/>
    <w:rsid w:val="00660B3F"/>
    <w:rsid w:val="00660E54"/>
    <w:rsid w:val="00660FDF"/>
    <w:rsid w:val="00661023"/>
    <w:rsid w:val="0066111D"/>
    <w:rsid w:val="00661711"/>
    <w:rsid w:val="006618A9"/>
    <w:rsid w:val="00661B61"/>
    <w:rsid w:val="00661C30"/>
    <w:rsid w:val="00661C57"/>
    <w:rsid w:val="00661D6E"/>
    <w:rsid w:val="00661E2F"/>
    <w:rsid w:val="00662016"/>
    <w:rsid w:val="006621B2"/>
    <w:rsid w:val="006624F0"/>
    <w:rsid w:val="00662953"/>
    <w:rsid w:val="00662968"/>
    <w:rsid w:val="00662B8F"/>
    <w:rsid w:val="00662CD1"/>
    <w:rsid w:val="00662E9E"/>
    <w:rsid w:val="00662EF3"/>
    <w:rsid w:val="00663C41"/>
    <w:rsid w:val="00664037"/>
    <w:rsid w:val="0066428A"/>
    <w:rsid w:val="00664307"/>
    <w:rsid w:val="0066445B"/>
    <w:rsid w:val="0066485E"/>
    <w:rsid w:val="006648B5"/>
    <w:rsid w:val="006649CA"/>
    <w:rsid w:val="00664B38"/>
    <w:rsid w:val="00664BEF"/>
    <w:rsid w:val="00664C50"/>
    <w:rsid w:val="00665606"/>
    <w:rsid w:val="00665650"/>
    <w:rsid w:val="006657D4"/>
    <w:rsid w:val="00665B55"/>
    <w:rsid w:val="00665F12"/>
    <w:rsid w:val="00665FB6"/>
    <w:rsid w:val="00666454"/>
    <w:rsid w:val="00666716"/>
    <w:rsid w:val="0066677A"/>
    <w:rsid w:val="006668D8"/>
    <w:rsid w:val="00666966"/>
    <w:rsid w:val="00666ADC"/>
    <w:rsid w:val="00666B03"/>
    <w:rsid w:val="00666B2E"/>
    <w:rsid w:val="00666C4A"/>
    <w:rsid w:val="00667198"/>
    <w:rsid w:val="00667200"/>
    <w:rsid w:val="00667310"/>
    <w:rsid w:val="00667432"/>
    <w:rsid w:val="00667685"/>
    <w:rsid w:val="00667A58"/>
    <w:rsid w:val="00667C49"/>
    <w:rsid w:val="00667CF6"/>
    <w:rsid w:val="00667D67"/>
    <w:rsid w:val="00667DAD"/>
    <w:rsid w:val="00670029"/>
    <w:rsid w:val="0067011E"/>
    <w:rsid w:val="0067027F"/>
    <w:rsid w:val="0067046A"/>
    <w:rsid w:val="00670477"/>
    <w:rsid w:val="006705E5"/>
    <w:rsid w:val="00670CC7"/>
    <w:rsid w:val="00670E64"/>
    <w:rsid w:val="006711EF"/>
    <w:rsid w:val="006713E1"/>
    <w:rsid w:val="0067141B"/>
    <w:rsid w:val="00671BC3"/>
    <w:rsid w:val="00672214"/>
    <w:rsid w:val="006723C6"/>
    <w:rsid w:val="0067241D"/>
    <w:rsid w:val="0067269B"/>
    <w:rsid w:val="0067275C"/>
    <w:rsid w:val="006727FB"/>
    <w:rsid w:val="00672929"/>
    <w:rsid w:val="00672B92"/>
    <w:rsid w:val="00672F6A"/>
    <w:rsid w:val="00673069"/>
    <w:rsid w:val="006730CA"/>
    <w:rsid w:val="006730CC"/>
    <w:rsid w:val="006732AB"/>
    <w:rsid w:val="00673965"/>
    <w:rsid w:val="00673AE5"/>
    <w:rsid w:val="00673DD5"/>
    <w:rsid w:val="006740E6"/>
    <w:rsid w:val="00674538"/>
    <w:rsid w:val="00674781"/>
    <w:rsid w:val="00674E00"/>
    <w:rsid w:val="00674ECF"/>
    <w:rsid w:val="006757DA"/>
    <w:rsid w:val="00675B14"/>
    <w:rsid w:val="00675B78"/>
    <w:rsid w:val="00675C83"/>
    <w:rsid w:val="00675EAA"/>
    <w:rsid w:val="00676003"/>
    <w:rsid w:val="006762BE"/>
    <w:rsid w:val="006763DA"/>
    <w:rsid w:val="006765A6"/>
    <w:rsid w:val="00676608"/>
    <w:rsid w:val="006766AF"/>
    <w:rsid w:val="00676CF0"/>
    <w:rsid w:val="00676F6D"/>
    <w:rsid w:val="00677139"/>
    <w:rsid w:val="00677302"/>
    <w:rsid w:val="006775CC"/>
    <w:rsid w:val="0067779F"/>
    <w:rsid w:val="00677A9A"/>
    <w:rsid w:val="00677EFC"/>
    <w:rsid w:val="00680050"/>
    <w:rsid w:val="006802CD"/>
    <w:rsid w:val="00680B1C"/>
    <w:rsid w:val="006810AC"/>
    <w:rsid w:val="006810E6"/>
    <w:rsid w:val="0068115B"/>
    <w:rsid w:val="006817C2"/>
    <w:rsid w:val="00681A2E"/>
    <w:rsid w:val="00681F40"/>
    <w:rsid w:val="00682277"/>
    <w:rsid w:val="00682320"/>
    <w:rsid w:val="00682321"/>
    <w:rsid w:val="006823D2"/>
    <w:rsid w:val="00682744"/>
    <w:rsid w:val="0068290E"/>
    <w:rsid w:val="00682A65"/>
    <w:rsid w:val="00683324"/>
    <w:rsid w:val="00683391"/>
    <w:rsid w:val="006833DE"/>
    <w:rsid w:val="0068359D"/>
    <w:rsid w:val="00683893"/>
    <w:rsid w:val="0068392F"/>
    <w:rsid w:val="0068395C"/>
    <w:rsid w:val="00683F13"/>
    <w:rsid w:val="00683FC4"/>
    <w:rsid w:val="00684015"/>
    <w:rsid w:val="006840D3"/>
    <w:rsid w:val="006842EA"/>
    <w:rsid w:val="00684545"/>
    <w:rsid w:val="0068477F"/>
    <w:rsid w:val="00684787"/>
    <w:rsid w:val="00684B76"/>
    <w:rsid w:val="00684D0F"/>
    <w:rsid w:val="00684E86"/>
    <w:rsid w:val="00684E96"/>
    <w:rsid w:val="00684EB1"/>
    <w:rsid w:val="006852DE"/>
    <w:rsid w:val="0068538B"/>
    <w:rsid w:val="006853A9"/>
    <w:rsid w:val="00685513"/>
    <w:rsid w:val="006858B4"/>
    <w:rsid w:val="006858CB"/>
    <w:rsid w:val="0068590E"/>
    <w:rsid w:val="006859A9"/>
    <w:rsid w:val="00685F9F"/>
    <w:rsid w:val="00686049"/>
    <w:rsid w:val="006860D3"/>
    <w:rsid w:val="006868BB"/>
    <w:rsid w:val="00686AEC"/>
    <w:rsid w:val="00686C4F"/>
    <w:rsid w:val="00686CE9"/>
    <w:rsid w:val="00686D53"/>
    <w:rsid w:val="0068705E"/>
    <w:rsid w:val="006873DF"/>
    <w:rsid w:val="006874ED"/>
    <w:rsid w:val="00687664"/>
    <w:rsid w:val="0068786F"/>
    <w:rsid w:val="00687B98"/>
    <w:rsid w:val="00687D40"/>
    <w:rsid w:val="00690526"/>
    <w:rsid w:val="00690786"/>
    <w:rsid w:val="00690AC9"/>
    <w:rsid w:val="00690B05"/>
    <w:rsid w:val="00690EF3"/>
    <w:rsid w:val="00690F44"/>
    <w:rsid w:val="00691028"/>
    <w:rsid w:val="006910DE"/>
    <w:rsid w:val="00691663"/>
    <w:rsid w:val="00691868"/>
    <w:rsid w:val="00691A18"/>
    <w:rsid w:val="00691C11"/>
    <w:rsid w:val="00691CB7"/>
    <w:rsid w:val="00691DAC"/>
    <w:rsid w:val="00691E42"/>
    <w:rsid w:val="006925C5"/>
    <w:rsid w:val="006925CB"/>
    <w:rsid w:val="0069271A"/>
    <w:rsid w:val="00692769"/>
    <w:rsid w:val="00692856"/>
    <w:rsid w:val="00692885"/>
    <w:rsid w:val="006928C5"/>
    <w:rsid w:val="00692BAE"/>
    <w:rsid w:val="00692C1B"/>
    <w:rsid w:val="00692CCF"/>
    <w:rsid w:val="00692DBB"/>
    <w:rsid w:val="00692F83"/>
    <w:rsid w:val="006931DC"/>
    <w:rsid w:val="0069322D"/>
    <w:rsid w:val="006932CB"/>
    <w:rsid w:val="006932EA"/>
    <w:rsid w:val="00693372"/>
    <w:rsid w:val="0069374B"/>
    <w:rsid w:val="006937A2"/>
    <w:rsid w:val="006938EF"/>
    <w:rsid w:val="00693A84"/>
    <w:rsid w:val="00693C64"/>
    <w:rsid w:val="00693F29"/>
    <w:rsid w:val="00694331"/>
    <w:rsid w:val="00694528"/>
    <w:rsid w:val="00694534"/>
    <w:rsid w:val="00694545"/>
    <w:rsid w:val="00694640"/>
    <w:rsid w:val="006947DE"/>
    <w:rsid w:val="006947E4"/>
    <w:rsid w:val="006948E9"/>
    <w:rsid w:val="00694AE3"/>
    <w:rsid w:val="00694B2B"/>
    <w:rsid w:val="00694DF3"/>
    <w:rsid w:val="00694E84"/>
    <w:rsid w:val="0069579B"/>
    <w:rsid w:val="006958CB"/>
    <w:rsid w:val="0069595E"/>
    <w:rsid w:val="006959A6"/>
    <w:rsid w:val="00695ACF"/>
    <w:rsid w:val="006966B6"/>
    <w:rsid w:val="0069675B"/>
    <w:rsid w:val="0069675C"/>
    <w:rsid w:val="006968F7"/>
    <w:rsid w:val="00696AE3"/>
    <w:rsid w:val="00696B74"/>
    <w:rsid w:val="00696B85"/>
    <w:rsid w:val="00696C4F"/>
    <w:rsid w:val="00696C63"/>
    <w:rsid w:val="00696FDD"/>
    <w:rsid w:val="00696FF8"/>
    <w:rsid w:val="0069716D"/>
    <w:rsid w:val="00697289"/>
    <w:rsid w:val="0069770A"/>
    <w:rsid w:val="0069774A"/>
    <w:rsid w:val="00697774"/>
    <w:rsid w:val="00697D1F"/>
    <w:rsid w:val="00697E2F"/>
    <w:rsid w:val="00697EF9"/>
    <w:rsid w:val="006A01D4"/>
    <w:rsid w:val="006A02E1"/>
    <w:rsid w:val="006A0D03"/>
    <w:rsid w:val="006A1198"/>
    <w:rsid w:val="006A14E0"/>
    <w:rsid w:val="006A152A"/>
    <w:rsid w:val="006A176F"/>
    <w:rsid w:val="006A1841"/>
    <w:rsid w:val="006A1B7C"/>
    <w:rsid w:val="006A1E39"/>
    <w:rsid w:val="006A1FE3"/>
    <w:rsid w:val="006A25B4"/>
    <w:rsid w:val="006A25C1"/>
    <w:rsid w:val="006A2778"/>
    <w:rsid w:val="006A30F4"/>
    <w:rsid w:val="006A3184"/>
    <w:rsid w:val="006A3359"/>
    <w:rsid w:val="006A34DF"/>
    <w:rsid w:val="006A36D6"/>
    <w:rsid w:val="006A3711"/>
    <w:rsid w:val="006A3AC1"/>
    <w:rsid w:val="006A3B0F"/>
    <w:rsid w:val="006A3BBF"/>
    <w:rsid w:val="006A4452"/>
    <w:rsid w:val="006A4472"/>
    <w:rsid w:val="006A44A6"/>
    <w:rsid w:val="006A450C"/>
    <w:rsid w:val="006A465B"/>
    <w:rsid w:val="006A494F"/>
    <w:rsid w:val="006A4BA8"/>
    <w:rsid w:val="006A4E78"/>
    <w:rsid w:val="006A50E0"/>
    <w:rsid w:val="006A51C5"/>
    <w:rsid w:val="006A57A6"/>
    <w:rsid w:val="006A57F0"/>
    <w:rsid w:val="006A5886"/>
    <w:rsid w:val="006A5948"/>
    <w:rsid w:val="006A5970"/>
    <w:rsid w:val="006A5984"/>
    <w:rsid w:val="006A5CEB"/>
    <w:rsid w:val="006A6131"/>
    <w:rsid w:val="006A6379"/>
    <w:rsid w:val="006A646C"/>
    <w:rsid w:val="006A64F1"/>
    <w:rsid w:val="006A65AE"/>
    <w:rsid w:val="006A6779"/>
    <w:rsid w:val="006A677B"/>
    <w:rsid w:val="006A6862"/>
    <w:rsid w:val="006A6A60"/>
    <w:rsid w:val="006A6F4E"/>
    <w:rsid w:val="006A7045"/>
    <w:rsid w:val="006A7089"/>
    <w:rsid w:val="006A7615"/>
    <w:rsid w:val="006A761B"/>
    <w:rsid w:val="006A7752"/>
    <w:rsid w:val="006B02B6"/>
    <w:rsid w:val="006B032D"/>
    <w:rsid w:val="006B04D6"/>
    <w:rsid w:val="006B06A3"/>
    <w:rsid w:val="006B0994"/>
    <w:rsid w:val="006B09C0"/>
    <w:rsid w:val="006B09EC"/>
    <w:rsid w:val="006B09F0"/>
    <w:rsid w:val="006B0B5E"/>
    <w:rsid w:val="006B0DCB"/>
    <w:rsid w:val="006B0DDB"/>
    <w:rsid w:val="006B13B4"/>
    <w:rsid w:val="006B1625"/>
    <w:rsid w:val="006B18FD"/>
    <w:rsid w:val="006B1936"/>
    <w:rsid w:val="006B1A8E"/>
    <w:rsid w:val="006B1F07"/>
    <w:rsid w:val="006B203C"/>
    <w:rsid w:val="006B2062"/>
    <w:rsid w:val="006B2133"/>
    <w:rsid w:val="006B22FC"/>
    <w:rsid w:val="006B2412"/>
    <w:rsid w:val="006B2465"/>
    <w:rsid w:val="006B2BA4"/>
    <w:rsid w:val="006B2BDF"/>
    <w:rsid w:val="006B2C97"/>
    <w:rsid w:val="006B2E71"/>
    <w:rsid w:val="006B2F30"/>
    <w:rsid w:val="006B2FCE"/>
    <w:rsid w:val="006B309F"/>
    <w:rsid w:val="006B32C3"/>
    <w:rsid w:val="006B37AE"/>
    <w:rsid w:val="006B3808"/>
    <w:rsid w:val="006B389F"/>
    <w:rsid w:val="006B3CA9"/>
    <w:rsid w:val="006B4335"/>
    <w:rsid w:val="006B435C"/>
    <w:rsid w:val="006B4392"/>
    <w:rsid w:val="006B4B69"/>
    <w:rsid w:val="006B4EFF"/>
    <w:rsid w:val="006B512F"/>
    <w:rsid w:val="006B51A1"/>
    <w:rsid w:val="006B5514"/>
    <w:rsid w:val="006B5658"/>
    <w:rsid w:val="006B5D16"/>
    <w:rsid w:val="006B5D74"/>
    <w:rsid w:val="006B6082"/>
    <w:rsid w:val="006B60FE"/>
    <w:rsid w:val="006B6227"/>
    <w:rsid w:val="006B69DD"/>
    <w:rsid w:val="006B6D6F"/>
    <w:rsid w:val="006B6E78"/>
    <w:rsid w:val="006B71FD"/>
    <w:rsid w:val="006B721E"/>
    <w:rsid w:val="006B72A9"/>
    <w:rsid w:val="006B76FC"/>
    <w:rsid w:val="006B776A"/>
    <w:rsid w:val="006B7ED2"/>
    <w:rsid w:val="006C0277"/>
    <w:rsid w:val="006C027A"/>
    <w:rsid w:val="006C0779"/>
    <w:rsid w:val="006C0A96"/>
    <w:rsid w:val="006C0D6E"/>
    <w:rsid w:val="006C10AA"/>
    <w:rsid w:val="006C13D9"/>
    <w:rsid w:val="006C1596"/>
    <w:rsid w:val="006C15BE"/>
    <w:rsid w:val="006C15E7"/>
    <w:rsid w:val="006C169B"/>
    <w:rsid w:val="006C1749"/>
    <w:rsid w:val="006C17D7"/>
    <w:rsid w:val="006C1BA4"/>
    <w:rsid w:val="006C1C09"/>
    <w:rsid w:val="006C1C80"/>
    <w:rsid w:val="006C1DF0"/>
    <w:rsid w:val="006C1ED3"/>
    <w:rsid w:val="006C1F7A"/>
    <w:rsid w:val="006C1FEB"/>
    <w:rsid w:val="006C2271"/>
    <w:rsid w:val="006C2472"/>
    <w:rsid w:val="006C2747"/>
    <w:rsid w:val="006C2AB8"/>
    <w:rsid w:val="006C2B16"/>
    <w:rsid w:val="006C2CD8"/>
    <w:rsid w:val="006C3184"/>
    <w:rsid w:val="006C33C0"/>
    <w:rsid w:val="006C34C6"/>
    <w:rsid w:val="006C35D7"/>
    <w:rsid w:val="006C3C24"/>
    <w:rsid w:val="006C3C49"/>
    <w:rsid w:val="006C3D72"/>
    <w:rsid w:val="006C3EC6"/>
    <w:rsid w:val="006C3F8A"/>
    <w:rsid w:val="006C444A"/>
    <w:rsid w:val="006C450B"/>
    <w:rsid w:val="006C4C96"/>
    <w:rsid w:val="006C4DF0"/>
    <w:rsid w:val="006C5295"/>
    <w:rsid w:val="006C56CD"/>
    <w:rsid w:val="006C5976"/>
    <w:rsid w:val="006C5AAF"/>
    <w:rsid w:val="006C5C36"/>
    <w:rsid w:val="006C5E97"/>
    <w:rsid w:val="006C60E9"/>
    <w:rsid w:val="006C620C"/>
    <w:rsid w:val="006C64EF"/>
    <w:rsid w:val="006C65CE"/>
    <w:rsid w:val="006C6947"/>
    <w:rsid w:val="006C694A"/>
    <w:rsid w:val="006C6CAE"/>
    <w:rsid w:val="006C70CA"/>
    <w:rsid w:val="006C7170"/>
    <w:rsid w:val="006C71AD"/>
    <w:rsid w:val="006C7269"/>
    <w:rsid w:val="006C75D8"/>
    <w:rsid w:val="006C75EE"/>
    <w:rsid w:val="006C7956"/>
    <w:rsid w:val="006C7B9D"/>
    <w:rsid w:val="006C7CEA"/>
    <w:rsid w:val="006C7DDA"/>
    <w:rsid w:val="006D00C2"/>
    <w:rsid w:val="006D0106"/>
    <w:rsid w:val="006D017A"/>
    <w:rsid w:val="006D0320"/>
    <w:rsid w:val="006D04FE"/>
    <w:rsid w:val="006D05E9"/>
    <w:rsid w:val="006D0897"/>
    <w:rsid w:val="006D0E85"/>
    <w:rsid w:val="006D0F77"/>
    <w:rsid w:val="006D0FE6"/>
    <w:rsid w:val="006D193E"/>
    <w:rsid w:val="006D1BB9"/>
    <w:rsid w:val="006D1FEA"/>
    <w:rsid w:val="006D207B"/>
    <w:rsid w:val="006D2587"/>
    <w:rsid w:val="006D25A4"/>
    <w:rsid w:val="006D2BE6"/>
    <w:rsid w:val="006D2DA7"/>
    <w:rsid w:val="006D31A8"/>
    <w:rsid w:val="006D3A5C"/>
    <w:rsid w:val="006D3B7A"/>
    <w:rsid w:val="006D3CC3"/>
    <w:rsid w:val="006D3DDA"/>
    <w:rsid w:val="006D3EE9"/>
    <w:rsid w:val="006D3EEA"/>
    <w:rsid w:val="006D4650"/>
    <w:rsid w:val="006D4BFE"/>
    <w:rsid w:val="006D4CB2"/>
    <w:rsid w:val="006D500B"/>
    <w:rsid w:val="006D5296"/>
    <w:rsid w:val="006D5474"/>
    <w:rsid w:val="006D58F4"/>
    <w:rsid w:val="006D5B46"/>
    <w:rsid w:val="006D5E87"/>
    <w:rsid w:val="006D5FAA"/>
    <w:rsid w:val="006D6018"/>
    <w:rsid w:val="006D67AD"/>
    <w:rsid w:val="006D67F0"/>
    <w:rsid w:val="006D6AA6"/>
    <w:rsid w:val="006D6F7D"/>
    <w:rsid w:val="006D7285"/>
    <w:rsid w:val="006D72EF"/>
    <w:rsid w:val="006D78F8"/>
    <w:rsid w:val="006D78FC"/>
    <w:rsid w:val="006D7D3E"/>
    <w:rsid w:val="006D7E7F"/>
    <w:rsid w:val="006E0126"/>
    <w:rsid w:val="006E035C"/>
    <w:rsid w:val="006E0413"/>
    <w:rsid w:val="006E044B"/>
    <w:rsid w:val="006E0690"/>
    <w:rsid w:val="006E075A"/>
    <w:rsid w:val="006E078F"/>
    <w:rsid w:val="006E0EDD"/>
    <w:rsid w:val="006E1092"/>
    <w:rsid w:val="006E1109"/>
    <w:rsid w:val="006E1247"/>
    <w:rsid w:val="006E1250"/>
    <w:rsid w:val="006E14FB"/>
    <w:rsid w:val="006E1741"/>
    <w:rsid w:val="006E178F"/>
    <w:rsid w:val="006E1874"/>
    <w:rsid w:val="006E1DB5"/>
    <w:rsid w:val="006E2166"/>
    <w:rsid w:val="006E21BC"/>
    <w:rsid w:val="006E227E"/>
    <w:rsid w:val="006E2543"/>
    <w:rsid w:val="006E25C7"/>
    <w:rsid w:val="006E2614"/>
    <w:rsid w:val="006E2D82"/>
    <w:rsid w:val="006E3294"/>
    <w:rsid w:val="006E333A"/>
    <w:rsid w:val="006E33AA"/>
    <w:rsid w:val="006E3463"/>
    <w:rsid w:val="006E34D1"/>
    <w:rsid w:val="006E3502"/>
    <w:rsid w:val="006E3995"/>
    <w:rsid w:val="006E3A5E"/>
    <w:rsid w:val="006E3E3A"/>
    <w:rsid w:val="006E4786"/>
    <w:rsid w:val="006E4A4F"/>
    <w:rsid w:val="006E4C76"/>
    <w:rsid w:val="006E4FAD"/>
    <w:rsid w:val="006E5486"/>
    <w:rsid w:val="006E54AE"/>
    <w:rsid w:val="006E59EB"/>
    <w:rsid w:val="006E5CCC"/>
    <w:rsid w:val="006E5CFA"/>
    <w:rsid w:val="006E5E8D"/>
    <w:rsid w:val="006E5F46"/>
    <w:rsid w:val="006E60B7"/>
    <w:rsid w:val="006E61D7"/>
    <w:rsid w:val="006E6351"/>
    <w:rsid w:val="006E65F1"/>
    <w:rsid w:val="006E6655"/>
    <w:rsid w:val="006E67AC"/>
    <w:rsid w:val="006E68FE"/>
    <w:rsid w:val="006E699C"/>
    <w:rsid w:val="006E6C7F"/>
    <w:rsid w:val="006E7185"/>
    <w:rsid w:val="006E718C"/>
    <w:rsid w:val="006E723A"/>
    <w:rsid w:val="006E76DB"/>
    <w:rsid w:val="006E7AE8"/>
    <w:rsid w:val="006E7DAE"/>
    <w:rsid w:val="006F003C"/>
    <w:rsid w:val="006F01F8"/>
    <w:rsid w:val="006F04F3"/>
    <w:rsid w:val="006F0924"/>
    <w:rsid w:val="006F0CBE"/>
    <w:rsid w:val="006F0DF5"/>
    <w:rsid w:val="006F0F1C"/>
    <w:rsid w:val="006F0F6D"/>
    <w:rsid w:val="006F0FAE"/>
    <w:rsid w:val="006F1570"/>
    <w:rsid w:val="006F15DA"/>
    <w:rsid w:val="006F1652"/>
    <w:rsid w:val="006F1B68"/>
    <w:rsid w:val="006F1C77"/>
    <w:rsid w:val="006F1D8F"/>
    <w:rsid w:val="006F1F8B"/>
    <w:rsid w:val="006F222A"/>
    <w:rsid w:val="006F26CD"/>
    <w:rsid w:val="006F288A"/>
    <w:rsid w:val="006F2E4D"/>
    <w:rsid w:val="006F2E77"/>
    <w:rsid w:val="006F3484"/>
    <w:rsid w:val="006F36FA"/>
    <w:rsid w:val="006F372F"/>
    <w:rsid w:val="006F37B7"/>
    <w:rsid w:val="006F3AFE"/>
    <w:rsid w:val="006F3CF8"/>
    <w:rsid w:val="006F3D0D"/>
    <w:rsid w:val="006F3E76"/>
    <w:rsid w:val="006F3F1E"/>
    <w:rsid w:val="006F41BC"/>
    <w:rsid w:val="006F445D"/>
    <w:rsid w:val="006F4900"/>
    <w:rsid w:val="006F4C0C"/>
    <w:rsid w:val="006F4D56"/>
    <w:rsid w:val="006F4E2A"/>
    <w:rsid w:val="006F4FAD"/>
    <w:rsid w:val="006F50D4"/>
    <w:rsid w:val="006F5856"/>
    <w:rsid w:val="006F5A48"/>
    <w:rsid w:val="006F5AC5"/>
    <w:rsid w:val="006F5ED6"/>
    <w:rsid w:val="006F5F6D"/>
    <w:rsid w:val="006F60C1"/>
    <w:rsid w:val="006F64D4"/>
    <w:rsid w:val="006F68C4"/>
    <w:rsid w:val="006F6D02"/>
    <w:rsid w:val="006F6D76"/>
    <w:rsid w:val="006F7049"/>
    <w:rsid w:val="006F76A6"/>
    <w:rsid w:val="006F76B5"/>
    <w:rsid w:val="006F76C9"/>
    <w:rsid w:val="006F79FB"/>
    <w:rsid w:val="006F7A17"/>
    <w:rsid w:val="006F7E85"/>
    <w:rsid w:val="006F7EA2"/>
    <w:rsid w:val="006F7F69"/>
    <w:rsid w:val="006F7FC2"/>
    <w:rsid w:val="0070031A"/>
    <w:rsid w:val="007004DF"/>
    <w:rsid w:val="0070056C"/>
    <w:rsid w:val="007005D9"/>
    <w:rsid w:val="007007C4"/>
    <w:rsid w:val="00700943"/>
    <w:rsid w:val="00700A75"/>
    <w:rsid w:val="00700BAA"/>
    <w:rsid w:val="00701025"/>
    <w:rsid w:val="00701070"/>
    <w:rsid w:val="007010B3"/>
    <w:rsid w:val="00701115"/>
    <w:rsid w:val="007016BE"/>
    <w:rsid w:val="00701932"/>
    <w:rsid w:val="007019CA"/>
    <w:rsid w:val="007019F2"/>
    <w:rsid w:val="00701E21"/>
    <w:rsid w:val="007020F1"/>
    <w:rsid w:val="0070220D"/>
    <w:rsid w:val="00702385"/>
    <w:rsid w:val="0070265E"/>
    <w:rsid w:val="00702A12"/>
    <w:rsid w:val="00702B84"/>
    <w:rsid w:val="00702EB2"/>
    <w:rsid w:val="00703014"/>
    <w:rsid w:val="007030AC"/>
    <w:rsid w:val="0070334F"/>
    <w:rsid w:val="0070348C"/>
    <w:rsid w:val="00703648"/>
    <w:rsid w:val="00703A56"/>
    <w:rsid w:val="00703A7F"/>
    <w:rsid w:val="00703D05"/>
    <w:rsid w:val="00703EA1"/>
    <w:rsid w:val="00703EB1"/>
    <w:rsid w:val="007041A5"/>
    <w:rsid w:val="00704310"/>
    <w:rsid w:val="0070469F"/>
    <w:rsid w:val="0070492C"/>
    <w:rsid w:val="00704A77"/>
    <w:rsid w:val="00704B32"/>
    <w:rsid w:val="00704BD3"/>
    <w:rsid w:val="00704EA4"/>
    <w:rsid w:val="00704F68"/>
    <w:rsid w:val="00705363"/>
    <w:rsid w:val="00705382"/>
    <w:rsid w:val="00705516"/>
    <w:rsid w:val="0070561F"/>
    <w:rsid w:val="007059C4"/>
    <w:rsid w:val="00705BFE"/>
    <w:rsid w:val="00705C05"/>
    <w:rsid w:val="00705D5F"/>
    <w:rsid w:val="00705D7E"/>
    <w:rsid w:val="00705D80"/>
    <w:rsid w:val="00705E60"/>
    <w:rsid w:val="00706121"/>
    <w:rsid w:val="007064A5"/>
    <w:rsid w:val="007068AD"/>
    <w:rsid w:val="0070703D"/>
    <w:rsid w:val="007071C8"/>
    <w:rsid w:val="0070731D"/>
    <w:rsid w:val="007073EE"/>
    <w:rsid w:val="00707663"/>
    <w:rsid w:val="00707A05"/>
    <w:rsid w:val="00707BD9"/>
    <w:rsid w:val="00707CF6"/>
    <w:rsid w:val="00710278"/>
    <w:rsid w:val="0071071D"/>
    <w:rsid w:val="00710A08"/>
    <w:rsid w:val="00710B52"/>
    <w:rsid w:val="00710DB5"/>
    <w:rsid w:val="00710DC5"/>
    <w:rsid w:val="00710F95"/>
    <w:rsid w:val="0071130B"/>
    <w:rsid w:val="0071149F"/>
    <w:rsid w:val="007114AD"/>
    <w:rsid w:val="0071150A"/>
    <w:rsid w:val="0071163B"/>
    <w:rsid w:val="007116E2"/>
    <w:rsid w:val="007119E2"/>
    <w:rsid w:val="00711BB4"/>
    <w:rsid w:val="007124B7"/>
    <w:rsid w:val="0071253E"/>
    <w:rsid w:val="0071273D"/>
    <w:rsid w:val="0071279D"/>
    <w:rsid w:val="00712A5E"/>
    <w:rsid w:val="00712C44"/>
    <w:rsid w:val="00712CEE"/>
    <w:rsid w:val="00712E48"/>
    <w:rsid w:val="00713476"/>
    <w:rsid w:val="007135B1"/>
    <w:rsid w:val="00713671"/>
    <w:rsid w:val="00713690"/>
    <w:rsid w:val="007137DC"/>
    <w:rsid w:val="007139F5"/>
    <w:rsid w:val="00713A2A"/>
    <w:rsid w:val="00713BD0"/>
    <w:rsid w:val="00714237"/>
    <w:rsid w:val="007142F8"/>
    <w:rsid w:val="007147DC"/>
    <w:rsid w:val="00714F4F"/>
    <w:rsid w:val="00714FA2"/>
    <w:rsid w:val="0071500C"/>
    <w:rsid w:val="007150BC"/>
    <w:rsid w:val="0071511C"/>
    <w:rsid w:val="00715398"/>
    <w:rsid w:val="0071564F"/>
    <w:rsid w:val="007156F3"/>
    <w:rsid w:val="00715852"/>
    <w:rsid w:val="00715C93"/>
    <w:rsid w:val="00715F6D"/>
    <w:rsid w:val="0071610B"/>
    <w:rsid w:val="0071622A"/>
    <w:rsid w:val="00716367"/>
    <w:rsid w:val="00716614"/>
    <w:rsid w:val="007166FA"/>
    <w:rsid w:val="00716730"/>
    <w:rsid w:val="00716DE0"/>
    <w:rsid w:val="00716F10"/>
    <w:rsid w:val="00716F9B"/>
    <w:rsid w:val="00717377"/>
    <w:rsid w:val="00717516"/>
    <w:rsid w:val="0071751F"/>
    <w:rsid w:val="00717575"/>
    <w:rsid w:val="0071770E"/>
    <w:rsid w:val="00717778"/>
    <w:rsid w:val="00717B43"/>
    <w:rsid w:val="00717D02"/>
    <w:rsid w:val="00717E51"/>
    <w:rsid w:val="00717F5D"/>
    <w:rsid w:val="007200EF"/>
    <w:rsid w:val="00720170"/>
    <w:rsid w:val="00720408"/>
    <w:rsid w:val="00720646"/>
    <w:rsid w:val="007206EB"/>
    <w:rsid w:val="00720732"/>
    <w:rsid w:val="00720736"/>
    <w:rsid w:val="00720A68"/>
    <w:rsid w:val="00720B03"/>
    <w:rsid w:val="00720D92"/>
    <w:rsid w:val="00720FD0"/>
    <w:rsid w:val="0072170F"/>
    <w:rsid w:val="0072192D"/>
    <w:rsid w:val="00721931"/>
    <w:rsid w:val="00721F06"/>
    <w:rsid w:val="00721F95"/>
    <w:rsid w:val="00722256"/>
    <w:rsid w:val="007222C4"/>
    <w:rsid w:val="0072266E"/>
    <w:rsid w:val="00722B2D"/>
    <w:rsid w:val="00722BDA"/>
    <w:rsid w:val="00722D38"/>
    <w:rsid w:val="00722FDB"/>
    <w:rsid w:val="007230BF"/>
    <w:rsid w:val="007230E7"/>
    <w:rsid w:val="00723243"/>
    <w:rsid w:val="00723332"/>
    <w:rsid w:val="0072338C"/>
    <w:rsid w:val="007234A7"/>
    <w:rsid w:val="00723894"/>
    <w:rsid w:val="00723D10"/>
    <w:rsid w:val="00723EE5"/>
    <w:rsid w:val="00723FE2"/>
    <w:rsid w:val="0072405D"/>
    <w:rsid w:val="007244BD"/>
    <w:rsid w:val="007248AF"/>
    <w:rsid w:val="007249BF"/>
    <w:rsid w:val="00724A3F"/>
    <w:rsid w:val="00724B36"/>
    <w:rsid w:val="00724B9D"/>
    <w:rsid w:val="00724E6C"/>
    <w:rsid w:val="00725157"/>
    <w:rsid w:val="007256A8"/>
    <w:rsid w:val="00725A02"/>
    <w:rsid w:val="00725DA8"/>
    <w:rsid w:val="007260D1"/>
    <w:rsid w:val="007262C6"/>
    <w:rsid w:val="007262FC"/>
    <w:rsid w:val="0072634F"/>
    <w:rsid w:val="0072648E"/>
    <w:rsid w:val="0072649D"/>
    <w:rsid w:val="0072650D"/>
    <w:rsid w:val="00726977"/>
    <w:rsid w:val="00726F6A"/>
    <w:rsid w:val="00727077"/>
    <w:rsid w:val="00727433"/>
    <w:rsid w:val="00727668"/>
    <w:rsid w:val="0072771B"/>
    <w:rsid w:val="007278BC"/>
    <w:rsid w:val="00727A48"/>
    <w:rsid w:val="00727B42"/>
    <w:rsid w:val="00727D4D"/>
    <w:rsid w:val="00727E90"/>
    <w:rsid w:val="00727F90"/>
    <w:rsid w:val="007302F4"/>
    <w:rsid w:val="0073033C"/>
    <w:rsid w:val="00730ABF"/>
    <w:rsid w:val="00730B60"/>
    <w:rsid w:val="00730B6C"/>
    <w:rsid w:val="00730DCB"/>
    <w:rsid w:val="00730EF5"/>
    <w:rsid w:val="00730F6A"/>
    <w:rsid w:val="00730F96"/>
    <w:rsid w:val="00731683"/>
    <w:rsid w:val="00731781"/>
    <w:rsid w:val="007317ED"/>
    <w:rsid w:val="00731D46"/>
    <w:rsid w:val="00731DC4"/>
    <w:rsid w:val="00732022"/>
    <w:rsid w:val="00732167"/>
    <w:rsid w:val="00732405"/>
    <w:rsid w:val="00732406"/>
    <w:rsid w:val="007324E0"/>
    <w:rsid w:val="00732683"/>
    <w:rsid w:val="007327D7"/>
    <w:rsid w:val="00732BEF"/>
    <w:rsid w:val="00732DD7"/>
    <w:rsid w:val="00732EC2"/>
    <w:rsid w:val="00732EF4"/>
    <w:rsid w:val="007332E4"/>
    <w:rsid w:val="00733314"/>
    <w:rsid w:val="00733340"/>
    <w:rsid w:val="00733877"/>
    <w:rsid w:val="00733A78"/>
    <w:rsid w:val="00733C3F"/>
    <w:rsid w:val="00733C5D"/>
    <w:rsid w:val="00733D37"/>
    <w:rsid w:val="00733DEB"/>
    <w:rsid w:val="00733F9C"/>
    <w:rsid w:val="0073423D"/>
    <w:rsid w:val="00734244"/>
    <w:rsid w:val="007343D3"/>
    <w:rsid w:val="0073445F"/>
    <w:rsid w:val="00734636"/>
    <w:rsid w:val="0073483A"/>
    <w:rsid w:val="00734848"/>
    <w:rsid w:val="007348A2"/>
    <w:rsid w:val="007348F7"/>
    <w:rsid w:val="00734A01"/>
    <w:rsid w:val="00734D7F"/>
    <w:rsid w:val="0073526A"/>
    <w:rsid w:val="007352F0"/>
    <w:rsid w:val="00735330"/>
    <w:rsid w:val="007357E1"/>
    <w:rsid w:val="007358F1"/>
    <w:rsid w:val="00735B78"/>
    <w:rsid w:val="00735BF1"/>
    <w:rsid w:val="00735D04"/>
    <w:rsid w:val="00736579"/>
    <w:rsid w:val="007366D7"/>
    <w:rsid w:val="00736999"/>
    <w:rsid w:val="007369E7"/>
    <w:rsid w:val="00736B8F"/>
    <w:rsid w:val="00736EE0"/>
    <w:rsid w:val="00736F09"/>
    <w:rsid w:val="00737148"/>
    <w:rsid w:val="007375A5"/>
    <w:rsid w:val="0073764F"/>
    <w:rsid w:val="00737766"/>
    <w:rsid w:val="007379FB"/>
    <w:rsid w:val="00737D5B"/>
    <w:rsid w:val="00737D6A"/>
    <w:rsid w:val="00737DBE"/>
    <w:rsid w:val="0074038C"/>
    <w:rsid w:val="0074096D"/>
    <w:rsid w:val="00740D20"/>
    <w:rsid w:val="00740E87"/>
    <w:rsid w:val="0074100D"/>
    <w:rsid w:val="0074105E"/>
    <w:rsid w:val="007410B8"/>
    <w:rsid w:val="007414CA"/>
    <w:rsid w:val="007416C3"/>
    <w:rsid w:val="00741B51"/>
    <w:rsid w:val="00741C89"/>
    <w:rsid w:val="00741CCE"/>
    <w:rsid w:val="00741EA3"/>
    <w:rsid w:val="0074214E"/>
    <w:rsid w:val="00742182"/>
    <w:rsid w:val="0074255B"/>
    <w:rsid w:val="007425A3"/>
    <w:rsid w:val="00742617"/>
    <w:rsid w:val="00742646"/>
    <w:rsid w:val="00742672"/>
    <w:rsid w:val="00742699"/>
    <w:rsid w:val="00742E20"/>
    <w:rsid w:val="00742ECB"/>
    <w:rsid w:val="0074306C"/>
    <w:rsid w:val="00743202"/>
    <w:rsid w:val="0074356B"/>
    <w:rsid w:val="0074364C"/>
    <w:rsid w:val="00743C53"/>
    <w:rsid w:val="00743C8C"/>
    <w:rsid w:val="00743DAE"/>
    <w:rsid w:val="00744321"/>
    <w:rsid w:val="007445C9"/>
    <w:rsid w:val="00744643"/>
    <w:rsid w:val="00744F7F"/>
    <w:rsid w:val="0074545F"/>
    <w:rsid w:val="00745480"/>
    <w:rsid w:val="00745B90"/>
    <w:rsid w:val="00745D82"/>
    <w:rsid w:val="0074604C"/>
    <w:rsid w:val="00746069"/>
    <w:rsid w:val="007460E1"/>
    <w:rsid w:val="0074613E"/>
    <w:rsid w:val="007461D8"/>
    <w:rsid w:val="007467A4"/>
    <w:rsid w:val="00746A61"/>
    <w:rsid w:val="00747005"/>
    <w:rsid w:val="007473E3"/>
    <w:rsid w:val="007477F8"/>
    <w:rsid w:val="00747A0D"/>
    <w:rsid w:val="00747AA3"/>
    <w:rsid w:val="00747B93"/>
    <w:rsid w:val="00747C75"/>
    <w:rsid w:val="00747E40"/>
    <w:rsid w:val="00747FE3"/>
    <w:rsid w:val="00750050"/>
    <w:rsid w:val="007503F3"/>
    <w:rsid w:val="007508D2"/>
    <w:rsid w:val="00750BF0"/>
    <w:rsid w:val="00750BF6"/>
    <w:rsid w:val="00750E7E"/>
    <w:rsid w:val="00751011"/>
    <w:rsid w:val="0075106B"/>
    <w:rsid w:val="007510A9"/>
    <w:rsid w:val="0075119C"/>
    <w:rsid w:val="007512FC"/>
    <w:rsid w:val="007515E6"/>
    <w:rsid w:val="007517E0"/>
    <w:rsid w:val="00751815"/>
    <w:rsid w:val="00751A48"/>
    <w:rsid w:val="00751B53"/>
    <w:rsid w:val="00751FE8"/>
    <w:rsid w:val="0075233D"/>
    <w:rsid w:val="007523BC"/>
    <w:rsid w:val="007523CA"/>
    <w:rsid w:val="007527A5"/>
    <w:rsid w:val="00752852"/>
    <w:rsid w:val="00752A14"/>
    <w:rsid w:val="00752B6B"/>
    <w:rsid w:val="00752DD7"/>
    <w:rsid w:val="00752DF0"/>
    <w:rsid w:val="00752E22"/>
    <w:rsid w:val="00752F64"/>
    <w:rsid w:val="00752FB6"/>
    <w:rsid w:val="00753333"/>
    <w:rsid w:val="00753693"/>
    <w:rsid w:val="007536EA"/>
    <w:rsid w:val="00753895"/>
    <w:rsid w:val="007538DE"/>
    <w:rsid w:val="007539BC"/>
    <w:rsid w:val="00754B63"/>
    <w:rsid w:val="00754E68"/>
    <w:rsid w:val="00755042"/>
    <w:rsid w:val="00755462"/>
    <w:rsid w:val="007557CC"/>
    <w:rsid w:val="00755AB7"/>
    <w:rsid w:val="00755F63"/>
    <w:rsid w:val="00755F9E"/>
    <w:rsid w:val="0075688C"/>
    <w:rsid w:val="00756B12"/>
    <w:rsid w:val="00756B2C"/>
    <w:rsid w:val="00756C7C"/>
    <w:rsid w:val="007570E9"/>
    <w:rsid w:val="0075741D"/>
    <w:rsid w:val="007575C7"/>
    <w:rsid w:val="0075770C"/>
    <w:rsid w:val="00757B2B"/>
    <w:rsid w:val="007600BC"/>
    <w:rsid w:val="0076018F"/>
    <w:rsid w:val="0076034D"/>
    <w:rsid w:val="00760384"/>
    <w:rsid w:val="00760390"/>
    <w:rsid w:val="007608D1"/>
    <w:rsid w:val="00760D13"/>
    <w:rsid w:val="00761173"/>
    <w:rsid w:val="007611E6"/>
    <w:rsid w:val="0076133E"/>
    <w:rsid w:val="00761347"/>
    <w:rsid w:val="00761537"/>
    <w:rsid w:val="007619B0"/>
    <w:rsid w:val="00761DFE"/>
    <w:rsid w:val="00762244"/>
    <w:rsid w:val="007627D6"/>
    <w:rsid w:val="00762E09"/>
    <w:rsid w:val="00762F9A"/>
    <w:rsid w:val="007632F7"/>
    <w:rsid w:val="007634EA"/>
    <w:rsid w:val="007635C2"/>
    <w:rsid w:val="00763AB5"/>
    <w:rsid w:val="00763E40"/>
    <w:rsid w:val="00764144"/>
    <w:rsid w:val="00764461"/>
    <w:rsid w:val="00764A12"/>
    <w:rsid w:val="00764B3D"/>
    <w:rsid w:val="00764D87"/>
    <w:rsid w:val="00764EA1"/>
    <w:rsid w:val="00765052"/>
    <w:rsid w:val="007653F1"/>
    <w:rsid w:val="007659D5"/>
    <w:rsid w:val="00765B21"/>
    <w:rsid w:val="00765BA1"/>
    <w:rsid w:val="00765D32"/>
    <w:rsid w:val="0076612F"/>
    <w:rsid w:val="00766335"/>
    <w:rsid w:val="0076633A"/>
    <w:rsid w:val="0076639C"/>
    <w:rsid w:val="007663B1"/>
    <w:rsid w:val="00766424"/>
    <w:rsid w:val="00766497"/>
    <w:rsid w:val="0076651A"/>
    <w:rsid w:val="00766A43"/>
    <w:rsid w:val="00766E03"/>
    <w:rsid w:val="00766FFF"/>
    <w:rsid w:val="00767066"/>
    <w:rsid w:val="007672F7"/>
    <w:rsid w:val="007675E2"/>
    <w:rsid w:val="00767857"/>
    <w:rsid w:val="0076792A"/>
    <w:rsid w:val="00767AEF"/>
    <w:rsid w:val="00767D68"/>
    <w:rsid w:val="00767ECA"/>
    <w:rsid w:val="00770710"/>
    <w:rsid w:val="007708D6"/>
    <w:rsid w:val="00770D58"/>
    <w:rsid w:val="00770E2F"/>
    <w:rsid w:val="00770EDD"/>
    <w:rsid w:val="00770FAC"/>
    <w:rsid w:val="0077142A"/>
    <w:rsid w:val="007714C4"/>
    <w:rsid w:val="007715C7"/>
    <w:rsid w:val="0077170F"/>
    <w:rsid w:val="00771737"/>
    <w:rsid w:val="0077173A"/>
    <w:rsid w:val="007719D5"/>
    <w:rsid w:val="00771AB4"/>
    <w:rsid w:val="00771D51"/>
    <w:rsid w:val="00771E7E"/>
    <w:rsid w:val="0077211A"/>
    <w:rsid w:val="0077242F"/>
    <w:rsid w:val="007725B7"/>
    <w:rsid w:val="00772855"/>
    <w:rsid w:val="007728B9"/>
    <w:rsid w:val="0077293D"/>
    <w:rsid w:val="0077295A"/>
    <w:rsid w:val="00773480"/>
    <w:rsid w:val="007736CC"/>
    <w:rsid w:val="00773977"/>
    <w:rsid w:val="00773FC9"/>
    <w:rsid w:val="007744B8"/>
    <w:rsid w:val="00774505"/>
    <w:rsid w:val="00774932"/>
    <w:rsid w:val="00774B93"/>
    <w:rsid w:val="00774C8D"/>
    <w:rsid w:val="007751EA"/>
    <w:rsid w:val="007753F6"/>
    <w:rsid w:val="007754E9"/>
    <w:rsid w:val="00775659"/>
    <w:rsid w:val="00775791"/>
    <w:rsid w:val="00775809"/>
    <w:rsid w:val="00775A66"/>
    <w:rsid w:val="00775B3D"/>
    <w:rsid w:val="00775BE7"/>
    <w:rsid w:val="00775D5E"/>
    <w:rsid w:val="00775E7F"/>
    <w:rsid w:val="00776319"/>
    <w:rsid w:val="007763A5"/>
    <w:rsid w:val="00776868"/>
    <w:rsid w:val="007768A4"/>
    <w:rsid w:val="00776B6A"/>
    <w:rsid w:val="00776C8E"/>
    <w:rsid w:val="00776F4E"/>
    <w:rsid w:val="00777362"/>
    <w:rsid w:val="0077738F"/>
    <w:rsid w:val="007773B1"/>
    <w:rsid w:val="007777C5"/>
    <w:rsid w:val="0077783D"/>
    <w:rsid w:val="007778CB"/>
    <w:rsid w:val="00777B1C"/>
    <w:rsid w:val="00777FDA"/>
    <w:rsid w:val="0078011A"/>
    <w:rsid w:val="0078041A"/>
    <w:rsid w:val="00780783"/>
    <w:rsid w:val="00780B15"/>
    <w:rsid w:val="00780B43"/>
    <w:rsid w:val="00780BB0"/>
    <w:rsid w:val="00780C3E"/>
    <w:rsid w:val="00780D79"/>
    <w:rsid w:val="00781095"/>
    <w:rsid w:val="007811E1"/>
    <w:rsid w:val="0078149E"/>
    <w:rsid w:val="00781861"/>
    <w:rsid w:val="00781890"/>
    <w:rsid w:val="007819EE"/>
    <w:rsid w:val="00781B02"/>
    <w:rsid w:val="00781E39"/>
    <w:rsid w:val="00781EC7"/>
    <w:rsid w:val="00781F79"/>
    <w:rsid w:val="0078218A"/>
    <w:rsid w:val="0078223B"/>
    <w:rsid w:val="00782689"/>
    <w:rsid w:val="007829E2"/>
    <w:rsid w:val="00782AFE"/>
    <w:rsid w:val="00782D9D"/>
    <w:rsid w:val="00782DC8"/>
    <w:rsid w:val="00782E9D"/>
    <w:rsid w:val="00782FC3"/>
    <w:rsid w:val="0078304E"/>
    <w:rsid w:val="0078306C"/>
    <w:rsid w:val="0078331E"/>
    <w:rsid w:val="00783473"/>
    <w:rsid w:val="00783480"/>
    <w:rsid w:val="0078381B"/>
    <w:rsid w:val="00783874"/>
    <w:rsid w:val="0078388D"/>
    <w:rsid w:val="007838F7"/>
    <w:rsid w:val="00783976"/>
    <w:rsid w:val="00783D36"/>
    <w:rsid w:val="00784039"/>
    <w:rsid w:val="007841E9"/>
    <w:rsid w:val="00784277"/>
    <w:rsid w:val="007849F0"/>
    <w:rsid w:val="00784A1D"/>
    <w:rsid w:val="00784A7E"/>
    <w:rsid w:val="00784C87"/>
    <w:rsid w:val="00784D08"/>
    <w:rsid w:val="00784D84"/>
    <w:rsid w:val="0078514F"/>
    <w:rsid w:val="00785594"/>
    <w:rsid w:val="007855C6"/>
    <w:rsid w:val="0078583D"/>
    <w:rsid w:val="007859D3"/>
    <w:rsid w:val="00785A10"/>
    <w:rsid w:val="00785B60"/>
    <w:rsid w:val="00785BDE"/>
    <w:rsid w:val="00785D12"/>
    <w:rsid w:val="00786310"/>
    <w:rsid w:val="00786735"/>
    <w:rsid w:val="007869AB"/>
    <w:rsid w:val="0078732C"/>
    <w:rsid w:val="00787525"/>
    <w:rsid w:val="00787588"/>
    <w:rsid w:val="007877D7"/>
    <w:rsid w:val="0078782A"/>
    <w:rsid w:val="007878A6"/>
    <w:rsid w:val="00787C9A"/>
    <w:rsid w:val="00787F16"/>
    <w:rsid w:val="00787FCD"/>
    <w:rsid w:val="00790195"/>
    <w:rsid w:val="007902D5"/>
    <w:rsid w:val="00790746"/>
    <w:rsid w:val="0079097A"/>
    <w:rsid w:val="00790B7D"/>
    <w:rsid w:val="00790C71"/>
    <w:rsid w:val="00790CDC"/>
    <w:rsid w:val="00790FA8"/>
    <w:rsid w:val="007910E6"/>
    <w:rsid w:val="00791773"/>
    <w:rsid w:val="00791B92"/>
    <w:rsid w:val="00791CBC"/>
    <w:rsid w:val="00791CEB"/>
    <w:rsid w:val="00792054"/>
    <w:rsid w:val="007924A5"/>
    <w:rsid w:val="007927A5"/>
    <w:rsid w:val="007927C2"/>
    <w:rsid w:val="00792827"/>
    <w:rsid w:val="00792A09"/>
    <w:rsid w:val="00792AD2"/>
    <w:rsid w:val="00792B42"/>
    <w:rsid w:val="00792E9F"/>
    <w:rsid w:val="00792EF7"/>
    <w:rsid w:val="0079360A"/>
    <w:rsid w:val="00793612"/>
    <w:rsid w:val="00793B16"/>
    <w:rsid w:val="00793EC3"/>
    <w:rsid w:val="00793F72"/>
    <w:rsid w:val="007940BA"/>
    <w:rsid w:val="007941F0"/>
    <w:rsid w:val="00794250"/>
    <w:rsid w:val="00794494"/>
    <w:rsid w:val="007945F2"/>
    <w:rsid w:val="00794664"/>
    <w:rsid w:val="007946C9"/>
    <w:rsid w:val="0079494C"/>
    <w:rsid w:val="00794A2F"/>
    <w:rsid w:val="00794A40"/>
    <w:rsid w:val="00794B01"/>
    <w:rsid w:val="00794EB1"/>
    <w:rsid w:val="00794F83"/>
    <w:rsid w:val="00795321"/>
    <w:rsid w:val="00795620"/>
    <w:rsid w:val="00795670"/>
    <w:rsid w:val="00795829"/>
    <w:rsid w:val="00795B14"/>
    <w:rsid w:val="00795C05"/>
    <w:rsid w:val="00795D15"/>
    <w:rsid w:val="0079626E"/>
    <w:rsid w:val="00796A44"/>
    <w:rsid w:val="00796EE4"/>
    <w:rsid w:val="00796F8D"/>
    <w:rsid w:val="0079704F"/>
    <w:rsid w:val="007973CF"/>
    <w:rsid w:val="007973EA"/>
    <w:rsid w:val="0079748A"/>
    <w:rsid w:val="0079785E"/>
    <w:rsid w:val="007979A3"/>
    <w:rsid w:val="00797A2A"/>
    <w:rsid w:val="00797AA2"/>
    <w:rsid w:val="00797ABA"/>
    <w:rsid w:val="00797B2D"/>
    <w:rsid w:val="00797C8E"/>
    <w:rsid w:val="00797DED"/>
    <w:rsid w:val="007A0480"/>
    <w:rsid w:val="007A095B"/>
    <w:rsid w:val="007A0CCB"/>
    <w:rsid w:val="007A14A0"/>
    <w:rsid w:val="007A1548"/>
    <w:rsid w:val="007A19B8"/>
    <w:rsid w:val="007A1BC6"/>
    <w:rsid w:val="007A2104"/>
    <w:rsid w:val="007A210B"/>
    <w:rsid w:val="007A2405"/>
    <w:rsid w:val="007A240C"/>
    <w:rsid w:val="007A2497"/>
    <w:rsid w:val="007A2606"/>
    <w:rsid w:val="007A2CE8"/>
    <w:rsid w:val="007A332F"/>
    <w:rsid w:val="007A3361"/>
    <w:rsid w:val="007A33CF"/>
    <w:rsid w:val="007A42DC"/>
    <w:rsid w:val="007A4445"/>
    <w:rsid w:val="007A4455"/>
    <w:rsid w:val="007A44FA"/>
    <w:rsid w:val="007A47E0"/>
    <w:rsid w:val="007A486E"/>
    <w:rsid w:val="007A4892"/>
    <w:rsid w:val="007A4A96"/>
    <w:rsid w:val="007A4AFB"/>
    <w:rsid w:val="007A4BF0"/>
    <w:rsid w:val="007A4D99"/>
    <w:rsid w:val="007A528A"/>
    <w:rsid w:val="007A5691"/>
    <w:rsid w:val="007A5748"/>
    <w:rsid w:val="007A5BEE"/>
    <w:rsid w:val="007A5C81"/>
    <w:rsid w:val="007A5DE7"/>
    <w:rsid w:val="007A5F74"/>
    <w:rsid w:val="007A6026"/>
    <w:rsid w:val="007A6204"/>
    <w:rsid w:val="007A6236"/>
    <w:rsid w:val="007A6320"/>
    <w:rsid w:val="007A680C"/>
    <w:rsid w:val="007A6881"/>
    <w:rsid w:val="007A6A29"/>
    <w:rsid w:val="007A6EB2"/>
    <w:rsid w:val="007A74F9"/>
    <w:rsid w:val="007A7583"/>
    <w:rsid w:val="007A76AC"/>
    <w:rsid w:val="007A7AFF"/>
    <w:rsid w:val="007A7D1B"/>
    <w:rsid w:val="007A7E14"/>
    <w:rsid w:val="007A7E87"/>
    <w:rsid w:val="007A7FD6"/>
    <w:rsid w:val="007B02E9"/>
    <w:rsid w:val="007B0409"/>
    <w:rsid w:val="007B0718"/>
    <w:rsid w:val="007B0E25"/>
    <w:rsid w:val="007B0FC5"/>
    <w:rsid w:val="007B18D6"/>
    <w:rsid w:val="007B1B55"/>
    <w:rsid w:val="007B1CA4"/>
    <w:rsid w:val="007B1F52"/>
    <w:rsid w:val="007B238C"/>
    <w:rsid w:val="007B249E"/>
    <w:rsid w:val="007B24C2"/>
    <w:rsid w:val="007B2707"/>
    <w:rsid w:val="007B2834"/>
    <w:rsid w:val="007B2871"/>
    <w:rsid w:val="007B2932"/>
    <w:rsid w:val="007B32E7"/>
    <w:rsid w:val="007B33A4"/>
    <w:rsid w:val="007B36FE"/>
    <w:rsid w:val="007B37BE"/>
    <w:rsid w:val="007B385A"/>
    <w:rsid w:val="007B3889"/>
    <w:rsid w:val="007B3D6D"/>
    <w:rsid w:val="007B425A"/>
    <w:rsid w:val="007B4508"/>
    <w:rsid w:val="007B4706"/>
    <w:rsid w:val="007B4819"/>
    <w:rsid w:val="007B495A"/>
    <w:rsid w:val="007B4B7E"/>
    <w:rsid w:val="007B4CA4"/>
    <w:rsid w:val="007B4DDA"/>
    <w:rsid w:val="007B4E68"/>
    <w:rsid w:val="007B50B5"/>
    <w:rsid w:val="007B532A"/>
    <w:rsid w:val="007B5712"/>
    <w:rsid w:val="007B5B1B"/>
    <w:rsid w:val="007B5B46"/>
    <w:rsid w:val="007B5F62"/>
    <w:rsid w:val="007B60C6"/>
    <w:rsid w:val="007B66FC"/>
    <w:rsid w:val="007B6B5D"/>
    <w:rsid w:val="007B6F8A"/>
    <w:rsid w:val="007B7241"/>
    <w:rsid w:val="007B724B"/>
    <w:rsid w:val="007B7374"/>
    <w:rsid w:val="007B7750"/>
    <w:rsid w:val="007B7CD5"/>
    <w:rsid w:val="007C0034"/>
    <w:rsid w:val="007C0135"/>
    <w:rsid w:val="007C0535"/>
    <w:rsid w:val="007C0536"/>
    <w:rsid w:val="007C0760"/>
    <w:rsid w:val="007C09B8"/>
    <w:rsid w:val="007C0A2E"/>
    <w:rsid w:val="007C0BCE"/>
    <w:rsid w:val="007C0CF7"/>
    <w:rsid w:val="007C0D70"/>
    <w:rsid w:val="007C10AF"/>
    <w:rsid w:val="007C10C8"/>
    <w:rsid w:val="007C125F"/>
    <w:rsid w:val="007C132F"/>
    <w:rsid w:val="007C133F"/>
    <w:rsid w:val="007C1610"/>
    <w:rsid w:val="007C1727"/>
    <w:rsid w:val="007C1948"/>
    <w:rsid w:val="007C1E72"/>
    <w:rsid w:val="007C1FA1"/>
    <w:rsid w:val="007C25CB"/>
    <w:rsid w:val="007C262B"/>
    <w:rsid w:val="007C2BBA"/>
    <w:rsid w:val="007C2E14"/>
    <w:rsid w:val="007C2FBA"/>
    <w:rsid w:val="007C2FDD"/>
    <w:rsid w:val="007C308A"/>
    <w:rsid w:val="007C3197"/>
    <w:rsid w:val="007C3199"/>
    <w:rsid w:val="007C332C"/>
    <w:rsid w:val="007C3365"/>
    <w:rsid w:val="007C39B4"/>
    <w:rsid w:val="007C3D3F"/>
    <w:rsid w:val="007C3F0B"/>
    <w:rsid w:val="007C4420"/>
    <w:rsid w:val="007C46C3"/>
    <w:rsid w:val="007C47DE"/>
    <w:rsid w:val="007C47F1"/>
    <w:rsid w:val="007C4A6B"/>
    <w:rsid w:val="007C4B09"/>
    <w:rsid w:val="007C4D20"/>
    <w:rsid w:val="007C4DBB"/>
    <w:rsid w:val="007C5211"/>
    <w:rsid w:val="007C533E"/>
    <w:rsid w:val="007C5629"/>
    <w:rsid w:val="007C56B9"/>
    <w:rsid w:val="007C581C"/>
    <w:rsid w:val="007C5C42"/>
    <w:rsid w:val="007C5C8E"/>
    <w:rsid w:val="007C5CFD"/>
    <w:rsid w:val="007C5E36"/>
    <w:rsid w:val="007C67AE"/>
    <w:rsid w:val="007C67BE"/>
    <w:rsid w:val="007C6B68"/>
    <w:rsid w:val="007C6CE7"/>
    <w:rsid w:val="007C7090"/>
    <w:rsid w:val="007C7269"/>
    <w:rsid w:val="007C7A43"/>
    <w:rsid w:val="007C7F7A"/>
    <w:rsid w:val="007C7F82"/>
    <w:rsid w:val="007D04FC"/>
    <w:rsid w:val="007D074D"/>
    <w:rsid w:val="007D07DE"/>
    <w:rsid w:val="007D085B"/>
    <w:rsid w:val="007D0AAA"/>
    <w:rsid w:val="007D0AB2"/>
    <w:rsid w:val="007D0BBF"/>
    <w:rsid w:val="007D102C"/>
    <w:rsid w:val="007D1392"/>
    <w:rsid w:val="007D1442"/>
    <w:rsid w:val="007D2472"/>
    <w:rsid w:val="007D258B"/>
    <w:rsid w:val="007D2906"/>
    <w:rsid w:val="007D29E8"/>
    <w:rsid w:val="007D2AEB"/>
    <w:rsid w:val="007D2ECF"/>
    <w:rsid w:val="007D2F95"/>
    <w:rsid w:val="007D3163"/>
    <w:rsid w:val="007D33FA"/>
    <w:rsid w:val="007D3463"/>
    <w:rsid w:val="007D38AE"/>
    <w:rsid w:val="007D3C5B"/>
    <w:rsid w:val="007D3C9B"/>
    <w:rsid w:val="007D3CFD"/>
    <w:rsid w:val="007D42C9"/>
    <w:rsid w:val="007D4432"/>
    <w:rsid w:val="007D4468"/>
    <w:rsid w:val="007D4624"/>
    <w:rsid w:val="007D46C8"/>
    <w:rsid w:val="007D4B50"/>
    <w:rsid w:val="007D4C17"/>
    <w:rsid w:val="007D4C1D"/>
    <w:rsid w:val="007D4E22"/>
    <w:rsid w:val="007D4FCB"/>
    <w:rsid w:val="007D521D"/>
    <w:rsid w:val="007D549D"/>
    <w:rsid w:val="007D5868"/>
    <w:rsid w:val="007D5925"/>
    <w:rsid w:val="007D5DAE"/>
    <w:rsid w:val="007D5FC4"/>
    <w:rsid w:val="007D6323"/>
    <w:rsid w:val="007D6495"/>
    <w:rsid w:val="007D654B"/>
    <w:rsid w:val="007D6A16"/>
    <w:rsid w:val="007D6B71"/>
    <w:rsid w:val="007D6C2C"/>
    <w:rsid w:val="007D6E7F"/>
    <w:rsid w:val="007D6F1F"/>
    <w:rsid w:val="007D72DC"/>
    <w:rsid w:val="007D75A1"/>
    <w:rsid w:val="007D7901"/>
    <w:rsid w:val="007D7BE7"/>
    <w:rsid w:val="007D7D74"/>
    <w:rsid w:val="007E0081"/>
    <w:rsid w:val="007E0150"/>
    <w:rsid w:val="007E0588"/>
    <w:rsid w:val="007E0708"/>
    <w:rsid w:val="007E0884"/>
    <w:rsid w:val="007E0C63"/>
    <w:rsid w:val="007E1014"/>
    <w:rsid w:val="007E1024"/>
    <w:rsid w:val="007E1266"/>
    <w:rsid w:val="007E14B2"/>
    <w:rsid w:val="007E17DC"/>
    <w:rsid w:val="007E185A"/>
    <w:rsid w:val="007E1A2C"/>
    <w:rsid w:val="007E215F"/>
    <w:rsid w:val="007E2354"/>
    <w:rsid w:val="007E2424"/>
    <w:rsid w:val="007E25FF"/>
    <w:rsid w:val="007E2E2D"/>
    <w:rsid w:val="007E2EE5"/>
    <w:rsid w:val="007E30D7"/>
    <w:rsid w:val="007E34FB"/>
    <w:rsid w:val="007E37F1"/>
    <w:rsid w:val="007E397B"/>
    <w:rsid w:val="007E3F3D"/>
    <w:rsid w:val="007E41FF"/>
    <w:rsid w:val="007E42FD"/>
    <w:rsid w:val="007E4814"/>
    <w:rsid w:val="007E49A1"/>
    <w:rsid w:val="007E4B7A"/>
    <w:rsid w:val="007E4BBB"/>
    <w:rsid w:val="007E501D"/>
    <w:rsid w:val="007E5196"/>
    <w:rsid w:val="007E55A8"/>
    <w:rsid w:val="007E5688"/>
    <w:rsid w:val="007E572E"/>
    <w:rsid w:val="007E592B"/>
    <w:rsid w:val="007E5AEF"/>
    <w:rsid w:val="007E5D0C"/>
    <w:rsid w:val="007E6196"/>
    <w:rsid w:val="007E619D"/>
    <w:rsid w:val="007E641C"/>
    <w:rsid w:val="007E6639"/>
    <w:rsid w:val="007E6CAF"/>
    <w:rsid w:val="007E6CB9"/>
    <w:rsid w:val="007E6FD1"/>
    <w:rsid w:val="007E6FD9"/>
    <w:rsid w:val="007E7825"/>
    <w:rsid w:val="007E797E"/>
    <w:rsid w:val="007E798C"/>
    <w:rsid w:val="007E7C04"/>
    <w:rsid w:val="007E7CA3"/>
    <w:rsid w:val="007F010F"/>
    <w:rsid w:val="007F0317"/>
    <w:rsid w:val="007F039C"/>
    <w:rsid w:val="007F04D0"/>
    <w:rsid w:val="007F0702"/>
    <w:rsid w:val="007F08AF"/>
    <w:rsid w:val="007F0C6B"/>
    <w:rsid w:val="007F0EB2"/>
    <w:rsid w:val="007F12C2"/>
    <w:rsid w:val="007F1391"/>
    <w:rsid w:val="007F14D8"/>
    <w:rsid w:val="007F1672"/>
    <w:rsid w:val="007F19CD"/>
    <w:rsid w:val="007F1A24"/>
    <w:rsid w:val="007F1A89"/>
    <w:rsid w:val="007F1CDE"/>
    <w:rsid w:val="007F1DD6"/>
    <w:rsid w:val="007F202B"/>
    <w:rsid w:val="007F22B9"/>
    <w:rsid w:val="007F24B5"/>
    <w:rsid w:val="007F27C6"/>
    <w:rsid w:val="007F32E3"/>
    <w:rsid w:val="007F337C"/>
    <w:rsid w:val="007F33CD"/>
    <w:rsid w:val="007F3443"/>
    <w:rsid w:val="007F344E"/>
    <w:rsid w:val="007F35B2"/>
    <w:rsid w:val="007F3959"/>
    <w:rsid w:val="007F3D2D"/>
    <w:rsid w:val="007F3E36"/>
    <w:rsid w:val="007F3F98"/>
    <w:rsid w:val="007F43B1"/>
    <w:rsid w:val="007F4403"/>
    <w:rsid w:val="007F44CD"/>
    <w:rsid w:val="007F4596"/>
    <w:rsid w:val="007F45BC"/>
    <w:rsid w:val="007F467E"/>
    <w:rsid w:val="007F4C3C"/>
    <w:rsid w:val="007F4E32"/>
    <w:rsid w:val="007F5076"/>
    <w:rsid w:val="007F50A7"/>
    <w:rsid w:val="007F5A2F"/>
    <w:rsid w:val="007F5AC4"/>
    <w:rsid w:val="007F5CD4"/>
    <w:rsid w:val="007F5E84"/>
    <w:rsid w:val="007F5EC5"/>
    <w:rsid w:val="007F5FF8"/>
    <w:rsid w:val="007F614C"/>
    <w:rsid w:val="007F64CC"/>
    <w:rsid w:val="007F68E4"/>
    <w:rsid w:val="007F68F1"/>
    <w:rsid w:val="007F699D"/>
    <w:rsid w:val="007F69DB"/>
    <w:rsid w:val="007F69F3"/>
    <w:rsid w:val="007F6A30"/>
    <w:rsid w:val="007F6DEF"/>
    <w:rsid w:val="007F7156"/>
    <w:rsid w:val="007F737B"/>
    <w:rsid w:val="007F77C7"/>
    <w:rsid w:val="007F7853"/>
    <w:rsid w:val="007F7BC9"/>
    <w:rsid w:val="007F7DC6"/>
    <w:rsid w:val="007F7DDB"/>
    <w:rsid w:val="007F7FA9"/>
    <w:rsid w:val="008005EA"/>
    <w:rsid w:val="00800609"/>
    <w:rsid w:val="00800671"/>
    <w:rsid w:val="008006FB"/>
    <w:rsid w:val="0080133A"/>
    <w:rsid w:val="00801715"/>
    <w:rsid w:val="008019F0"/>
    <w:rsid w:val="00801EA4"/>
    <w:rsid w:val="00801F49"/>
    <w:rsid w:val="008023AA"/>
    <w:rsid w:val="00802DCA"/>
    <w:rsid w:val="00802E00"/>
    <w:rsid w:val="00802E23"/>
    <w:rsid w:val="00802E7A"/>
    <w:rsid w:val="0080329B"/>
    <w:rsid w:val="0080330D"/>
    <w:rsid w:val="0080354A"/>
    <w:rsid w:val="00803EA3"/>
    <w:rsid w:val="00803F5D"/>
    <w:rsid w:val="0080429C"/>
    <w:rsid w:val="008044F4"/>
    <w:rsid w:val="00804794"/>
    <w:rsid w:val="00804810"/>
    <w:rsid w:val="00804907"/>
    <w:rsid w:val="00804B98"/>
    <w:rsid w:val="00804D1D"/>
    <w:rsid w:val="00804D24"/>
    <w:rsid w:val="00804D57"/>
    <w:rsid w:val="00804D9C"/>
    <w:rsid w:val="00805678"/>
    <w:rsid w:val="00805BB7"/>
    <w:rsid w:val="00805BE9"/>
    <w:rsid w:val="00805D81"/>
    <w:rsid w:val="00805DA5"/>
    <w:rsid w:val="00806458"/>
    <w:rsid w:val="00806950"/>
    <w:rsid w:val="00806A9F"/>
    <w:rsid w:val="00806F15"/>
    <w:rsid w:val="0080724D"/>
    <w:rsid w:val="008072C2"/>
    <w:rsid w:val="008073CE"/>
    <w:rsid w:val="00807537"/>
    <w:rsid w:val="0080755E"/>
    <w:rsid w:val="0080777A"/>
    <w:rsid w:val="0080787C"/>
    <w:rsid w:val="00807ACF"/>
    <w:rsid w:val="00807EA1"/>
    <w:rsid w:val="008107D1"/>
    <w:rsid w:val="00810D7A"/>
    <w:rsid w:val="00810F88"/>
    <w:rsid w:val="0081101F"/>
    <w:rsid w:val="008111DA"/>
    <w:rsid w:val="00811265"/>
    <w:rsid w:val="0081150C"/>
    <w:rsid w:val="0081151A"/>
    <w:rsid w:val="0081176E"/>
    <w:rsid w:val="008117F0"/>
    <w:rsid w:val="00811AEC"/>
    <w:rsid w:val="00811B9A"/>
    <w:rsid w:val="00811CBA"/>
    <w:rsid w:val="00811CCB"/>
    <w:rsid w:val="00811EB8"/>
    <w:rsid w:val="00812374"/>
    <w:rsid w:val="00812853"/>
    <w:rsid w:val="00813215"/>
    <w:rsid w:val="00813556"/>
    <w:rsid w:val="0081362D"/>
    <w:rsid w:val="00813B03"/>
    <w:rsid w:val="00813BFB"/>
    <w:rsid w:val="00813D95"/>
    <w:rsid w:val="008142A6"/>
    <w:rsid w:val="00814308"/>
    <w:rsid w:val="008143A6"/>
    <w:rsid w:val="008143BA"/>
    <w:rsid w:val="00814877"/>
    <w:rsid w:val="00814A90"/>
    <w:rsid w:val="00814DB8"/>
    <w:rsid w:val="00814EE4"/>
    <w:rsid w:val="00815183"/>
    <w:rsid w:val="00815242"/>
    <w:rsid w:val="0081576E"/>
    <w:rsid w:val="00815951"/>
    <w:rsid w:val="00815971"/>
    <w:rsid w:val="00816046"/>
    <w:rsid w:val="00816175"/>
    <w:rsid w:val="0081628D"/>
    <w:rsid w:val="008166C0"/>
    <w:rsid w:val="00816A15"/>
    <w:rsid w:val="00816A28"/>
    <w:rsid w:val="00816A46"/>
    <w:rsid w:val="00816B3E"/>
    <w:rsid w:val="0081720B"/>
    <w:rsid w:val="00817531"/>
    <w:rsid w:val="0081777C"/>
    <w:rsid w:val="008179B5"/>
    <w:rsid w:val="00817CEC"/>
    <w:rsid w:val="00817CFA"/>
    <w:rsid w:val="00817D7D"/>
    <w:rsid w:val="00817DC5"/>
    <w:rsid w:val="00817F3C"/>
    <w:rsid w:val="00817F5C"/>
    <w:rsid w:val="00817FAF"/>
    <w:rsid w:val="00817FE6"/>
    <w:rsid w:val="0082024D"/>
    <w:rsid w:val="008203AF"/>
    <w:rsid w:val="00820672"/>
    <w:rsid w:val="00820811"/>
    <w:rsid w:val="00820A14"/>
    <w:rsid w:val="00820CCF"/>
    <w:rsid w:val="00821009"/>
    <w:rsid w:val="008213EE"/>
    <w:rsid w:val="00821531"/>
    <w:rsid w:val="00821757"/>
    <w:rsid w:val="008219EB"/>
    <w:rsid w:val="00821A41"/>
    <w:rsid w:val="00821CCD"/>
    <w:rsid w:val="0082220C"/>
    <w:rsid w:val="0082225E"/>
    <w:rsid w:val="00822537"/>
    <w:rsid w:val="00822579"/>
    <w:rsid w:val="00822A8A"/>
    <w:rsid w:val="00822AFB"/>
    <w:rsid w:val="008230C2"/>
    <w:rsid w:val="00823745"/>
    <w:rsid w:val="00823D14"/>
    <w:rsid w:val="00823D45"/>
    <w:rsid w:val="00824477"/>
    <w:rsid w:val="00824838"/>
    <w:rsid w:val="0082485D"/>
    <w:rsid w:val="00824946"/>
    <w:rsid w:val="008249AF"/>
    <w:rsid w:val="008249B8"/>
    <w:rsid w:val="00824A68"/>
    <w:rsid w:val="00824D8F"/>
    <w:rsid w:val="00824DA0"/>
    <w:rsid w:val="00825126"/>
    <w:rsid w:val="00825480"/>
    <w:rsid w:val="00825571"/>
    <w:rsid w:val="00825A6D"/>
    <w:rsid w:val="00825B94"/>
    <w:rsid w:val="00825CBE"/>
    <w:rsid w:val="00825DD1"/>
    <w:rsid w:val="00825EAD"/>
    <w:rsid w:val="0082650A"/>
    <w:rsid w:val="00826645"/>
    <w:rsid w:val="00826F5A"/>
    <w:rsid w:val="00827202"/>
    <w:rsid w:val="008275E3"/>
    <w:rsid w:val="00827602"/>
    <w:rsid w:val="008276C7"/>
    <w:rsid w:val="00827AD4"/>
    <w:rsid w:val="00827B16"/>
    <w:rsid w:val="0083002F"/>
    <w:rsid w:val="0083054B"/>
    <w:rsid w:val="008306E5"/>
    <w:rsid w:val="008307D4"/>
    <w:rsid w:val="008309D9"/>
    <w:rsid w:val="008309DE"/>
    <w:rsid w:val="00830A05"/>
    <w:rsid w:val="00830B69"/>
    <w:rsid w:val="00830C77"/>
    <w:rsid w:val="00831076"/>
    <w:rsid w:val="008310D5"/>
    <w:rsid w:val="00831311"/>
    <w:rsid w:val="00831680"/>
    <w:rsid w:val="0083178B"/>
    <w:rsid w:val="008319F6"/>
    <w:rsid w:val="00831BAF"/>
    <w:rsid w:val="00831D7E"/>
    <w:rsid w:val="00831F31"/>
    <w:rsid w:val="00832682"/>
    <w:rsid w:val="00832779"/>
    <w:rsid w:val="00832C0B"/>
    <w:rsid w:val="00832F2D"/>
    <w:rsid w:val="008337A4"/>
    <w:rsid w:val="0083394B"/>
    <w:rsid w:val="00833B63"/>
    <w:rsid w:val="00833E8C"/>
    <w:rsid w:val="00833F3F"/>
    <w:rsid w:val="00834529"/>
    <w:rsid w:val="00834628"/>
    <w:rsid w:val="00834642"/>
    <w:rsid w:val="008347E5"/>
    <w:rsid w:val="00834907"/>
    <w:rsid w:val="008349D8"/>
    <w:rsid w:val="00834A17"/>
    <w:rsid w:val="00834A22"/>
    <w:rsid w:val="00834AB7"/>
    <w:rsid w:val="00834B27"/>
    <w:rsid w:val="00834DC3"/>
    <w:rsid w:val="00835052"/>
    <w:rsid w:val="00835273"/>
    <w:rsid w:val="0083565F"/>
    <w:rsid w:val="00835898"/>
    <w:rsid w:val="00835AD2"/>
    <w:rsid w:val="00835BA9"/>
    <w:rsid w:val="00835ED8"/>
    <w:rsid w:val="00836026"/>
    <w:rsid w:val="00836241"/>
    <w:rsid w:val="0083626C"/>
    <w:rsid w:val="00836628"/>
    <w:rsid w:val="008366F3"/>
    <w:rsid w:val="00836A79"/>
    <w:rsid w:val="00836E32"/>
    <w:rsid w:val="00837005"/>
    <w:rsid w:val="0083728B"/>
    <w:rsid w:val="0083757A"/>
    <w:rsid w:val="0083774C"/>
    <w:rsid w:val="00837828"/>
    <w:rsid w:val="00837AB7"/>
    <w:rsid w:val="00837B1E"/>
    <w:rsid w:val="00837B42"/>
    <w:rsid w:val="00837C73"/>
    <w:rsid w:val="0084029D"/>
    <w:rsid w:val="008403E6"/>
    <w:rsid w:val="008405E8"/>
    <w:rsid w:val="00840749"/>
    <w:rsid w:val="008407C8"/>
    <w:rsid w:val="00840CF8"/>
    <w:rsid w:val="00840E08"/>
    <w:rsid w:val="008411E1"/>
    <w:rsid w:val="008412C8"/>
    <w:rsid w:val="008414AE"/>
    <w:rsid w:val="00841819"/>
    <w:rsid w:val="00841F23"/>
    <w:rsid w:val="008422B0"/>
    <w:rsid w:val="008423A4"/>
    <w:rsid w:val="0084248E"/>
    <w:rsid w:val="00842CEE"/>
    <w:rsid w:val="00842DB7"/>
    <w:rsid w:val="0084305A"/>
    <w:rsid w:val="008430BC"/>
    <w:rsid w:val="00843125"/>
    <w:rsid w:val="008432D3"/>
    <w:rsid w:val="00843388"/>
    <w:rsid w:val="0084346F"/>
    <w:rsid w:val="0084354C"/>
    <w:rsid w:val="008435D6"/>
    <w:rsid w:val="008436F6"/>
    <w:rsid w:val="0084376F"/>
    <w:rsid w:val="00843BBD"/>
    <w:rsid w:val="00843C4C"/>
    <w:rsid w:val="00843E7B"/>
    <w:rsid w:val="0084441E"/>
    <w:rsid w:val="0084447F"/>
    <w:rsid w:val="00844595"/>
    <w:rsid w:val="00844834"/>
    <w:rsid w:val="008449D6"/>
    <w:rsid w:val="00844DFE"/>
    <w:rsid w:val="00844EA2"/>
    <w:rsid w:val="00844F47"/>
    <w:rsid w:val="00844FE2"/>
    <w:rsid w:val="0084517B"/>
    <w:rsid w:val="0084536F"/>
    <w:rsid w:val="008454DC"/>
    <w:rsid w:val="008459CA"/>
    <w:rsid w:val="00845BFF"/>
    <w:rsid w:val="00845F40"/>
    <w:rsid w:val="00845F99"/>
    <w:rsid w:val="00846043"/>
    <w:rsid w:val="00846133"/>
    <w:rsid w:val="00846189"/>
    <w:rsid w:val="008462B0"/>
    <w:rsid w:val="00846370"/>
    <w:rsid w:val="0084654D"/>
    <w:rsid w:val="00846552"/>
    <w:rsid w:val="00846B2E"/>
    <w:rsid w:val="00846D0F"/>
    <w:rsid w:val="00846F8C"/>
    <w:rsid w:val="008470C2"/>
    <w:rsid w:val="0084724B"/>
    <w:rsid w:val="0084727E"/>
    <w:rsid w:val="0084736D"/>
    <w:rsid w:val="008475EC"/>
    <w:rsid w:val="00847837"/>
    <w:rsid w:val="00847F46"/>
    <w:rsid w:val="0085022A"/>
    <w:rsid w:val="00850253"/>
    <w:rsid w:val="008502EA"/>
    <w:rsid w:val="008504C6"/>
    <w:rsid w:val="0085053B"/>
    <w:rsid w:val="008505D8"/>
    <w:rsid w:val="008506A2"/>
    <w:rsid w:val="00850877"/>
    <w:rsid w:val="00850C98"/>
    <w:rsid w:val="00850E31"/>
    <w:rsid w:val="00850EC8"/>
    <w:rsid w:val="0085126C"/>
    <w:rsid w:val="008516C7"/>
    <w:rsid w:val="00851882"/>
    <w:rsid w:val="00851950"/>
    <w:rsid w:val="00851DA8"/>
    <w:rsid w:val="00851F6D"/>
    <w:rsid w:val="0085200F"/>
    <w:rsid w:val="00852297"/>
    <w:rsid w:val="008522FB"/>
    <w:rsid w:val="00852461"/>
    <w:rsid w:val="008526A5"/>
    <w:rsid w:val="00852851"/>
    <w:rsid w:val="00852B65"/>
    <w:rsid w:val="008533C8"/>
    <w:rsid w:val="008535CC"/>
    <w:rsid w:val="008539FE"/>
    <w:rsid w:val="00853B14"/>
    <w:rsid w:val="00853EFD"/>
    <w:rsid w:val="00854061"/>
    <w:rsid w:val="00854136"/>
    <w:rsid w:val="00854548"/>
    <w:rsid w:val="00854564"/>
    <w:rsid w:val="00854608"/>
    <w:rsid w:val="008546DF"/>
    <w:rsid w:val="00855326"/>
    <w:rsid w:val="008555D1"/>
    <w:rsid w:val="00855760"/>
    <w:rsid w:val="008559FD"/>
    <w:rsid w:val="00855B7E"/>
    <w:rsid w:val="00855BF0"/>
    <w:rsid w:val="00855E6C"/>
    <w:rsid w:val="00855F02"/>
    <w:rsid w:val="008560D5"/>
    <w:rsid w:val="008563C7"/>
    <w:rsid w:val="0085643B"/>
    <w:rsid w:val="00856A8D"/>
    <w:rsid w:val="00856C42"/>
    <w:rsid w:val="00856DAB"/>
    <w:rsid w:val="00857616"/>
    <w:rsid w:val="00857811"/>
    <w:rsid w:val="0085793D"/>
    <w:rsid w:val="00857D8E"/>
    <w:rsid w:val="00857F90"/>
    <w:rsid w:val="008601E3"/>
    <w:rsid w:val="0086049D"/>
    <w:rsid w:val="008606AA"/>
    <w:rsid w:val="00860715"/>
    <w:rsid w:val="00860743"/>
    <w:rsid w:val="0086092C"/>
    <w:rsid w:val="00860C62"/>
    <w:rsid w:val="00861247"/>
    <w:rsid w:val="00861418"/>
    <w:rsid w:val="008615A6"/>
    <w:rsid w:val="0086173C"/>
    <w:rsid w:val="008618FC"/>
    <w:rsid w:val="00861C45"/>
    <w:rsid w:val="00861CF3"/>
    <w:rsid w:val="00861D8E"/>
    <w:rsid w:val="00861ED9"/>
    <w:rsid w:val="00861EF4"/>
    <w:rsid w:val="0086256F"/>
    <w:rsid w:val="00862651"/>
    <w:rsid w:val="00862728"/>
    <w:rsid w:val="00862908"/>
    <w:rsid w:val="00862933"/>
    <w:rsid w:val="00862A15"/>
    <w:rsid w:val="00863075"/>
    <w:rsid w:val="00863180"/>
    <w:rsid w:val="00863398"/>
    <w:rsid w:val="008634F1"/>
    <w:rsid w:val="00863866"/>
    <w:rsid w:val="00863BB8"/>
    <w:rsid w:val="00863D95"/>
    <w:rsid w:val="008647DF"/>
    <w:rsid w:val="00864846"/>
    <w:rsid w:val="00864926"/>
    <w:rsid w:val="0086498E"/>
    <w:rsid w:val="00864C5D"/>
    <w:rsid w:val="00864D03"/>
    <w:rsid w:val="00864F0B"/>
    <w:rsid w:val="00864F75"/>
    <w:rsid w:val="00864FDC"/>
    <w:rsid w:val="008650CC"/>
    <w:rsid w:val="00865486"/>
    <w:rsid w:val="008657BF"/>
    <w:rsid w:val="00865A13"/>
    <w:rsid w:val="00865B78"/>
    <w:rsid w:val="00865BA1"/>
    <w:rsid w:val="00866309"/>
    <w:rsid w:val="00866394"/>
    <w:rsid w:val="008664C1"/>
    <w:rsid w:val="008664C4"/>
    <w:rsid w:val="008669F0"/>
    <w:rsid w:val="00866AA0"/>
    <w:rsid w:val="00866D48"/>
    <w:rsid w:val="0086729F"/>
    <w:rsid w:val="008672B6"/>
    <w:rsid w:val="00867511"/>
    <w:rsid w:val="0086771E"/>
    <w:rsid w:val="00867935"/>
    <w:rsid w:val="008679F4"/>
    <w:rsid w:val="00867CE5"/>
    <w:rsid w:val="00867E04"/>
    <w:rsid w:val="00867EE1"/>
    <w:rsid w:val="0087016F"/>
    <w:rsid w:val="008702D6"/>
    <w:rsid w:val="00870BC7"/>
    <w:rsid w:val="00870EC7"/>
    <w:rsid w:val="00871040"/>
    <w:rsid w:val="008713EE"/>
    <w:rsid w:val="00871AAA"/>
    <w:rsid w:val="00871DB9"/>
    <w:rsid w:val="0087203B"/>
    <w:rsid w:val="00872104"/>
    <w:rsid w:val="00872364"/>
    <w:rsid w:val="008727D6"/>
    <w:rsid w:val="00872E00"/>
    <w:rsid w:val="00873037"/>
    <w:rsid w:val="008731FD"/>
    <w:rsid w:val="0087338F"/>
    <w:rsid w:val="00873568"/>
    <w:rsid w:val="0087372F"/>
    <w:rsid w:val="0087380E"/>
    <w:rsid w:val="00873E17"/>
    <w:rsid w:val="00873F1B"/>
    <w:rsid w:val="0087403B"/>
    <w:rsid w:val="008741FB"/>
    <w:rsid w:val="00874547"/>
    <w:rsid w:val="008745A5"/>
    <w:rsid w:val="00874D04"/>
    <w:rsid w:val="00874EB2"/>
    <w:rsid w:val="00874EBE"/>
    <w:rsid w:val="008753B7"/>
    <w:rsid w:val="008753E4"/>
    <w:rsid w:val="0087552F"/>
    <w:rsid w:val="00875582"/>
    <w:rsid w:val="00875892"/>
    <w:rsid w:val="008759EA"/>
    <w:rsid w:val="008760E6"/>
    <w:rsid w:val="00876158"/>
    <w:rsid w:val="008761D5"/>
    <w:rsid w:val="0087647C"/>
    <w:rsid w:val="00876539"/>
    <w:rsid w:val="00876566"/>
    <w:rsid w:val="008765F8"/>
    <w:rsid w:val="0087660D"/>
    <w:rsid w:val="00876BD9"/>
    <w:rsid w:val="00876CC6"/>
    <w:rsid w:val="00876CF7"/>
    <w:rsid w:val="00876D45"/>
    <w:rsid w:val="00876D52"/>
    <w:rsid w:val="00876DD7"/>
    <w:rsid w:val="00876F07"/>
    <w:rsid w:val="00877125"/>
    <w:rsid w:val="008771DC"/>
    <w:rsid w:val="008772C5"/>
    <w:rsid w:val="00877446"/>
    <w:rsid w:val="008775B0"/>
    <w:rsid w:val="0087783E"/>
    <w:rsid w:val="008778B9"/>
    <w:rsid w:val="00877B85"/>
    <w:rsid w:val="00877BBD"/>
    <w:rsid w:val="00877C7C"/>
    <w:rsid w:val="00877EFF"/>
    <w:rsid w:val="0088007D"/>
    <w:rsid w:val="008803C2"/>
    <w:rsid w:val="0088048F"/>
    <w:rsid w:val="0088054D"/>
    <w:rsid w:val="008811FC"/>
    <w:rsid w:val="008814E1"/>
    <w:rsid w:val="00881799"/>
    <w:rsid w:val="00881B51"/>
    <w:rsid w:val="00881BAF"/>
    <w:rsid w:val="00881C5A"/>
    <w:rsid w:val="00881D20"/>
    <w:rsid w:val="00881E95"/>
    <w:rsid w:val="00881EC6"/>
    <w:rsid w:val="00882037"/>
    <w:rsid w:val="00882134"/>
    <w:rsid w:val="008822EC"/>
    <w:rsid w:val="008823FA"/>
    <w:rsid w:val="00882B14"/>
    <w:rsid w:val="00882F86"/>
    <w:rsid w:val="008831DA"/>
    <w:rsid w:val="0088353C"/>
    <w:rsid w:val="00883948"/>
    <w:rsid w:val="00883BE7"/>
    <w:rsid w:val="00883C65"/>
    <w:rsid w:val="00883E28"/>
    <w:rsid w:val="008841C8"/>
    <w:rsid w:val="008841F9"/>
    <w:rsid w:val="008842E1"/>
    <w:rsid w:val="00884500"/>
    <w:rsid w:val="008846E7"/>
    <w:rsid w:val="00884C74"/>
    <w:rsid w:val="0088525F"/>
    <w:rsid w:val="0088536A"/>
    <w:rsid w:val="008854AE"/>
    <w:rsid w:val="008854EF"/>
    <w:rsid w:val="00885B78"/>
    <w:rsid w:val="00885EAD"/>
    <w:rsid w:val="008861AE"/>
    <w:rsid w:val="008865C0"/>
    <w:rsid w:val="00886F4B"/>
    <w:rsid w:val="008870F0"/>
    <w:rsid w:val="008871FD"/>
    <w:rsid w:val="008874D3"/>
    <w:rsid w:val="008876D7"/>
    <w:rsid w:val="00887F17"/>
    <w:rsid w:val="00887FD2"/>
    <w:rsid w:val="008900A8"/>
    <w:rsid w:val="00890845"/>
    <w:rsid w:val="008908BF"/>
    <w:rsid w:val="0089096E"/>
    <w:rsid w:val="00890AA8"/>
    <w:rsid w:val="00890C2D"/>
    <w:rsid w:val="00890EDA"/>
    <w:rsid w:val="00890FD6"/>
    <w:rsid w:val="0089101D"/>
    <w:rsid w:val="00891276"/>
    <w:rsid w:val="00891310"/>
    <w:rsid w:val="008913CF"/>
    <w:rsid w:val="008913EC"/>
    <w:rsid w:val="008914F1"/>
    <w:rsid w:val="008917D0"/>
    <w:rsid w:val="00891CEC"/>
    <w:rsid w:val="00891DD9"/>
    <w:rsid w:val="00891DFA"/>
    <w:rsid w:val="00892400"/>
    <w:rsid w:val="0089250F"/>
    <w:rsid w:val="00892683"/>
    <w:rsid w:val="00892D4B"/>
    <w:rsid w:val="00892FFD"/>
    <w:rsid w:val="008930DF"/>
    <w:rsid w:val="00893200"/>
    <w:rsid w:val="0089332C"/>
    <w:rsid w:val="008933C5"/>
    <w:rsid w:val="008933C6"/>
    <w:rsid w:val="008933DB"/>
    <w:rsid w:val="0089371C"/>
    <w:rsid w:val="00893AEA"/>
    <w:rsid w:val="00893BAB"/>
    <w:rsid w:val="00893BB6"/>
    <w:rsid w:val="008940DC"/>
    <w:rsid w:val="008941D2"/>
    <w:rsid w:val="008944FE"/>
    <w:rsid w:val="0089451B"/>
    <w:rsid w:val="0089497D"/>
    <w:rsid w:val="00894B76"/>
    <w:rsid w:val="00894E15"/>
    <w:rsid w:val="00894FEF"/>
    <w:rsid w:val="00895238"/>
    <w:rsid w:val="008953D1"/>
    <w:rsid w:val="008955FE"/>
    <w:rsid w:val="00895786"/>
    <w:rsid w:val="0089590D"/>
    <w:rsid w:val="00895AD7"/>
    <w:rsid w:val="00895AE8"/>
    <w:rsid w:val="00895C98"/>
    <w:rsid w:val="00895EB7"/>
    <w:rsid w:val="0089610D"/>
    <w:rsid w:val="008964FB"/>
    <w:rsid w:val="008968F7"/>
    <w:rsid w:val="00896B82"/>
    <w:rsid w:val="00896C3C"/>
    <w:rsid w:val="00896E88"/>
    <w:rsid w:val="00896F1F"/>
    <w:rsid w:val="008970E2"/>
    <w:rsid w:val="0089717E"/>
    <w:rsid w:val="00897736"/>
    <w:rsid w:val="008977E6"/>
    <w:rsid w:val="00897890"/>
    <w:rsid w:val="00897D22"/>
    <w:rsid w:val="00897E3A"/>
    <w:rsid w:val="008A033F"/>
    <w:rsid w:val="008A08E3"/>
    <w:rsid w:val="008A09AB"/>
    <w:rsid w:val="008A0A5B"/>
    <w:rsid w:val="008A0B30"/>
    <w:rsid w:val="008A0BB7"/>
    <w:rsid w:val="008A0DA3"/>
    <w:rsid w:val="008A100D"/>
    <w:rsid w:val="008A1258"/>
    <w:rsid w:val="008A14EA"/>
    <w:rsid w:val="008A151F"/>
    <w:rsid w:val="008A1642"/>
    <w:rsid w:val="008A17B6"/>
    <w:rsid w:val="008A197A"/>
    <w:rsid w:val="008A1B99"/>
    <w:rsid w:val="008A1C86"/>
    <w:rsid w:val="008A1FCA"/>
    <w:rsid w:val="008A2193"/>
    <w:rsid w:val="008A21D3"/>
    <w:rsid w:val="008A23FA"/>
    <w:rsid w:val="008A244C"/>
    <w:rsid w:val="008A2586"/>
    <w:rsid w:val="008A277E"/>
    <w:rsid w:val="008A289D"/>
    <w:rsid w:val="008A2CDE"/>
    <w:rsid w:val="008A3287"/>
    <w:rsid w:val="008A32F1"/>
    <w:rsid w:val="008A32FC"/>
    <w:rsid w:val="008A36D9"/>
    <w:rsid w:val="008A381B"/>
    <w:rsid w:val="008A3926"/>
    <w:rsid w:val="008A396C"/>
    <w:rsid w:val="008A3B7B"/>
    <w:rsid w:val="008A3C5F"/>
    <w:rsid w:val="008A3D70"/>
    <w:rsid w:val="008A4030"/>
    <w:rsid w:val="008A4214"/>
    <w:rsid w:val="008A424A"/>
    <w:rsid w:val="008A4505"/>
    <w:rsid w:val="008A4634"/>
    <w:rsid w:val="008A474A"/>
    <w:rsid w:val="008A47E4"/>
    <w:rsid w:val="008A49E8"/>
    <w:rsid w:val="008A4C61"/>
    <w:rsid w:val="008A4FC3"/>
    <w:rsid w:val="008A50DA"/>
    <w:rsid w:val="008A51E7"/>
    <w:rsid w:val="008A56EA"/>
    <w:rsid w:val="008A57DC"/>
    <w:rsid w:val="008A5961"/>
    <w:rsid w:val="008A59FB"/>
    <w:rsid w:val="008A5ACB"/>
    <w:rsid w:val="008A5FD9"/>
    <w:rsid w:val="008A651C"/>
    <w:rsid w:val="008A6539"/>
    <w:rsid w:val="008A671B"/>
    <w:rsid w:val="008A6758"/>
    <w:rsid w:val="008A6D98"/>
    <w:rsid w:val="008A6F3A"/>
    <w:rsid w:val="008A6F63"/>
    <w:rsid w:val="008A6F8A"/>
    <w:rsid w:val="008A7106"/>
    <w:rsid w:val="008A73A2"/>
    <w:rsid w:val="008A7A13"/>
    <w:rsid w:val="008A7A4C"/>
    <w:rsid w:val="008A7B07"/>
    <w:rsid w:val="008A7EB5"/>
    <w:rsid w:val="008A7EDA"/>
    <w:rsid w:val="008B0004"/>
    <w:rsid w:val="008B006B"/>
    <w:rsid w:val="008B0275"/>
    <w:rsid w:val="008B0304"/>
    <w:rsid w:val="008B0358"/>
    <w:rsid w:val="008B03B5"/>
    <w:rsid w:val="008B0C27"/>
    <w:rsid w:val="008B0C3B"/>
    <w:rsid w:val="008B1238"/>
    <w:rsid w:val="008B1811"/>
    <w:rsid w:val="008B1A22"/>
    <w:rsid w:val="008B1CB3"/>
    <w:rsid w:val="008B1DA8"/>
    <w:rsid w:val="008B1FA6"/>
    <w:rsid w:val="008B216C"/>
    <w:rsid w:val="008B2178"/>
    <w:rsid w:val="008B21E1"/>
    <w:rsid w:val="008B21E5"/>
    <w:rsid w:val="008B2326"/>
    <w:rsid w:val="008B25C9"/>
    <w:rsid w:val="008B2651"/>
    <w:rsid w:val="008B2B0C"/>
    <w:rsid w:val="008B2B42"/>
    <w:rsid w:val="008B2DDD"/>
    <w:rsid w:val="008B3171"/>
    <w:rsid w:val="008B3190"/>
    <w:rsid w:val="008B3A8D"/>
    <w:rsid w:val="008B3C7D"/>
    <w:rsid w:val="008B3CE6"/>
    <w:rsid w:val="008B3E6E"/>
    <w:rsid w:val="008B3F4C"/>
    <w:rsid w:val="008B4263"/>
    <w:rsid w:val="008B4663"/>
    <w:rsid w:val="008B467B"/>
    <w:rsid w:val="008B4934"/>
    <w:rsid w:val="008B4C80"/>
    <w:rsid w:val="008B4D54"/>
    <w:rsid w:val="008B5087"/>
    <w:rsid w:val="008B5244"/>
    <w:rsid w:val="008B52CF"/>
    <w:rsid w:val="008B5927"/>
    <w:rsid w:val="008B59BE"/>
    <w:rsid w:val="008B5CB9"/>
    <w:rsid w:val="008B5DC5"/>
    <w:rsid w:val="008B5F7D"/>
    <w:rsid w:val="008B5FF3"/>
    <w:rsid w:val="008B6100"/>
    <w:rsid w:val="008B61B8"/>
    <w:rsid w:val="008B62CA"/>
    <w:rsid w:val="008B67E3"/>
    <w:rsid w:val="008B69F9"/>
    <w:rsid w:val="008B6C71"/>
    <w:rsid w:val="008B72C9"/>
    <w:rsid w:val="008B7308"/>
    <w:rsid w:val="008B74CD"/>
    <w:rsid w:val="008B7A24"/>
    <w:rsid w:val="008B7B98"/>
    <w:rsid w:val="008B7D56"/>
    <w:rsid w:val="008B7F07"/>
    <w:rsid w:val="008C0204"/>
    <w:rsid w:val="008C0239"/>
    <w:rsid w:val="008C03E4"/>
    <w:rsid w:val="008C05D7"/>
    <w:rsid w:val="008C0A2C"/>
    <w:rsid w:val="008C0B7E"/>
    <w:rsid w:val="008C0D51"/>
    <w:rsid w:val="008C102A"/>
    <w:rsid w:val="008C1670"/>
    <w:rsid w:val="008C17A0"/>
    <w:rsid w:val="008C19D0"/>
    <w:rsid w:val="008C2132"/>
    <w:rsid w:val="008C2500"/>
    <w:rsid w:val="008C2716"/>
    <w:rsid w:val="008C278F"/>
    <w:rsid w:val="008C27D8"/>
    <w:rsid w:val="008C2F01"/>
    <w:rsid w:val="008C2FA6"/>
    <w:rsid w:val="008C3022"/>
    <w:rsid w:val="008C31D1"/>
    <w:rsid w:val="008C32C3"/>
    <w:rsid w:val="008C3428"/>
    <w:rsid w:val="008C358D"/>
    <w:rsid w:val="008C374E"/>
    <w:rsid w:val="008C37F4"/>
    <w:rsid w:val="008C3BC6"/>
    <w:rsid w:val="008C3C20"/>
    <w:rsid w:val="008C3CFF"/>
    <w:rsid w:val="008C405A"/>
    <w:rsid w:val="008C4389"/>
    <w:rsid w:val="008C43BE"/>
    <w:rsid w:val="008C45CC"/>
    <w:rsid w:val="008C4760"/>
    <w:rsid w:val="008C4952"/>
    <w:rsid w:val="008C4A16"/>
    <w:rsid w:val="008C4B59"/>
    <w:rsid w:val="008C5014"/>
    <w:rsid w:val="008C5098"/>
    <w:rsid w:val="008C534D"/>
    <w:rsid w:val="008C5635"/>
    <w:rsid w:val="008C5B6C"/>
    <w:rsid w:val="008C627F"/>
    <w:rsid w:val="008C62D5"/>
    <w:rsid w:val="008C665C"/>
    <w:rsid w:val="008C6A4C"/>
    <w:rsid w:val="008C6C23"/>
    <w:rsid w:val="008C6E41"/>
    <w:rsid w:val="008C6EB0"/>
    <w:rsid w:val="008C7047"/>
    <w:rsid w:val="008C71D2"/>
    <w:rsid w:val="008C7755"/>
    <w:rsid w:val="008D000E"/>
    <w:rsid w:val="008D0170"/>
    <w:rsid w:val="008D0257"/>
    <w:rsid w:val="008D026E"/>
    <w:rsid w:val="008D02AF"/>
    <w:rsid w:val="008D040B"/>
    <w:rsid w:val="008D0484"/>
    <w:rsid w:val="008D05AC"/>
    <w:rsid w:val="008D0971"/>
    <w:rsid w:val="008D09F4"/>
    <w:rsid w:val="008D0B37"/>
    <w:rsid w:val="008D0BD0"/>
    <w:rsid w:val="008D0CBC"/>
    <w:rsid w:val="008D128F"/>
    <w:rsid w:val="008D13EE"/>
    <w:rsid w:val="008D1A2A"/>
    <w:rsid w:val="008D1E06"/>
    <w:rsid w:val="008D1E3F"/>
    <w:rsid w:val="008D1F20"/>
    <w:rsid w:val="008D2504"/>
    <w:rsid w:val="008D258A"/>
    <w:rsid w:val="008D262B"/>
    <w:rsid w:val="008D2CCE"/>
    <w:rsid w:val="008D2D13"/>
    <w:rsid w:val="008D2F6D"/>
    <w:rsid w:val="008D2FB0"/>
    <w:rsid w:val="008D329E"/>
    <w:rsid w:val="008D32E9"/>
    <w:rsid w:val="008D33B4"/>
    <w:rsid w:val="008D3583"/>
    <w:rsid w:val="008D38A8"/>
    <w:rsid w:val="008D3B29"/>
    <w:rsid w:val="008D3CF0"/>
    <w:rsid w:val="008D3E7E"/>
    <w:rsid w:val="008D414C"/>
    <w:rsid w:val="008D432B"/>
    <w:rsid w:val="008D4B8D"/>
    <w:rsid w:val="008D4BF1"/>
    <w:rsid w:val="008D4D75"/>
    <w:rsid w:val="008D4F02"/>
    <w:rsid w:val="008D4F8C"/>
    <w:rsid w:val="008D5069"/>
    <w:rsid w:val="008D509F"/>
    <w:rsid w:val="008D54B4"/>
    <w:rsid w:val="008D57FA"/>
    <w:rsid w:val="008D5818"/>
    <w:rsid w:val="008D584D"/>
    <w:rsid w:val="008D597A"/>
    <w:rsid w:val="008D5DDE"/>
    <w:rsid w:val="008D6016"/>
    <w:rsid w:val="008D6145"/>
    <w:rsid w:val="008D6566"/>
    <w:rsid w:val="008D665B"/>
    <w:rsid w:val="008D6CEF"/>
    <w:rsid w:val="008D74FC"/>
    <w:rsid w:val="008D7CB2"/>
    <w:rsid w:val="008D7E34"/>
    <w:rsid w:val="008D7FB0"/>
    <w:rsid w:val="008E0037"/>
    <w:rsid w:val="008E0043"/>
    <w:rsid w:val="008E03C4"/>
    <w:rsid w:val="008E0421"/>
    <w:rsid w:val="008E059A"/>
    <w:rsid w:val="008E05E5"/>
    <w:rsid w:val="008E07A8"/>
    <w:rsid w:val="008E0810"/>
    <w:rsid w:val="008E09C3"/>
    <w:rsid w:val="008E09D4"/>
    <w:rsid w:val="008E0A17"/>
    <w:rsid w:val="008E0ABA"/>
    <w:rsid w:val="008E0C65"/>
    <w:rsid w:val="008E0D7B"/>
    <w:rsid w:val="008E0D89"/>
    <w:rsid w:val="008E0F97"/>
    <w:rsid w:val="008E0FD1"/>
    <w:rsid w:val="008E10CD"/>
    <w:rsid w:val="008E1409"/>
    <w:rsid w:val="008E15C5"/>
    <w:rsid w:val="008E18D8"/>
    <w:rsid w:val="008E198F"/>
    <w:rsid w:val="008E1DA5"/>
    <w:rsid w:val="008E2015"/>
    <w:rsid w:val="008E22F3"/>
    <w:rsid w:val="008E2393"/>
    <w:rsid w:val="008E2934"/>
    <w:rsid w:val="008E2939"/>
    <w:rsid w:val="008E2C49"/>
    <w:rsid w:val="008E32ED"/>
    <w:rsid w:val="008E3369"/>
    <w:rsid w:val="008E33A3"/>
    <w:rsid w:val="008E3528"/>
    <w:rsid w:val="008E36BB"/>
    <w:rsid w:val="008E3719"/>
    <w:rsid w:val="008E3958"/>
    <w:rsid w:val="008E3B57"/>
    <w:rsid w:val="008E3D71"/>
    <w:rsid w:val="008E3E12"/>
    <w:rsid w:val="008E3E9A"/>
    <w:rsid w:val="008E417C"/>
    <w:rsid w:val="008E4249"/>
    <w:rsid w:val="008E42DA"/>
    <w:rsid w:val="008E455A"/>
    <w:rsid w:val="008E459C"/>
    <w:rsid w:val="008E4626"/>
    <w:rsid w:val="008E4890"/>
    <w:rsid w:val="008E493F"/>
    <w:rsid w:val="008E4B33"/>
    <w:rsid w:val="008E4EBC"/>
    <w:rsid w:val="008E4F61"/>
    <w:rsid w:val="008E4FBE"/>
    <w:rsid w:val="008E542B"/>
    <w:rsid w:val="008E54A2"/>
    <w:rsid w:val="008E54DD"/>
    <w:rsid w:val="008E5557"/>
    <w:rsid w:val="008E5778"/>
    <w:rsid w:val="008E57EB"/>
    <w:rsid w:val="008E58C9"/>
    <w:rsid w:val="008E5A68"/>
    <w:rsid w:val="008E5B90"/>
    <w:rsid w:val="008E5DF6"/>
    <w:rsid w:val="008E64D2"/>
    <w:rsid w:val="008E6599"/>
    <w:rsid w:val="008E69FD"/>
    <w:rsid w:val="008E6AA9"/>
    <w:rsid w:val="008E6B73"/>
    <w:rsid w:val="008E7560"/>
    <w:rsid w:val="008E75FE"/>
    <w:rsid w:val="008E7608"/>
    <w:rsid w:val="008E7902"/>
    <w:rsid w:val="008E7925"/>
    <w:rsid w:val="008E7977"/>
    <w:rsid w:val="008E79C6"/>
    <w:rsid w:val="008E7D12"/>
    <w:rsid w:val="008F041D"/>
    <w:rsid w:val="008F063E"/>
    <w:rsid w:val="008F0664"/>
    <w:rsid w:val="008F07BB"/>
    <w:rsid w:val="008F0D05"/>
    <w:rsid w:val="008F0D54"/>
    <w:rsid w:val="008F0DFA"/>
    <w:rsid w:val="008F0F08"/>
    <w:rsid w:val="008F0F6D"/>
    <w:rsid w:val="008F104D"/>
    <w:rsid w:val="008F11DA"/>
    <w:rsid w:val="008F1315"/>
    <w:rsid w:val="008F1483"/>
    <w:rsid w:val="008F155D"/>
    <w:rsid w:val="008F172D"/>
    <w:rsid w:val="008F17D1"/>
    <w:rsid w:val="008F19B8"/>
    <w:rsid w:val="008F1A31"/>
    <w:rsid w:val="008F1ADC"/>
    <w:rsid w:val="008F1B4F"/>
    <w:rsid w:val="008F1F75"/>
    <w:rsid w:val="008F1FB6"/>
    <w:rsid w:val="008F2140"/>
    <w:rsid w:val="008F2344"/>
    <w:rsid w:val="008F240D"/>
    <w:rsid w:val="008F254B"/>
    <w:rsid w:val="008F26A0"/>
    <w:rsid w:val="008F2732"/>
    <w:rsid w:val="008F2D0B"/>
    <w:rsid w:val="008F2D2B"/>
    <w:rsid w:val="008F2EC2"/>
    <w:rsid w:val="008F34A3"/>
    <w:rsid w:val="008F385A"/>
    <w:rsid w:val="008F3990"/>
    <w:rsid w:val="008F39E4"/>
    <w:rsid w:val="008F39EC"/>
    <w:rsid w:val="008F3A9E"/>
    <w:rsid w:val="008F457A"/>
    <w:rsid w:val="008F4860"/>
    <w:rsid w:val="008F4ECB"/>
    <w:rsid w:val="008F510D"/>
    <w:rsid w:val="008F514D"/>
    <w:rsid w:val="008F5239"/>
    <w:rsid w:val="008F552A"/>
    <w:rsid w:val="008F5602"/>
    <w:rsid w:val="008F588D"/>
    <w:rsid w:val="008F58E2"/>
    <w:rsid w:val="008F5B07"/>
    <w:rsid w:val="008F5CED"/>
    <w:rsid w:val="008F5D62"/>
    <w:rsid w:val="008F604C"/>
    <w:rsid w:val="008F6136"/>
    <w:rsid w:val="008F6285"/>
    <w:rsid w:val="008F65FD"/>
    <w:rsid w:val="008F67A5"/>
    <w:rsid w:val="008F67A7"/>
    <w:rsid w:val="008F6B4B"/>
    <w:rsid w:val="008F6ED2"/>
    <w:rsid w:val="008F7203"/>
    <w:rsid w:val="008F729C"/>
    <w:rsid w:val="008F72BE"/>
    <w:rsid w:val="008F72C6"/>
    <w:rsid w:val="008F7344"/>
    <w:rsid w:val="008F7356"/>
    <w:rsid w:val="008F74EE"/>
    <w:rsid w:val="008F7789"/>
    <w:rsid w:val="008F77C4"/>
    <w:rsid w:val="008F7992"/>
    <w:rsid w:val="008F7A37"/>
    <w:rsid w:val="008F7D0A"/>
    <w:rsid w:val="008F7E8C"/>
    <w:rsid w:val="00900578"/>
    <w:rsid w:val="00900A53"/>
    <w:rsid w:val="00900DDE"/>
    <w:rsid w:val="00900EB7"/>
    <w:rsid w:val="00900EDF"/>
    <w:rsid w:val="00901046"/>
    <w:rsid w:val="00901A3C"/>
    <w:rsid w:val="00901D87"/>
    <w:rsid w:val="009026EC"/>
    <w:rsid w:val="009026F0"/>
    <w:rsid w:val="00902C13"/>
    <w:rsid w:val="00902D5A"/>
    <w:rsid w:val="00902E85"/>
    <w:rsid w:val="00902F7F"/>
    <w:rsid w:val="0090303F"/>
    <w:rsid w:val="009031FC"/>
    <w:rsid w:val="009037D1"/>
    <w:rsid w:val="009039E3"/>
    <w:rsid w:val="00903A15"/>
    <w:rsid w:val="00903C62"/>
    <w:rsid w:val="00903DF9"/>
    <w:rsid w:val="00903EB8"/>
    <w:rsid w:val="00903FD2"/>
    <w:rsid w:val="009042DA"/>
    <w:rsid w:val="009044C1"/>
    <w:rsid w:val="00904643"/>
    <w:rsid w:val="00905186"/>
    <w:rsid w:val="009051CB"/>
    <w:rsid w:val="0090550B"/>
    <w:rsid w:val="00905642"/>
    <w:rsid w:val="0090564F"/>
    <w:rsid w:val="00905816"/>
    <w:rsid w:val="00905E8C"/>
    <w:rsid w:val="009061F2"/>
    <w:rsid w:val="00906338"/>
    <w:rsid w:val="0090633F"/>
    <w:rsid w:val="00906568"/>
    <w:rsid w:val="00906607"/>
    <w:rsid w:val="00906668"/>
    <w:rsid w:val="00906793"/>
    <w:rsid w:val="00906BAD"/>
    <w:rsid w:val="00906BF2"/>
    <w:rsid w:val="00906C09"/>
    <w:rsid w:val="00906C2C"/>
    <w:rsid w:val="00906C8C"/>
    <w:rsid w:val="00906E14"/>
    <w:rsid w:val="00906F99"/>
    <w:rsid w:val="009070D1"/>
    <w:rsid w:val="00907270"/>
    <w:rsid w:val="0090739F"/>
    <w:rsid w:val="009079AD"/>
    <w:rsid w:val="00907A2F"/>
    <w:rsid w:val="00907C23"/>
    <w:rsid w:val="00907CCF"/>
    <w:rsid w:val="00907DCA"/>
    <w:rsid w:val="00907F7C"/>
    <w:rsid w:val="00910433"/>
    <w:rsid w:val="009105B4"/>
    <w:rsid w:val="0091079D"/>
    <w:rsid w:val="0091081E"/>
    <w:rsid w:val="0091084E"/>
    <w:rsid w:val="009108F8"/>
    <w:rsid w:val="00911038"/>
    <w:rsid w:val="0091115D"/>
    <w:rsid w:val="00911519"/>
    <w:rsid w:val="00911843"/>
    <w:rsid w:val="00911939"/>
    <w:rsid w:val="009119B4"/>
    <w:rsid w:val="00911A18"/>
    <w:rsid w:val="00911A7F"/>
    <w:rsid w:val="00911AEE"/>
    <w:rsid w:val="00911E58"/>
    <w:rsid w:val="009120EF"/>
    <w:rsid w:val="00912452"/>
    <w:rsid w:val="0091256E"/>
    <w:rsid w:val="00912775"/>
    <w:rsid w:val="0091298A"/>
    <w:rsid w:val="00912CDC"/>
    <w:rsid w:val="00912D05"/>
    <w:rsid w:val="00912EA6"/>
    <w:rsid w:val="00912EC6"/>
    <w:rsid w:val="00912FB0"/>
    <w:rsid w:val="00912FF0"/>
    <w:rsid w:val="0091307A"/>
    <w:rsid w:val="00913568"/>
    <w:rsid w:val="009136F7"/>
    <w:rsid w:val="00913876"/>
    <w:rsid w:val="00913997"/>
    <w:rsid w:val="00913CC8"/>
    <w:rsid w:val="00913F2C"/>
    <w:rsid w:val="00914CBE"/>
    <w:rsid w:val="00914D79"/>
    <w:rsid w:val="00914E07"/>
    <w:rsid w:val="00914E76"/>
    <w:rsid w:val="00915106"/>
    <w:rsid w:val="009151ED"/>
    <w:rsid w:val="00915317"/>
    <w:rsid w:val="009156F4"/>
    <w:rsid w:val="00915789"/>
    <w:rsid w:val="009157E3"/>
    <w:rsid w:val="009161C2"/>
    <w:rsid w:val="00916202"/>
    <w:rsid w:val="00916363"/>
    <w:rsid w:val="0091658C"/>
    <w:rsid w:val="009167A2"/>
    <w:rsid w:val="00916A47"/>
    <w:rsid w:val="00916D1F"/>
    <w:rsid w:val="0091722B"/>
    <w:rsid w:val="0091740B"/>
    <w:rsid w:val="00917448"/>
    <w:rsid w:val="009176FF"/>
    <w:rsid w:val="00917962"/>
    <w:rsid w:val="00917A20"/>
    <w:rsid w:val="00917C3A"/>
    <w:rsid w:val="0092002B"/>
    <w:rsid w:val="0092020D"/>
    <w:rsid w:val="009207D6"/>
    <w:rsid w:val="009208D0"/>
    <w:rsid w:val="00920A0F"/>
    <w:rsid w:val="00920C1D"/>
    <w:rsid w:val="00920DE5"/>
    <w:rsid w:val="00921342"/>
    <w:rsid w:val="0092177C"/>
    <w:rsid w:val="00921834"/>
    <w:rsid w:val="00921884"/>
    <w:rsid w:val="009219BC"/>
    <w:rsid w:val="00921C2C"/>
    <w:rsid w:val="00921DAC"/>
    <w:rsid w:val="00921F47"/>
    <w:rsid w:val="0092207D"/>
    <w:rsid w:val="009222EF"/>
    <w:rsid w:val="009224A0"/>
    <w:rsid w:val="009227B9"/>
    <w:rsid w:val="00922CE0"/>
    <w:rsid w:val="00922F20"/>
    <w:rsid w:val="00922F4B"/>
    <w:rsid w:val="009230B0"/>
    <w:rsid w:val="00923139"/>
    <w:rsid w:val="00923441"/>
    <w:rsid w:val="0092349C"/>
    <w:rsid w:val="00923585"/>
    <w:rsid w:val="009238B0"/>
    <w:rsid w:val="00923B91"/>
    <w:rsid w:val="009241EB"/>
    <w:rsid w:val="0092441E"/>
    <w:rsid w:val="00924769"/>
    <w:rsid w:val="00924781"/>
    <w:rsid w:val="0092496C"/>
    <w:rsid w:val="0092501B"/>
    <w:rsid w:val="00925061"/>
    <w:rsid w:val="009252AA"/>
    <w:rsid w:val="00925332"/>
    <w:rsid w:val="00925455"/>
    <w:rsid w:val="00925693"/>
    <w:rsid w:val="00925CF6"/>
    <w:rsid w:val="00925E2D"/>
    <w:rsid w:val="00925E30"/>
    <w:rsid w:val="00925F5A"/>
    <w:rsid w:val="0092623D"/>
    <w:rsid w:val="009263BC"/>
    <w:rsid w:val="00926EFE"/>
    <w:rsid w:val="0092726C"/>
    <w:rsid w:val="009273A5"/>
    <w:rsid w:val="0092755D"/>
    <w:rsid w:val="00927831"/>
    <w:rsid w:val="00927BC1"/>
    <w:rsid w:val="0093059E"/>
    <w:rsid w:val="00930E1E"/>
    <w:rsid w:val="00930F36"/>
    <w:rsid w:val="00930F95"/>
    <w:rsid w:val="00931305"/>
    <w:rsid w:val="00931A24"/>
    <w:rsid w:val="00931CD3"/>
    <w:rsid w:val="00931F25"/>
    <w:rsid w:val="0093217C"/>
    <w:rsid w:val="00932494"/>
    <w:rsid w:val="0093253A"/>
    <w:rsid w:val="00932B86"/>
    <w:rsid w:val="00932C82"/>
    <w:rsid w:val="00932C8F"/>
    <w:rsid w:val="00932D11"/>
    <w:rsid w:val="00932DB5"/>
    <w:rsid w:val="00933292"/>
    <w:rsid w:val="009333C4"/>
    <w:rsid w:val="00933668"/>
    <w:rsid w:val="009336C5"/>
    <w:rsid w:val="009336CB"/>
    <w:rsid w:val="00933903"/>
    <w:rsid w:val="00933D3D"/>
    <w:rsid w:val="00933E50"/>
    <w:rsid w:val="00933FED"/>
    <w:rsid w:val="009343C7"/>
    <w:rsid w:val="00934590"/>
    <w:rsid w:val="00934927"/>
    <w:rsid w:val="0093493F"/>
    <w:rsid w:val="00934ADA"/>
    <w:rsid w:val="00934D57"/>
    <w:rsid w:val="00934F2F"/>
    <w:rsid w:val="00934FA8"/>
    <w:rsid w:val="009352C8"/>
    <w:rsid w:val="009358C9"/>
    <w:rsid w:val="00935A45"/>
    <w:rsid w:val="00935C59"/>
    <w:rsid w:val="00936204"/>
    <w:rsid w:val="00936887"/>
    <w:rsid w:val="00936B40"/>
    <w:rsid w:val="00936C3C"/>
    <w:rsid w:val="00937021"/>
    <w:rsid w:val="009371EA"/>
    <w:rsid w:val="00937207"/>
    <w:rsid w:val="009375ED"/>
    <w:rsid w:val="009377B3"/>
    <w:rsid w:val="0093785A"/>
    <w:rsid w:val="009379BA"/>
    <w:rsid w:val="00937A4B"/>
    <w:rsid w:val="00937CB4"/>
    <w:rsid w:val="00937CED"/>
    <w:rsid w:val="0094006E"/>
    <w:rsid w:val="009409D5"/>
    <w:rsid w:val="00940B80"/>
    <w:rsid w:val="00940C17"/>
    <w:rsid w:val="00940CC7"/>
    <w:rsid w:val="00941147"/>
    <w:rsid w:val="0094175D"/>
    <w:rsid w:val="00941963"/>
    <w:rsid w:val="00941DA0"/>
    <w:rsid w:val="00942022"/>
    <w:rsid w:val="009426C6"/>
    <w:rsid w:val="00942D44"/>
    <w:rsid w:val="00942DE1"/>
    <w:rsid w:val="00942E2B"/>
    <w:rsid w:val="00942E30"/>
    <w:rsid w:val="00942EFE"/>
    <w:rsid w:val="00942F27"/>
    <w:rsid w:val="00942F87"/>
    <w:rsid w:val="00943134"/>
    <w:rsid w:val="009433AA"/>
    <w:rsid w:val="009434EB"/>
    <w:rsid w:val="0094368D"/>
    <w:rsid w:val="00943693"/>
    <w:rsid w:val="009437A2"/>
    <w:rsid w:val="009438EB"/>
    <w:rsid w:val="00943989"/>
    <w:rsid w:val="00943BA0"/>
    <w:rsid w:val="00943CAE"/>
    <w:rsid w:val="00943D80"/>
    <w:rsid w:val="00943EC5"/>
    <w:rsid w:val="00944614"/>
    <w:rsid w:val="009447CC"/>
    <w:rsid w:val="009448B1"/>
    <w:rsid w:val="0094492A"/>
    <w:rsid w:val="00944EB5"/>
    <w:rsid w:val="00944F0E"/>
    <w:rsid w:val="009450F2"/>
    <w:rsid w:val="00945484"/>
    <w:rsid w:val="00945537"/>
    <w:rsid w:val="00945624"/>
    <w:rsid w:val="00945792"/>
    <w:rsid w:val="0094583B"/>
    <w:rsid w:val="00945F76"/>
    <w:rsid w:val="00945FE6"/>
    <w:rsid w:val="00946171"/>
    <w:rsid w:val="0094643E"/>
    <w:rsid w:val="00946BFE"/>
    <w:rsid w:val="00946DC0"/>
    <w:rsid w:val="00946E75"/>
    <w:rsid w:val="00946E97"/>
    <w:rsid w:val="00946F2F"/>
    <w:rsid w:val="00946F3F"/>
    <w:rsid w:val="009475B2"/>
    <w:rsid w:val="0094799C"/>
    <w:rsid w:val="009479A4"/>
    <w:rsid w:val="009479DB"/>
    <w:rsid w:val="00947AFC"/>
    <w:rsid w:val="00947BB8"/>
    <w:rsid w:val="00950267"/>
    <w:rsid w:val="00950331"/>
    <w:rsid w:val="009504CD"/>
    <w:rsid w:val="009507A0"/>
    <w:rsid w:val="00950965"/>
    <w:rsid w:val="00950BA0"/>
    <w:rsid w:val="00950BB1"/>
    <w:rsid w:val="00950E35"/>
    <w:rsid w:val="00951232"/>
    <w:rsid w:val="0095188C"/>
    <w:rsid w:val="009518FB"/>
    <w:rsid w:val="00951A84"/>
    <w:rsid w:val="00951F06"/>
    <w:rsid w:val="00951FBB"/>
    <w:rsid w:val="00952153"/>
    <w:rsid w:val="0095221F"/>
    <w:rsid w:val="009522F3"/>
    <w:rsid w:val="009522F8"/>
    <w:rsid w:val="00952B68"/>
    <w:rsid w:val="00952DC8"/>
    <w:rsid w:val="00952DE5"/>
    <w:rsid w:val="00952E84"/>
    <w:rsid w:val="00952EC6"/>
    <w:rsid w:val="00952F35"/>
    <w:rsid w:val="009532A9"/>
    <w:rsid w:val="00953357"/>
    <w:rsid w:val="009533A9"/>
    <w:rsid w:val="00953419"/>
    <w:rsid w:val="00953692"/>
    <w:rsid w:val="00953884"/>
    <w:rsid w:val="0095389B"/>
    <w:rsid w:val="009539AF"/>
    <w:rsid w:val="00953C2E"/>
    <w:rsid w:val="00953E85"/>
    <w:rsid w:val="0095400B"/>
    <w:rsid w:val="00954241"/>
    <w:rsid w:val="009542F1"/>
    <w:rsid w:val="009544DB"/>
    <w:rsid w:val="009547AD"/>
    <w:rsid w:val="00954C0D"/>
    <w:rsid w:val="009552C3"/>
    <w:rsid w:val="00955349"/>
    <w:rsid w:val="009553BA"/>
    <w:rsid w:val="009554F7"/>
    <w:rsid w:val="0095571C"/>
    <w:rsid w:val="00955AF4"/>
    <w:rsid w:val="0095609F"/>
    <w:rsid w:val="009562F9"/>
    <w:rsid w:val="009563CB"/>
    <w:rsid w:val="00956A15"/>
    <w:rsid w:val="00956CB1"/>
    <w:rsid w:val="00957215"/>
    <w:rsid w:val="00957381"/>
    <w:rsid w:val="009578EC"/>
    <w:rsid w:val="00957A03"/>
    <w:rsid w:val="00957DF2"/>
    <w:rsid w:val="0096018D"/>
    <w:rsid w:val="00960248"/>
    <w:rsid w:val="00960A7B"/>
    <w:rsid w:val="00960CC5"/>
    <w:rsid w:val="00960F6C"/>
    <w:rsid w:val="009612CC"/>
    <w:rsid w:val="0096154B"/>
    <w:rsid w:val="00961A7A"/>
    <w:rsid w:val="00961B37"/>
    <w:rsid w:val="00961C34"/>
    <w:rsid w:val="00961C96"/>
    <w:rsid w:val="00961DFD"/>
    <w:rsid w:val="009620A0"/>
    <w:rsid w:val="0096217C"/>
    <w:rsid w:val="0096230C"/>
    <w:rsid w:val="00962465"/>
    <w:rsid w:val="00962948"/>
    <w:rsid w:val="00962B5D"/>
    <w:rsid w:val="00962E5C"/>
    <w:rsid w:val="00962F3F"/>
    <w:rsid w:val="00963197"/>
    <w:rsid w:val="009634B7"/>
    <w:rsid w:val="009637BD"/>
    <w:rsid w:val="0096395A"/>
    <w:rsid w:val="00963A4D"/>
    <w:rsid w:val="00963B9C"/>
    <w:rsid w:val="00963ECF"/>
    <w:rsid w:val="00964127"/>
    <w:rsid w:val="009644F5"/>
    <w:rsid w:val="009645FE"/>
    <w:rsid w:val="00964636"/>
    <w:rsid w:val="00964688"/>
    <w:rsid w:val="00964ACE"/>
    <w:rsid w:val="00964B7F"/>
    <w:rsid w:val="00964CD6"/>
    <w:rsid w:val="00964DCC"/>
    <w:rsid w:val="00964DFE"/>
    <w:rsid w:val="00964F91"/>
    <w:rsid w:val="009652FB"/>
    <w:rsid w:val="00965CF3"/>
    <w:rsid w:val="00965E85"/>
    <w:rsid w:val="00965E95"/>
    <w:rsid w:val="00965EBE"/>
    <w:rsid w:val="0096608D"/>
    <w:rsid w:val="00966260"/>
    <w:rsid w:val="00966550"/>
    <w:rsid w:val="0096675E"/>
    <w:rsid w:val="009667FF"/>
    <w:rsid w:val="0096690C"/>
    <w:rsid w:val="0096746C"/>
    <w:rsid w:val="0096755C"/>
    <w:rsid w:val="00967C2D"/>
    <w:rsid w:val="00967F5D"/>
    <w:rsid w:val="009701AB"/>
    <w:rsid w:val="009702A8"/>
    <w:rsid w:val="009705A3"/>
    <w:rsid w:val="009706A9"/>
    <w:rsid w:val="00970875"/>
    <w:rsid w:val="0097095E"/>
    <w:rsid w:val="00970B98"/>
    <w:rsid w:val="00970C45"/>
    <w:rsid w:val="00970C96"/>
    <w:rsid w:val="00970D98"/>
    <w:rsid w:val="00970DA5"/>
    <w:rsid w:val="00970E26"/>
    <w:rsid w:val="00970F6F"/>
    <w:rsid w:val="00971121"/>
    <w:rsid w:val="00971179"/>
    <w:rsid w:val="00971210"/>
    <w:rsid w:val="0097121A"/>
    <w:rsid w:val="0097170A"/>
    <w:rsid w:val="00971BBC"/>
    <w:rsid w:val="00971DEA"/>
    <w:rsid w:val="0097227F"/>
    <w:rsid w:val="0097245E"/>
    <w:rsid w:val="009726F4"/>
    <w:rsid w:val="0097270D"/>
    <w:rsid w:val="00972903"/>
    <w:rsid w:val="00972AFF"/>
    <w:rsid w:val="00972C24"/>
    <w:rsid w:val="00972F02"/>
    <w:rsid w:val="0097312C"/>
    <w:rsid w:val="00973199"/>
    <w:rsid w:val="009731E5"/>
    <w:rsid w:val="00973342"/>
    <w:rsid w:val="0097347E"/>
    <w:rsid w:val="0097370F"/>
    <w:rsid w:val="00973919"/>
    <w:rsid w:val="00973AB8"/>
    <w:rsid w:val="00973B96"/>
    <w:rsid w:val="00973E38"/>
    <w:rsid w:val="00973ED5"/>
    <w:rsid w:val="00973F9D"/>
    <w:rsid w:val="00973FC0"/>
    <w:rsid w:val="0097404F"/>
    <w:rsid w:val="009743A8"/>
    <w:rsid w:val="009744B1"/>
    <w:rsid w:val="00974921"/>
    <w:rsid w:val="009749A7"/>
    <w:rsid w:val="00974EE5"/>
    <w:rsid w:val="00975004"/>
    <w:rsid w:val="009752E2"/>
    <w:rsid w:val="00975637"/>
    <w:rsid w:val="009759D9"/>
    <w:rsid w:val="009759FF"/>
    <w:rsid w:val="00975BF5"/>
    <w:rsid w:val="00975DB9"/>
    <w:rsid w:val="00976445"/>
    <w:rsid w:val="00976648"/>
    <w:rsid w:val="009769EC"/>
    <w:rsid w:val="00977056"/>
    <w:rsid w:val="009774C6"/>
    <w:rsid w:val="009774CD"/>
    <w:rsid w:val="009775E6"/>
    <w:rsid w:val="00977616"/>
    <w:rsid w:val="0097778E"/>
    <w:rsid w:val="00977B7F"/>
    <w:rsid w:val="00980329"/>
    <w:rsid w:val="00980341"/>
    <w:rsid w:val="009803C6"/>
    <w:rsid w:val="009806DC"/>
    <w:rsid w:val="00980934"/>
    <w:rsid w:val="00980B35"/>
    <w:rsid w:val="00980C71"/>
    <w:rsid w:val="00980D82"/>
    <w:rsid w:val="00980E4D"/>
    <w:rsid w:val="00981028"/>
    <w:rsid w:val="00981104"/>
    <w:rsid w:val="00981612"/>
    <w:rsid w:val="0098169D"/>
    <w:rsid w:val="009818BF"/>
    <w:rsid w:val="00981A43"/>
    <w:rsid w:val="0098223E"/>
    <w:rsid w:val="009824B8"/>
    <w:rsid w:val="00982927"/>
    <w:rsid w:val="00982BA1"/>
    <w:rsid w:val="00982FDB"/>
    <w:rsid w:val="009831B0"/>
    <w:rsid w:val="00983334"/>
    <w:rsid w:val="00983474"/>
    <w:rsid w:val="00983843"/>
    <w:rsid w:val="00983B19"/>
    <w:rsid w:val="00984044"/>
    <w:rsid w:val="00984056"/>
    <w:rsid w:val="00984294"/>
    <w:rsid w:val="009847CC"/>
    <w:rsid w:val="00984829"/>
    <w:rsid w:val="00984AD7"/>
    <w:rsid w:val="00984AE2"/>
    <w:rsid w:val="00985037"/>
    <w:rsid w:val="009854F2"/>
    <w:rsid w:val="0098574B"/>
    <w:rsid w:val="00985973"/>
    <w:rsid w:val="00985DF0"/>
    <w:rsid w:val="00985FD9"/>
    <w:rsid w:val="00986049"/>
    <w:rsid w:val="00986093"/>
    <w:rsid w:val="00986299"/>
    <w:rsid w:val="00986387"/>
    <w:rsid w:val="009863E2"/>
    <w:rsid w:val="00986448"/>
    <w:rsid w:val="00986529"/>
    <w:rsid w:val="00986583"/>
    <w:rsid w:val="00986673"/>
    <w:rsid w:val="009867BF"/>
    <w:rsid w:val="00986834"/>
    <w:rsid w:val="009873BC"/>
    <w:rsid w:val="009873E7"/>
    <w:rsid w:val="0098760D"/>
    <w:rsid w:val="0098761C"/>
    <w:rsid w:val="009876D9"/>
    <w:rsid w:val="0098783A"/>
    <w:rsid w:val="00987EA4"/>
    <w:rsid w:val="009906DC"/>
    <w:rsid w:val="00990719"/>
    <w:rsid w:val="009907B9"/>
    <w:rsid w:val="00990818"/>
    <w:rsid w:val="009909AF"/>
    <w:rsid w:val="00990D71"/>
    <w:rsid w:val="00990DBF"/>
    <w:rsid w:val="00990DC1"/>
    <w:rsid w:val="00990DFE"/>
    <w:rsid w:val="00990F94"/>
    <w:rsid w:val="009910BC"/>
    <w:rsid w:val="00991560"/>
    <w:rsid w:val="00991886"/>
    <w:rsid w:val="00991975"/>
    <w:rsid w:val="00991A3C"/>
    <w:rsid w:val="00991F87"/>
    <w:rsid w:val="009922B8"/>
    <w:rsid w:val="009923CF"/>
    <w:rsid w:val="0099254C"/>
    <w:rsid w:val="00992992"/>
    <w:rsid w:val="009929DA"/>
    <w:rsid w:val="00992A4D"/>
    <w:rsid w:val="00992CBB"/>
    <w:rsid w:val="00992D3F"/>
    <w:rsid w:val="0099349B"/>
    <w:rsid w:val="00993554"/>
    <w:rsid w:val="00993A10"/>
    <w:rsid w:val="00993C07"/>
    <w:rsid w:val="00993C81"/>
    <w:rsid w:val="00993D81"/>
    <w:rsid w:val="00993E72"/>
    <w:rsid w:val="00993F87"/>
    <w:rsid w:val="00994112"/>
    <w:rsid w:val="00994335"/>
    <w:rsid w:val="00994453"/>
    <w:rsid w:val="00994AA1"/>
    <w:rsid w:val="00994C88"/>
    <w:rsid w:val="00994FC7"/>
    <w:rsid w:val="0099581F"/>
    <w:rsid w:val="009958E4"/>
    <w:rsid w:val="00995940"/>
    <w:rsid w:val="00995BB5"/>
    <w:rsid w:val="00995E72"/>
    <w:rsid w:val="00995EF1"/>
    <w:rsid w:val="00995F6F"/>
    <w:rsid w:val="00996158"/>
    <w:rsid w:val="0099615A"/>
    <w:rsid w:val="00996556"/>
    <w:rsid w:val="009965EE"/>
    <w:rsid w:val="0099668A"/>
    <w:rsid w:val="00996842"/>
    <w:rsid w:val="00996F2C"/>
    <w:rsid w:val="009971BE"/>
    <w:rsid w:val="009971D8"/>
    <w:rsid w:val="009974C4"/>
    <w:rsid w:val="009975DB"/>
    <w:rsid w:val="00997655"/>
    <w:rsid w:val="00997975"/>
    <w:rsid w:val="00997A78"/>
    <w:rsid w:val="00997B65"/>
    <w:rsid w:val="00997D3B"/>
    <w:rsid w:val="009A0008"/>
    <w:rsid w:val="009A0362"/>
    <w:rsid w:val="009A07CD"/>
    <w:rsid w:val="009A07EF"/>
    <w:rsid w:val="009A089A"/>
    <w:rsid w:val="009A08EF"/>
    <w:rsid w:val="009A0ABB"/>
    <w:rsid w:val="009A0D2A"/>
    <w:rsid w:val="009A1028"/>
    <w:rsid w:val="009A146C"/>
    <w:rsid w:val="009A15F7"/>
    <w:rsid w:val="009A171E"/>
    <w:rsid w:val="009A18E6"/>
    <w:rsid w:val="009A2043"/>
    <w:rsid w:val="009A232A"/>
    <w:rsid w:val="009A241B"/>
    <w:rsid w:val="009A2448"/>
    <w:rsid w:val="009A24B9"/>
    <w:rsid w:val="009A260F"/>
    <w:rsid w:val="009A295F"/>
    <w:rsid w:val="009A2BF9"/>
    <w:rsid w:val="009A2C0A"/>
    <w:rsid w:val="009A2D95"/>
    <w:rsid w:val="009A2F8F"/>
    <w:rsid w:val="009A33E4"/>
    <w:rsid w:val="009A36D8"/>
    <w:rsid w:val="009A3AE1"/>
    <w:rsid w:val="009A3E05"/>
    <w:rsid w:val="009A3EE3"/>
    <w:rsid w:val="009A42DE"/>
    <w:rsid w:val="009A4330"/>
    <w:rsid w:val="009A457E"/>
    <w:rsid w:val="009A47C9"/>
    <w:rsid w:val="009A482D"/>
    <w:rsid w:val="009A489F"/>
    <w:rsid w:val="009A4B06"/>
    <w:rsid w:val="009A500F"/>
    <w:rsid w:val="009A5376"/>
    <w:rsid w:val="009A547D"/>
    <w:rsid w:val="009A5D3A"/>
    <w:rsid w:val="009A5D5C"/>
    <w:rsid w:val="009A5D96"/>
    <w:rsid w:val="009A5EDD"/>
    <w:rsid w:val="009A5F1D"/>
    <w:rsid w:val="009A5FF5"/>
    <w:rsid w:val="009A60AB"/>
    <w:rsid w:val="009A61B4"/>
    <w:rsid w:val="009A623A"/>
    <w:rsid w:val="009A62B8"/>
    <w:rsid w:val="009A6641"/>
    <w:rsid w:val="009A6C7B"/>
    <w:rsid w:val="009A7135"/>
    <w:rsid w:val="009A71F8"/>
    <w:rsid w:val="009A731C"/>
    <w:rsid w:val="009A7ADA"/>
    <w:rsid w:val="009A7B7F"/>
    <w:rsid w:val="009B058B"/>
    <w:rsid w:val="009B06D0"/>
    <w:rsid w:val="009B06F4"/>
    <w:rsid w:val="009B08E8"/>
    <w:rsid w:val="009B0C59"/>
    <w:rsid w:val="009B0CC0"/>
    <w:rsid w:val="009B0D2A"/>
    <w:rsid w:val="009B0DA1"/>
    <w:rsid w:val="009B130C"/>
    <w:rsid w:val="009B13C0"/>
    <w:rsid w:val="009B146A"/>
    <w:rsid w:val="009B15D1"/>
    <w:rsid w:val="009B192D"/>
    <w:rsid w:val="009B2857"/>
    <w:rsid w:val="009B2B57"/>
    <w:rsid w:val="009B2DC7"/>
    <w:rsid w:val="009B3260"/>
    <w:rsid w:val="009B32AF"/>
    <w:rsid w:val="009B3384"/>
    <w:rsid w:val="009B34EC"/>
    <w:rsid w:val="009B368B"/>
    <w:rsid w:val="009B3695"/>
    <w:rsid w:val="009B37A3"/>
    <w:rsid w:val="009B3DE1"/>
    <w:rsid w:val="009B3DF0"/>
    <w:rsid w:val="009B4250"/>
    <w:rsid w:val="009B47CE"/>
    <w:rsid w:val="009B47DE"/>
    <w:rsid w:val="009B4BCA"/>
    <w:rsid w:val="009B4CFB"/>
    <w:rsid w:val="009B4DD2"/>
    <w:rsid w:val="009B4E5A"/>
    <w:rsid w:val="009B4FCD"/>
    <w:rsid w:val="009B5190"/>
    <w:rsid w:val="009B536C"/>
    <w:rsid w:val="009B57FE"/>
    <w:rsid w:val="009B596F"/>
    <w:rsid w:val="009B5CFD"/>
    <w:rsid w:val="009B5D1B"/>
    <w:rsid w:val="009B5ED4"/>
    <w:rsid w:val="009B6133"/>
    <w:rsid w:val="009B6665"/>
    <w:rsid w:val="009B667C"/>
    <w:rsid w:val="009B6A4F"/>
    <w:rsid w:val="009B6D81"/>
    <w:rsid w:val="009B6F69"/>
    <w:rsid w:val="009B6F70"/>
    <w:rsid w:val="009B6FFD"/>
    <w:rsid w:val="009B7350"/>
    <w:rsid w:val="009B7B03"/>
    <w:rsid w:val="009B7CC5"/>
    <w:rsid w:val="009C030C"/>
    <w:rsid w:val="009C069A"/>
    <w:rsid w:val="009C0D1D"/>
    <w:rsid w:val="009C0E25"/>
    <w:rsid w:val="009C0ED3"/>
    <w:rsid w:val="009C141A"/>
    <w:rsid w:val="009C16B3"/>
    <w:rsid w:val="009C1913"/>
    <w:rsid w:val="009C1934"/>
    <w:rsid w:val="009C197D"/>
    <w:rsid w:val="009C19C3"/>
    <w:rsid w:val="009C1BA9"/>
    <w:rsid w:val="009C1BF6"/>
    <w:rsid w:val="009C1DD7"/>
    <w:rsid w:val="009C1F48"/>
    <w:rsid w:val="009C20AE"/>
    <w:rsid w:val="009C20CA"/>
    <w:rsid w:val="009C22BD"/>
    <w:rsid w:val="009C2626"/>
    <w:rsid w:val="009C2635"/>
    <w:rsid w:val="009C26E6"/>
    <w:rsid w:val="009C29AF"/>
    <w:rsid w:val="009C2E37"/>
    <w:rsid w:val="009C2F38"/>
    <w:rsid w:val="009C33D9"/>
    <w:rsid w:val="009C3490"/>
    <w:rsid w:val="009C349C"/>
    <w:rsid w:val="009C37DE"/>
    <w:rsid w:val="009C3A6D"/>
    <w:rsid w:val="009C3CDC"/>
    <w:rsid w:val="009C3D6A"/>
    <w:rsid w:val="009C40AB"/>
    <w:rsid w:val="009C4247"/>
    <w:rsid w:val="009C42A7"/>
    <w:rsid w:val="009C470C"/>
    <w:rsid w:val="009C49E1"/>
    <w:rsid w:val="009C4A7D"/>
    <w:rsid w:val="009C4A9F"/>
    <w:rsid w:val="009C4DFB"/>
    <w:rsid w:val="009C4E1A"/>
    <w:rsid w:val="009C4F21"/>
    <w:rsid w:val="009C5246"/>
    <w:rsid w:val="009C5282"/>
    <w:rsid w:val="009C544C"/>
    <w:rsid w:val="009C5631"/>
    <w:rsid w:val="009C585F"/>
    <w:rsid w:val="009C5B1B"/>
    <w:rsid w:val="009C5C5A"/>
    <w:rsid w:val="009C5D58"/>
    <w:rsid w:val="009C5DAD"/>
    <w:rsid w:val="009C6014"/>
    <w:rsid w:val="009C63E1"/>
    <w:rsid w:val="009C65B1"/>
    <w:rsid w:val="009C672F"/>
    <w:rsid w:val="009C6973"/>
    <w:rsid w:val="009C6BF1"/>
    <w:rsid w:val="009C6DF2"/>
    <w:rsid w:val="009C6FD5"/>
    <w:rsid w:val="009C6FE9"/>
    <w:rsid w:val="009C70EA"/>
    <w:rsid w:val="009C72A8"/>
    <w:rsid w:val="009C74B3"/>
    <w:rsid w:val="009C74E1"/>
    <w:rsid w:val="009C7B65"/>
    <w:rsid w:val="009C7C3B"/>
    <w:rsid w:val="009C7CEF"/>
    <w:rsid w:val="009C7DEC"/>
    <w:rsid w:val="009D0100"/>
    <w:rsid w:val="009D0115"/>
    <w:rsid w:val="009D02BE"/>
    <w:rsid w:val="009D02C0"/>
    <w:rsid w:val="009D0649"/>
    <w:rsid w:val="009D0705"/>
    <w:rsid w:val="009D08F1"/>
    <w:rsid w:val="009D0B2E"/>
    <w:rsid w:val="009D0E64"/>
    <w:rsid w:val="009D10C9"/>
    <w:rsid w:val="009D133E"/>
    <w:rsid w:val="009D1391"/>
    <w:rsid w:val="009D174B"/>
    <w:rsid w:val="009D1D8E"/>
    <w:rsid w:val="009D1E84"/>
    <w:rsid w:val="009D1ED7"/>
    <w:rsid w:val="009D1FA8"/>
    <w:rsid w:val="009D2201"/>
    <w:rsid w:val="009D24C6"/>
    <w:rsid w:val="009D25C0"/>
    <w:rsid w:val="009D2A0E"/>
    <w:rsid w:val="009D2A9B"/>
    <w:rsid w:val="009D2B22"/>
    <w:rsid w:val="009D2D8B"/>
    <w:rsid w:val="009D312B"/>
    <w:rsid w:val="009D3335"/>
    <w:rsid w:val="009D338D"/>
    <w:rsid w:val="009D3442"/>
    <w:rsid w:val="009D360B"/>
    <w:rsid w:val="009D380F"/>
    <w:rsid w:val="009D3E78"/>
    <w:rsid w:val="009D4058"/>
    <w:rsid w:val="009D4066"/>
    <w:rsid w:val="009D408A"/>
    <w:rsid w:val="009D441F"/>
    <w:rsid w:val="009D44A8"/>
    <w:rsid w:val="009D4805"/>
    <w:rsid w:val="009D4D35"/>
    <w:rsid w:val="009D4E7D"/>
    <w:rsid w:val="009D5068"/>
    <w:rsid w:val="009D5259"/>
    <w:rsid w:val="009D56F4"/>
    <w:rsid w:val="009D57CD"/>
    <w:rsid w:val="009D57EF"/>
    <w:rsid w:val="009D5A88"/>
    <w:rsid w:val="009D6115"/>
    <w:rsid w:val="009D61BA"/>
    <w:rsid w:val="009D633E"/>
    <w:rsid w:val="009D63C4"/>
    <w:rsid w:val="009D6422"/>
    <w:rsid w:val="009D6526"/>
    <w:rsid w:val="009D6569"/>
    <w:rsid w:val="009D65F2"/>
    <w:rsid w:val="009D66B9"/>
    <w:rsid w:val="009D69EB"/>
    <w:rsid w:val="009D6B67"/>
    <w:rsid w:val="009D6C44"/>
    <w:rsid w:val="009D6C49"/>
    <w:rsid w:val="009D7185"/>
    <w:rsid w:val="009D71F5"/>
    <w:rsid w:val="009D721F"/>
    <w:rsid w:val="009D7237"/>
    <w:rsid w:val="009D7370"/>
    <w:rsid w:val="009D742D"/>
    <w:rsid w:val="009D75FB"/>
    <w:rsid w:val="009D7685"/>
    <w:rsid w:val="009D7E51"/>
    <w:rsid w:val="009E00AA"/>
    <w:rsid w:val="009E04B7"/>
    <w:rsid w:val="009E04C3"/>
    <w:rsid w:val="009E04C9"/>
    <w:rsid w:val="009E08FC"/>
    <w:rsid w:val="009E0A16"/>
    <w:rsid w:val="009E0BA5"/>
    <w:rsid w:val="009E0F74"/>
    <w:rsid w:val="009E0F95"/>
    <w:rsid w:val="009E101B"/>
    <w:rsid w:val="009E13A8"/>
    <w:rsid w:val="009E16B6"/>
    <w:rsid w:val="009E198D"/>
    <w:rsid w:val="009E1CC4"/>
    <w:rsid w:val="009E20AC"/>
    <w:rsid w:val="009E2105"/>
    <w:rsid w:val="009E23B4"/>
    <w:rsid w:val="009E280D"/>
    <w:rsid w:val="009E28CD"/>
    <w:rsid w:val="009E2F2E"/>
    <w:rsid w:val="009E31F5"/>
    <w:rsid w:val="009E3886"/>
    <w:rsid w:val="009E3B2D"/>
    <w:rsid w:val="009E3B35"/>
    <w:rsid w:val="009E3D4D"/>
    <w:rsid w:val="009E44F4"/>
    <w:rsid w:val="009E4545"/>
    <w:rsid w:val="009E4975"/>
    <w:rsid w:val="009E4E1F"/>
    <w:rsid w:val="009E4E44"/>
    <w:rsid w:val="009E4E97"/>
    <w:rsid w:val="009E4EF8"/>
    <w:rsid w:val="009E5172"/>
    <w:rsid w:val="009E53C5"/>
    <w:rsid w:val="009E548F"/>
    <w:rsid w:val="009E5497"/>
    <w:rsid w:val="009E564A"/>
    <w:rsid w:val="009E573C"/>
    <w:rsid w:val="009E5852"/>
    <w:rsid w:val="009E5C6C"/>
    <w:rsid w:val="009E5DB8"/>
    <w:rsid w:val="009E5FA5"/>
    <w:rsid w:val="009E60D2"/>
    <w:rsid w:val="009E6151"/>
    <w:rsid w:val="009E6339"/>
    <w:rsid w:val="009E6500"/>
    <w:rsid w:val="009E6544"/>
    <w:rsid w:val="009E674B"/>
    <w:rsid w:val="009E682F"/>
    <w:rsid w:val="009E6B9D"/>
    <w:rsid w:val="009E6C62"/>
    <w:rsid w:val="009E6CBF"/>
    <w:rsid w:val="009E6D8B"/>
    <w:rsid w:val="009E6F46"/>
    <w:rsid w:val="009E7583"/>
    <w:rsid w:val="009E758B"/>
    <w:rsid w:val="009E7A16"/>
    <w:rsid w:val="009E7AA3"/>
    <w:rsid w:val="009E7C2D"/>
    <w:rsid w:val="009E7E2D"/>
    <w:rsid w:val="009E7E4C"/>
    <w:rsid w:val="009F0159"/>
    <w:rsid w:val="009F0719"/>
    <w:rsid w:val="009F0873"/>
    <w:rsid w:val="009F0FC0"/>
    <w:rsid w:val="009F1551"/>
    <w:rsid w:val="009F162E"/>
    <w:rsid w:val="009F173A"/>
    <w:rsid w:val="009F17EF"/>
    <w:rsid w:val="009F19FD"/>
    <w:rsid w:val="009F1B2B"/>
    <w:rsid w:val="009F1FD7"/>
    <w:rsid w:val="009F1FDC"/>
    <w:rsid w:val="009F207D"/>
    <w:rsid w:val="009F221D"/>
    <w:rsid w:val="009F2245"/>
    <w:rsid w:val="009F2725"/>
    <w:rsid w:val="009F2834"/>
    <w:rsid w:val="009F2974"/>
    <w:rsid w:val="009F2ADD"/>
    <w:rsid w:val="009F2ADF"/>
    <w:rsid w:val="009F2B12"/>
    <w:rsid w:val="009F2C4F"/>
    <w:rsid w:val="009F3004"/>
    <w:rsid w:val="009F304A"/>
    <w:rsid w:val="009F3080"/>
    <w:rsid w:val="009F31E3"/>
    <w:rsid w:val="009F33CA"/>
    <w:rsid w:val="009F33FB"/>
    <w:rsid w:val="009F3584"/>
    <w:rsid w:val="009F36CE"/>
    <w:rsid w:val="009F3843"/>
    <w:rsid w:val="009F38EF"/>
    <w:rsid w:val="009F3BD2"/>
    <w:rsid w:val="009F3C72"/>
    <w:rsid w:val="009F3D6A"/>
    <w:rsid w:val="009F3E1A"/>
    <w:rsid w:val="009F4288"/>
    <w:rsid w:val="009F4AC6"/>
    <w:rsid w:val="009F4B27"/>
    <w:rsid w:val="009F4C34"/>
    <w:rsid w:val="009F4ED1"/>
    <w:rsid w:val="009F4F8F"/>
    <w:rsid w:val="009F5249"/>
    <w:rsid w:val="009F54AA"/>
    <w:rsid w:val="009F556A"/>
    <w:rsid w:val="009F5627"/>
    <w:rsid w:val="009F5918"/>
    <w:rsid w:val="009F5C19"/>
    <w:rsid w:val="009F5C27"/>
    <w:rsid w:val="009F5CF4"/>
    <w:rsid w:val="009F6611"/>
    <w:rsid w:val="009F6632"/>
    <w:rsid w:val="009F6824"/>
    <w:rsid w:val="009F68D5"/>
    <w:rsid w:val="009F6D7E"/>
    <w:rsid w:val="009F6D97"/>
    <w:rsid w:val="009F6EC0"/>
    <w:rsid w:val="009F6FF5"/>
    <w:rsid w:val="009F7046"/>
    <w:rsid w:val="009F73B0"/>
    <w:rsid w:val="009F7479"/>
    <w:rsid w:val="009F76C8"/>
    <w:rsid w:val="009F7C6D"/>
    <w:rsid w:val="009F7EFA"/>
    <w:rsid w:val="009F7F90"/>
    <w:rsid w:val="00A0042C"/>
    <w:rsid w:val="00A004D6"/>
    <w:rsid w:val="00A004DF"/>
    <w:rsid w:val="00A0087F"/>
    <w:rsid w:val="00A0088E"/>
    <w:rsid w:val="00A00B8D"/>
    <w:rsid w:val="00A00CA3"/>
    <w:rsid w:val="00A00DF1"/>
    <w:rsid w:val="00A00F38"/>
    <w:rsid w:val="00A01050"/>
    <w:rsid w:val="00A01185"/>
    <w:rsid w:val="00A01490"/>
    <w:rsid w:val="00A01785"/>
    <w:rsid w:val="00A01C26"/>
    <w:rsid w:val="00A01C6D"/>
    <w:rsid w:val="00A01D94"/>
    <w:rsid w:val="00A02007"/>
    <w:rsid w:val="00A020A1"/>
    <w:rsid w:val="00A02444"/>
    <w:rsid w:val="00A024BB"/>
    <w:rsid w:val="00A02553"/>
    <w:rsid w:val="00A02976"/>
    <w:rsid w:val="00A02AF8"/>
    <w:rsid w:val="00A02DCD"/>
    <w:rsid w:val="00A02E82"/>
    <w:rsid w:val="00A02EA1"/>
    <w:rsid w:val="00A0303F"/>
    <w:rsid w:val="00A031DF"/>
    <w:rsid w:val="00A03231"/>
    <w:rsid w:val="00A032F8"/>
    <w:rsid w:val="00A03558"/>
    <w:rsid w:val="00A0358E"/>
    <w:rsid w:val="00A0385D"/>
    <w:rsid w:val="00A03D0A"/>
    <w:rsid w:val="00A04207"/>
    <w:rsid w:val="00A042AF"/>
    <w:rsid w:val="00A042BB"/>
    <w:rsid w:val="00A0470F"/>
    <w:rsid w:val="00A0476B"/>
    <w:rsid w:val="00A04986"/>
    <w:rsid w:val="00A04A6A"/>
    <w:rsid w:val="00A04B94"/>
    <w:rsid w:val="00A04CE2"/>
    <w:rsid w:val="00A04D29"/>
    <w:rsid w:val="00A04EAF"/>
    <w:rsid w:val="00A0529B"/>
    <w:rsid w:val="00A0544A"/>
    <w:rsid w:val="00A055D3"/>
    <w:rsid w:val="00A057EA"/>
    <w:rsid w:val="00A0620E"/>
    <w:rsid w:val="00A062B9"/>
    <w:rsid w:val="00A06679"/>
    <w:rsid w:val="00A06A52"/>
    <w:rsid w:val="00A06D2D"/>
    <w:rsid w:val="00A06F8C"/>
    <w:rsid w:val="00A07053"/>
    <w:rsid w:val="00A0713C"/>
    <w:rsid w:val="00A073B0"/>
    <w:rsid w:val="00A07438"/>
    <w:rsid w:val="00A0774E"/>
    <w:rsid w:val="00A07A40"/>
    <w:rsid w:val="00A07B8E"/>
    <w:rsid w:val="00A07C4B"/>
    <w:rsid w:val="00A10A61"/>
    <w:rsid w:val="00A10C06"/>
    <w:rsid w:val="00A10FCF"/>
    <w:rsid w:val="00A112CB"/>
    <w:rsid w:val="00A1165D"/>
    <w:rsid w:val="00A119B0"/>
    <w:rsid w:val="00A11A83"/>
    <w:rsid w:val="00A11A9A"/>
    <w:rsid w:val="00A11B21"/>
    <w:rsid w:val="00A11B7A"/>
    <w:rsid w:val="00A121C3"/>
    <w:rsid w:val="00A12456"/>
    <w:rsid w:val="00A1246E"/>
    <w:rsid w:val="00A12486"/>
    <w:rsid w:val="00A129C7"/>
    <w:rsid w:val="00A12A29"/>
    <w:rsid w:val="00A12F25"/>
    <w:rsid w:val="00A13BB0"/>
    <w:rsid w:val="00A13BF6"/>
    <w:rsid w:val="00A13D24"/>
    <w:rsid w:val="00A141FB"/>
    <w:rsid w:val="00A145CA"/>
    <w:rsid w:val="00A146C8"/>
    <w:rsid w:val="00A14AA7"/>
    <w:rsid w:val="00A15049"/>
    <w:rsid w:val="00A1520C"/>
    <w:rsid w:val="00A15227"/>
    <w:rsid w:val="00A15798"/>
    <w:rsid w:val="00A15C30"/>
    <w:rsid w:val="00A15D86"/>
    <w:rsid w:val="00A15DFB"/>
    <w:rsid w:val="00A1633E"/>
    <w:rsid w:val="00A1634F"/>
    <w:rsid w:val="00A163F3"/>
    <w:rsid w:val="00A16611"/>
    <w:rsid w:val="00A16E4A"/>
    <w:rsid w:val="00A16F40"/>
    <w:rsid w:val="00A17308"/>
    <w:rsid w:val="00A1792D"/>
    <w:rsid w:val="00A17A46"/>
    <w:rsid w:val="00A17C8C"/>
    <w:rsid w:val="00A17ED0"/>
    <w:rsid w:val="00A17F9B"/>
    <w:rsid w:val="00A2014D"/>
    <w:rsid w:val="00A20792"/>
    <w:rsid w:val="00A20AED"/>
    <w:rsid w:val="00A20C45"/>
    <w:rsid w:val="00A20FDB"/>
    <w:rsid w:val="00A21044"/>
    <w:rsid w:val="00A21058"/>
    <w:rsid w:val="00A21148"/>
    <w:rsid w:val="00A213E0"/>
    <w:rsid w:val="00A2160D"/>
    <w:rsid w:val="00A21749"/>
    <w:rsid w:val="00A21CA3"/>
    <w:rsid w:val="00A21E76"/>
    <w:rsid w:val="00A21F87"/>
    <w:rsid w:val="00A21FC8"/>
    <w:rsid w:val="00A22357"/>
    <w:rsid w:val="00A2242B"/>
    <w:rsid w:val="00A224FE"/>
    <w:rsid w:val="00A226DB"/>
    <w:rsid w:val="00A22909"/>
    <w:rsid w:val="00A22A66"/>
    <w:rsid w:val="00A22F78"/>
    <w:rsid w:val="00A22FA9"/>
    <w:rsid w:val="00A230FB"/>
    <w:rsid w:val="00A23279"/>
    <w:rsid w:val="00A232FB"/>
    <w:rsid w:val="00A23336"/>
    <w:rsid w:val="00A23E23"/>
    <w:rsid w:val="00A23F31"/>
    <w:rsid w:val="00A23FCA"/>
    <w:rsid w:val="00A2435B"/>
    <w:rsid w:val="00A243E3"/>
    <w:rsid w:val="00A246A4"/>
    <w:rsid w:val="00A2475A"/>
    <w:rsid w:val="00A247B7"/>
    <w:rsid w:val="00A24B73"/>
    <w:rsid w:val="00A24F36"/>
    <w:rsid w:val="00A25066"/>
    <w:rsid w:val="00A252D4"/>
    <w:rsid w:val="00A25660"/>
    <w:rsid w:val="00A25A46"/>
    <w:rsid w:val="00A25BFB"/>
    <w:rsid w:val="00A25DE4"/>
    <w:rsid w:val="00A25E88"/>
    <w:rsid w:val="00A26140"/>
    <w:rsid w:val="00A265D5"/>
    <w:rsid w:val="00A2671E"/>
    <w:rsid w:val="00A268C1"/>
    <w:rsid w:val="00A26A81"/>
    <w:rsid w:val="00A26EC8"/>
    <w:rsid w:val="00A270F5"/>
    <w:rsid w:val="00A2734B"/>
    <w:rsid w:val="00A2750A"/>
    <w:rsid w:val="00A275FF"/>
    <w:rsid w:val="00A27ACC"/>
    <w:rsid w:val="00A300CF"/>
    <w:rsid w:val="00A302F0"/>
    <w:rsid w:val="00A30369"/>
    <w:rsid w:val="00A303A6"/>
    <w:rsid w:val="00A303BF"/>
    <w:rsid w:val="00A30491"/>
    <w:rsid w:val="00A30707"/>
    <w:rsid w:val="00A3099E"/>
    <w:rsid w:val="00A309BC"/>
    <w:rsid w:val="00A30B16"/>
    <w:rsid w:val="00A3105B"/>
    <w:rsid w:val="00A313E0"/>
    <w:rsid w:val="00A31481"/>
    <w:rsid w:val="00A31496"/>
    <w:rsid w:val="00A316E4"/>
    <w:rsid w:val="00A317F1"/>
    <w:rsid w:val="00A3183D"/>
    <w:rsid w:val="00A319BC"/>
    <w:rsid w:val="00A31A74"/>
    <w:rsid w:val="00A31B4E"/>
    <w:rsid w:val="00A31FAA"/>
    <w:rsid w:val="00A32364"/>
    <w:rsid w:val="00A3270C"/>
    <w:rsid w:val="00A32780"/>
    <w:rsid w:val="00A32A3B"/>
    <w:rsid w:val="00A32A67"/>
    <w:rsid w:val="00A32B27"/>
    <w:rsid w:val="00A32D20"/>
    <w:rsid w:val="00A32DBB"/>
    <w:rsid w:val="00A32F12"/>
    <w:rsid w:val="00A33170"/>
    <w:rsid w:val="00A33234"/>
    <w:rsid w:val="00A335A6"/>
    <w:rsid w:val="00A3374C"/>
    <w:rsid w:val="00A339C2"/>
    <w:rsid w:val="00A33C38"/>
    <w:rsid w:val="00A33C55"/>
    <w:rsid w:val="00A33F57"/>
    <w:rsid w:val="00A3402B"/>
    <w:rsid w:val="00A340FC"/>
    <w:rsid w:val="00A34219"/>
    <w:rsid w:val="00A34285"/>
    <w:rsid w:val="00A343E4"/>
    <w:rsid w:val="00A34497"/>
    <w:rsid w:val="00A351EA"/>
    <w:rsid w:val="00A355F5"/>
    <w:rsid w:val="00A356AB"/>
    <w:rsid w:val="00A35849"/>
    <w:rsid w:val="00A358D1"/>
    <w:rsid w:val="00A36187"/>
    <w:rsid w:val="00A36464"/>
    <w:rsid w:val="00A36497"/>
    <w:rsid w:val="00A3649B"/>
    <w:rsid w:val="00A36B69"/>
    <w:rsid w:val="00A36B94"/>
    <w:rsid w:val="00A3718D"/>
    <w:rsid w:val="00A37205"/>
    <w:rsid w:val="00A3733E"/>
    <w:rsid w:val="00A373FC"/>
    <w:rsid w:val="00A375F9"/>
    <w:rsid w:val="00A3773D"/>
    <w:rsid w:val="00A378EA"/>
    <w:rsid w:val="00A379EB"/>
    <w:rsid w:val="00A37BDB"/>
    <w:rsid w:val="00A37D08"/>
    <w:rsid w:val="00A405A8"/>
    <w:rsid w:val="00A4071E"/>
    <w:rsid w:val="00A4090B"/>
    <w:rsid w:val="00A40934"/>
    <w:rsid w:val="00A40963"/>
    <w:rsid w:val="00A40E2D"/>
    <w:rsid w:val="00A41150"/>
    <w:rsid w:val="00A4122E"/>
    <w:rsid w:val="00A412C4"/>
    <w:rsid w:val="00A41362"/>
    <w:rsid w:val="00A417B6"/>
    <w:rsid w:val="00A418C9"/>
    <w:rsid w:val="00A41A68"/>
    <w:rsid w:val="00A41D23"/>
    <w:rsid w:val="00A42213"/>
    <w:rsid w:val="00A422B6"/>
    <w:rsid w:val="00A42314"/>
    <w:rsid w:val="00A428E9"/>
    <w:rsid w:val="00A42AEB"/>
    <w:rsid w:val="00A42BBA"/>
    <w:rsid w:val="00A43018"/>
    <w:rsid w:val="00A430CC"/>
    <w:rsid w:val="00A430FF"/>
    <w:rsid w:val="00A43144"/>
    <w:rsid w:val="00A4376D"/>
    <w:rsid w:val="00A43BC6"/>
    <w:rsid w:val="00A43BF9"/>
    <w:rsid w:val="00A43D00"/>
    <w:rsid w:val="00A44043"/>
    <w:rsid w:val="00A44045"/>
    <w:rsid w:val="00A442D7"/>
    <w:rsid w:val="00A444BD"/>
    <w:rsid w:val="00A446C6"/>
    <w:rsid w:val="00A446E8"/>
    <w:rsid w:val="00A446FD"/>
    <w:rsid w:val="00A44789"/>
    <w:rsid w:val="00A44BD1"/>
    <w:rsid w:val="00A44BE9"/>
    <w:rsid w:val="00A44EA2"/>
    <w:rsid w:val="00A4501B"/>
    <w:rsid w:val="00A45356"/>
    <w:rsid w:val="00A4580C"/>
    <w:rsid w:val="00A45B40"/>
    <w:rsid w:val="00A45C50"/>
    <w:rsid w:val="00A45D25"/>
    <w:rsid w:val="00A45E05"/>
    <w:rsid w:val="00A460DD"/>
    <w:rsid w:val="00A461F9"/>
    <w:rsid w:val="00A4623B"/>
    <w:rsid w:val="00A4659F"/>
    <w:rsid w:val="00A4663A"/>
    <w:rsid w:val="00A46A7C"/>
    <w:rsid w:val="00A46B99"/>
    <w:rsid w:val="00A46CBD"/>
    <w:rsid w:val="00A46D9F"/>
    <w:rsid w:val="00A46DB5"/>
    <w:rsid w:val="00A47494"/>
    <w:rsid w:val="00A4756C"/>
    <w:rsid w:val="00A47BC7"/>
    <w:rsid w:val="00A47DB6"/>
    <w:rsid w:val="00A47F4E"/>
    <w:rsid w:val="00A5023E"/>
    <w:rsid w:val="00A50710"/>
    <w:rsid w:val="00A507A4"/>
    <w:rsid w:val="00A5090F"/>
    <w:rsid w:val="00A50C1E"/>
    <w:rsid w:val="00A50CBC"/>
    <w:rsid w:val="00A50D32"/>
    <w:rsid w:val="00A50EE1"/>
    <w:rsid w:val="00A51134"/>
    <w:rsid w:val="00A51535"/>
    <w:rsid w:val="00A515A6"/>
    <w:rsid w:val="00A517B2"/>
    <w:rsid w:val="00A517D8"/>
    <w:rsid w:val="00A519D9"/>
    <w:rsid w:val="00A51ABB"/>
    <w:rsid w:val="00A51B4C"/>
    <w:rsid w:val="00A51B70"/>
    <w:rsid w:val="00A51C64"/>
    <w:rsid w:val="00A51CDA"/>
    <w:rsid w:val="00A51F40"/>
    <w:rsid w:val="00A51FC5"/>
    <w:rsid w:val="00A52017"/>
    <w:rsid w:val="00A522A1"/>
    <w:rsid w:val="00A52502"/>
    <w:rsid w:val="00A5285C"/>
    <w:rsid w:val="00A528BA"/>
    <w:rsid w:val="00A5296A"/>
    <w:rsid w:val="00A5297E"/>
    <w:rsid w:val="00A52BC9"/>
    <w:rsid w:val="00A5312F"/>
    <w:rsid w:val="00A533AC"/>
    <w:rsid w:val="00A534D2"/>
    <w:rsid w:val="00A53730"/>
    <w:rsid w:val="00A53A56"/>
    <w:rsid w:val="00A53EB9"/>
    <w:rsid w:val="00A53FA7"/>
    <w:rsid w:val="00A5424F"/>
    <w:rsid w:val="00A5428E"/>
    <w:rsid w:val="00A5451F"/>
    <w:rsid w:val="00A546C8"/>
    <w:rsid w:val="00A548A7"/>
    <w:rsid w:val="00A54966"/>
    <w:rsid w:val="00A54B1C"/>
    <w:rsid w:val="00A54CA7"/>
    <w:rsid w:val="00A54CEB"/>
    <w:rsid w:val="00A54EB0"/>
    <w:rsid w:val="00A55507"/>
    <w:rsid w:val="00A55777"/>
    <w:rsid w:val="00A55790"/>
    <w:rsid w:val="00A55C9C"/>
    <w:rsid w:val="00A56774"/>
    <w:rsid w:val="00A56FC2"/>
    <w:rsid w:val="00A5723D"/>
    <w:rsid w:val="00A57299"/>
    <w:rsid w:val="00A574A4"/>
    <w:rsid w:val="00A5757E"/>
    <w:rsid w:val="00A57D22"/>
    <w:rsid w:val="00A57D9E"/>
    <w:rsid w:val="00A6008F"/>
    <w:rsid w:val="00A600ED"/>
    <w:rsid w:val="00A60451"/>
    <w:rsid w:val="00A6071B"/>
    <w:rsid w:val="00A607B6"/>
    <w:rsid w:val="00A60E0F"/>
    <w:rsid w:val="00A60E80"/>
    <w:rsid w:val="00A60FD1"/>
    <w:rsid w:val="00A61570"/>
    <w:rsid w:val="00A615B8"/>
    <w:rsid w:val="00A6160C"/>
    <w:rsid w:val="00A61670"/>
    <w:rsid w:val="00A616E5"/>
    <w:rsid w:val="00A6178F"/>
    <w:rsid w:val="00A61AEF"/>
    <w:rsid w:val="00A61B3E"/>
    <w:rsid w:val="00A61E4F"/>
    <w:rsid w:val="00A61E77"/>
    <w:rsid w:val="00A62165"/>
    <w:rsid w:val="00A62573"/>
    <w:rsid w:val="00A6283A"/>
    <w:rsid w:val="00A62A2A"/>
    <w:rsid w:val="00A62D86"/>
    <w:rsid w:val="00A62EE4"/>
    <w:rsid w:val="00A635C3"/>
    <w:rsid w:val="00A63807"/>
    <w:rsid w:val="00A63A6A"/>
    <w:rsid w:val="00A63A99"/>
    <w:rsid w:val="00A63AC7"/>
    <w:rsid w:val="00A63E49"/>
    <w:rsid w:val="00A63EC0"/>
    <w:rsid w:val="00A63F97"/>
    <w:rsid w:val="00A640B6"/>
    <w:rsid w:val="00A641A2"/>
    <w:rsid w:val="00A64231"/>
    <w:rsid w:val="00A64DEB"/>
    <w:rsid w:val="00A64E85"/>
    <w:rsid w:val="00A64FE5"/>
    <w:rsid w:val="00A65477"/>
    <w:rsid w:val="00A6550F"/>
    <w:rsid w:val="00A65699"/>
    <w:rsid w:val="00A657FD"/>
    <w:rsid w:val="00A65901"/>
    <w:rsid w:val="00A65CE9"/>
    <w:rsid w:val="00A65D0A"/>
    <w:rsid w:val="00A65E58"/>
    <w:rsid w:val="00A66129"/>
    <w:rsid w:val="00A66355"/>
    <w:rsid w:val="00A664B5"/>
    <w:rsid w:val="00A66726"/>
    <w:rsid w:val="00A66806"/>
    <w:rsid w:val="00A66902"/>
    <w:rsid w:val="00A66D92"/>
    <w:rsid w:val="00A671A8"/>
    <w:rsid w:val="00A6757D"/>
    <w:rsid w:val="00A67709"/>
    <w:rsid w:val="00A67775"/>
    <w:rsid w:val="00A67A61"/>
    <w:rsid w:val="00A67CDB"/>
    <w:rsid w:val="00A67CFF"/>
    <w:rsid w:val="00A67E15"/>
    <w:rsid w:val="00A67EC0"/>
    <w:rsid w:val="00A70518"/>
    <w:rsid w:val="00A7055C"/>
    <w:rsid w:val="00A70730"/>
    <w:rsid w:val="00A70931"/>
    <w:rsid w:val="00A70CA8"/>
    <w:rsid w:val="00A70D86"/>
    <w:rsid w:val="00A70F19"/>
    <w:rsid w:val="00A715E0"/>
    <w:rsid w:val="00A716E1"/>
    <w:rsid w:val="00A71DD9"/>
    <w:rsid w:val="00A723F6"/>
    <w:rsid w:val="00A72524"/>
    <w:rsid w:val="00A72A0B"/>
    <w:rsid w:val="00A72A1B"/>
    <w:rsid w:val="00A72DAB"/>
    <w:rsid w:val="00A7304F"/>
    <w:rsid w:val="00A73334"/>
    <w:rsid w:val="00A7353A"/>
    <w:rsid w:val="00A73A5D"/>
    <w:rsid w:val="00A73AF7"/>
    <w:rsid w:val="00A73D83"/>
    <w:rsid w:val="00A73DCA"/>
    <w:rsid w:val="00A74037"/>
    <w:rsid w:val="00A74354"/>
    <w:rsid w:val="00A74525"/>
    <w:rsid w:val="00A74B06"/>
    <w:rsid w:val="00A74B58"/>
    <w:rsid w:val="00A75139"/>
    <w:rsid w:val="00A7575A"/>
    <w:rsid w:val="00A75CFD"/>
    <w:rsid w:val="00A75F37"/>
    <w:rsid w:val="00A76132"/>
    <w:rsid w:val="00A76CF4"/>
    <w:rsid w:val="00A76D08"/>
    <w:rsid w:val="00A76DF4"/>
    <w:rsid w:val="00A76FBF"/>
    <w:rsid w:val="00A76FDB"/>
    <w:rsid w:val="00A7748F"/>
    <w:rsid w:val="00A775A3"/>
    <w:rsid w:val="00A777B5"/>
    <w:rsid w:val="00A77AE1"/>
    <w:rsid w:val="00A77DD5"/>
    <w:rsid w:val="00A77E3C"/>
    <w:rsid w:val="00A803C7"/>
    <w:rsid w:val="00A80A5C"/>
    <w:rsid w:val="00A80E5C"/>
    <w:rsid w:val="00A812C7"/>
    <w:rsid w:val="00A81354"/>
    <w:rsid w:val="00A8193C"/>
    <w:rsid w:val="00A81B9F"/>
    <w:rsid w:val="00A81BEB"/>
    <w:rsid w:val="00A81DBA"/>
    <w:rsid w:val="00A81F4C"/>
    <w:rsid w:val="00A82107"/>
    <w:rsid w:val="00A823E7"/>
    <w:rsid w:val="00A82437"/>
    <w:rsid w:val="00A82646"/>
    <w:rsid w:val="00A826B2"/>
    <w:rsid w:val="00A827B1"/>
    <w:rsid w:val="00A827BC"/>
    <w:rsid w:val="00A82871"/>
    <w:rsid w:val="00A82D0E"/>
    <w:rsid w:val="00A82D19"/>
    <w:rsid w:val="00A82E44"/>
    <w:rsid w:val="00A82E74"/>
    <w:rsid w:val="00A835BD"/>
    <w:rsid w:val="00A83806"/>
    <w:rsid w:val="00A83904"/>
    <w:rsid w:val="00A839A6"/>
    <w:rsid w:val="00A83A3A"/>
    <w:rsid w:val="00A83A4E"/>
    <w:rsid w:val="00A83C62"/>
    <w:rsid w:val="00A83D49"/>
    <w:rsid w:val="00A83E01"/>
    <w:rsid w:val="00A83FF0"/>
    <w:rsid w:val="00A84108"/>
    <w:rsid w:val="00A844E1"/>
    <w:rsid w:val="00A844F4"/>
    <w:rsid w:val="00A84763"/>
    <w:rsid w:val="00A84950"/>
    <w:rsid w:val="00A84C0B"/>
    <w:rsid w:val="00A84D50"/>
    <w:rsid w:val="00A84EE9"/>
    <w:rsid w:val="00A853A9"/>
    <w:rsid w:val="00A853E6"/>
    <w:rsid w:val="00A8568F"/>
    <w:rsid w:val="00A856DA"/>
    <w:rsid w:val="00A856F0"/>
    <w:rsid w:val="00A85921"/>
    <w:rsid w:val="00A85A2E"/>
    <w:rsid w:val="00A85D2A"/>
    <w:rsid w:val="00A862AB"/>
    <w:rsid w:val="00A863DA"/>
    <w:rsid w:val="00A8661F"/>
    <w:rsid w:val="00A866D1"/>
    <w:rsid w:val="00A86953"/>
    <w:rsid w:val="00A86B12"/>
    <w:rsid w:val="00A86B4F"/>
    <w:rsid w:val="00A86F40"/>
    <w:rsid w:val="00A8727A"/>
    <w:rsid w:val="00A877F2"/>
    <w:rsid w:val="00A87AC6"/>
    <w:rsid w:val="00A87E27"/>
    <w:rsid w:val="00A87EAC"/>
    <w:rsid w:val="00A87EDD"/>
    <w:rsid w:val="00A87F1E"/>
    <w:rsid w:val="00A90111"/>
    <w:rsid w:val="00A901BC"/>
    <w:rsid w:val="00A9024B"/>
    <w:rsid w:val="00A90371"/>
    <w:rsid w:val="00A903C8"/>
    <w:rsid w:val="00A90629"/>
    <w:rsid w:val="00A909E5"/>
    <w:rsid w:val="00A90A58"/>
    <w:rsid w:val="00A90CF2"/>
    <w:rsid w:val="00A90DDC"/>
    <w:rsid w:val="00A90F56"/>
    <w:rsid w:val="00A90F69"/>
    <w:rsid w:val="00A91102"/>
    <w:rsid w:val="00A91250"/>
    <w:rsid w:val="00A915E6"/>
    <w:rsid w:val="00A91974"/>
    <w:rsid w:val="00A91F0B"/>
    <w:rsid w:val="00A92065"/>
    <w:rsid w:val="00A92109"/>
    <w:rsid w:val="00A92410"/>
    <w:rsid w:val="00A92416"/>
    <w:rsid w:val="00A92615"/>
    <w:rsid w:val="00A927D4"/>
    <w:rsid w:val="00A9281A"/>
    <w:rsid w:val="00A9282B"/>
    <w:rsid w:val="00A92978"/>
    <w:rsid w:val="00A92DA2"/>
    <w:rsid w:val="00A92F87"/>
    <w:rsid w:val="00A931AE"/>
    <w:rsid w:val="00A9327C"/>
    <w:rsid w:val="00A9350C"/>
    <w:rsid w:val="00A9361A"/>
    <w:rsid w:val="00A93B02"/>
    <w:rsid w:val="00A93BAE"/>
    <w:rsid w:val="00A93BF9"/>
    <w:rsid w:val="00A93D50"/>
    <w:rsid w:val="00A93E4F"/>
    <w:rsid w:val="00A93ECA"/>
    <w:rsid w:val="00A93ED0"/>
    <w:rsid w:val="00A93EDA"/>
    <w:rsid w:val="00A94AA1"/>
    <w:rsid w:val="00A94D1F"/>
    <w:rsid w:val="00A95382"/>
    <w:rsid w:val="00A95571"/>
    <w:rsid w:val="00A961E7"/>
    <w:rsid w:val="00A962A1"/>
    <w:rsid w:val="00A96470"/>
    <w:rsid w:val="00A964BD"/>
    <w:rsid w:val="00A969B0"/>
    <w:rsid w:val="00A96B32"/>
    <w:rsid w:val="00A96E03"/>
    <w:rsid w:val="00A96E7B"/>
    <w:rsid w:val="00A96ED8"/>
    <w:rsid w:val="00A97809"/>
    <w:rsid w:val="00A97ADA"/>
    <w:rsid w:val="00A97CE1"/>
    <w:rsid w:val="00A97D63"/>
    <w:rsid w:val="00A97FF7"/>
    <w:rsid w:val="00AA0015"/>
    <w:rsid w:val="00AA0219"/>
    <w:rsid w:val="00AA02BB"/>
    <w:rsid w:val="00AA032F"/>
    <w:rsid w:val="00AA03F4"/>
    <w:rsid w:val="00AA04E2"/>
    <w:rsid w:val="00AA053A"/>
    <w:rsid w:val="00AA0686"/>
    <w:rsid w:val="00AA08E3"/>
    <w:rsid w:val="00AA09AC"/>
    <w:rsid w:val="00AA0B33"/>
    <w:rsid w:val="00AA0BA3"/>
    <w:rsid w:val="00AA0C33"/>
    <w:rsid w:val="00AA162A"/>
    <w:rsid w:val="00AA1829"/>
    <w:rsid w:val="00AA18AA"/>
    <w:rsid w:val="00AA1C4D"/>
    <w:rsid w:val="00AA1EDF"/>
    <w:rsid w:val="00AA1FC5"/>
    <w:rsid w:val="00AA2036"/>
    <w:rsid w:val="00AA20DB"/>
    <w:rsid w:val="00AA23B2"/>
    <w:rsid w:val="00AA2846"/>
    <w:rsid w:val="00AA2C10"/>
    <w:rsid w:val="00AA2C82"/>
    <w:rsid w:val="00AA3172"/>
    <w:rsid w:val="00AA3348"/>
    <w:rsid w:val="00AA34B7"/>
    <w:rsid w:val="00AA3951"/>
    <w:rsid w:val="00AA3D64"/>
    <w:rsid w:val="00AA4036"/>
    <w:rsid w:val="00AA480D"/>
    <w:rsid w:val="00AA4973"/>
    <w:rsid w:val="00AA4AFA"/>
    <w:rsid w:val="00AA4E25"/>
    <w:rsid w:val="00AA4E6D"/>
    <w:rsid w:val="00AA4FD0"/>
    <w:rsid w:val="00AA4FF6"/>
    <w:rsid w:val="00AA525D"/>
    <w:rsid w:val="00AA5813"/>
    <w:rsid w:val="00AA5856"/>
    <w:rsid w:val="00AA5B8D"/>
    <w:rsid w:val="00AA5D7A"/>
    <w:rsid w:val="00AA5DAA"/>
    <w:rsid w:val="00AA5F73"/>
    <w:rsid w:val="00AA63DD"/>
    <w:rsid w:val="00AA63E7"/>
    <w:rsid w:val="00AA6A6F"/>
    <w:rsid w:val="00AA6CC7"/>
    <w:rsid w:val="00AA757E"/>
    <w:rsid w:val="00AA7788"/>
    <w:rsid w:val="00AA77D2"/>
    <w:rsid w:val="00AA7B32"/>
    <w:rsid w:val="00AA7DA8"/>
    <w:rsid w:val="00AA7F85"/>
    <w:rsid w:val="00AB04F6"/>
    <w:rsid w:val="00AB0904"/>
    <w:rsid w:val="00AB0933"/>
    <w:rsid w:val="00AB0B0F"/>
    <w:rsid w:val="00AB0C03"/>
    <w:rsid w:val="00AB0D1A"/>
    <w:rsid w:val="00AB1AB5"/>
    <w:rsid w:val="00AB1BD5"/>
    <w:rsid w:val="00AB1BDA"/>
    <w:rsid w:val="00AB1CC7"/>
    <w:rsid w:val="00AB1D5F"/>
    <w:rsid w:val="00AB1E24"/>
    <w:rsid w:val="00AB1ED9"/>
    <w:rsid w:val="00AB1F29"/>
    <w:rsid w:val="00AB1F51"/>
    <w:rsid w:val="00AB1FE6"/>
    <w:rsid w:val="00AB225E"/>
    <w:rsid w:val="00AB232E"/>
    <w:rsid w:val="00AB25CE"/>
    <w:rsid w:val="00AB2AD9"/>
    <w:rsid w:val="00AB2C0C"/>
    <w:rsid w:val="00AB2C99"/>
    <w:rsid w:val="00AB2D58"/>
    <w:rsid w:val="00AB3075"/>
    <w:rsid w:val="00AB3344"/>
    <w:rsid w:val="00AB33F1"/>
    <w:rsid w:val="00AB3725"/>
    <w:rsid w:val="00AB3F42"/>
    <w:rsid w:val="00AB3FF8"/>
    <w:rsid w:val="00AB4492"/>
    <w:rsid w:val="00AB4679"/>
    <w:rsid w:val="00AB4694"/>
    <w:rsid w:val="00AB46C3"/>
    <w:rsid w:val="00AB48DE"/>
    <w:rsid w:val="00AB4A9A"/>
    <w:rsid w:val="00AB4D58"/>
    <w:rsid w:val="00AB4E25"/>
    <w:rsid w:val="00AB50A7"/>
    <w:rsid w:val="00AB5238"/>
    <w:rsid w:val="00AB5289"/>
    <w:rsid w:val="00AB552B"/>
    <w:rsid w:val="00AB5555"/>
    <w:rsid w:val="00AB564C"/>
    <w:rsid w:val="00AB5739"/>
    <w:rsid w:val="00AB5956"/>
    <w:rsid w:val="00AB59C6"/>
    <w:rsid w:val="00AB5C5D"/>
    <w:rsid w:val="00AB6118"/>
    <w:rsid w:val="00AB6542"/>
    <w:rsid w:val="00AB65DE"/>
    <w:rsid w:val="00AB69CA"/>
    <w:rsid w:val="00AB6B35"/>
    <w:rsid w:val="00AB6C73"/>
    <w:rsid w:val="00AB6D35"/>
    <w:rsid w:val="00AB6FFA"/>
    <w:rsid w:val="00AB7159"/>
    <w:rsid w:val="00AB77C3"/>
    <w:rsid w:val="00AB7C12"/>
    <w:rsid w:val="00AB7E41"/>
    <w:rsid w:val="00AB7EDC"/>
    <w:rsid w:val="00AC00E5"/>
    <w:rsid w:val="00AC0394"/>
    <w:rsid w:val="00AC0BDC"/>
    <w:rsid w:val="00AC0C7C"/>
    <w:rsid w:val="00AC0E50"/>
    <w:rsid w:val="00AC0EB3"/>
    <w:rsid w:val="00AC1161"/>
    <w:rsid w:val="00AC11BA"/>
    <w:rsid w:val="00AC143F"/>
    <w:rsid w:val="00AC1ADE"/>
    <w:rsid w:val="00AC1E45"/>
    <w:rsid w:val="00AC1E9B"/>
    <w:rsid w:val="00AC2081"/>
    <w:rsid w:val="00AC2099"/>
    <w:rsid w:val="00AC218A"/>
    <w:rsid w:val="00AC22A9"/>
    <w:rsid w:val="00AC25F4"/>
    <w:rsid w:val="00AC2611"/>
    <w:rsid w:val="00AC287E"/>
    <w:rsid w:val="00AC2902"/>
    <w:rsid w:val="00AC2C6D"/>
    <w:rsid w:val="00AC2E62"/>
    <w:rsid w:val="00AC2ED4"/>
    <w:rsid w:val="00AC347E"/>
    <w:rsid w:val="00AC359C"/>
    <w:rsid w:val="00AC365B"/>
    <w:rsid w:val="00AC37FC"/>
    <w:rsid w:val="00AC38B2"/>
    <w:rsid w:val="00AC3A2A"/>
    <w:rsid w:val="00AC419B"/>
    <w:rsid w:val="00AC423C"/>
    <w:rsid w:val="00AC424C"/>
    <w:rsid w:val="00AC4500"/>
    <w:rsid w:val="00AC45B0"/>
    <w:rsid w:val="00AC492E"/>
    <w:rsid w:val="00AC4A32"/>
    <w:rsid w:val="00AC4DE2"/>
    <w:rsid w:val="00AC4F14"/>
    <w:rsid w:val="00AC4FAF"/>
    <w:rsid w:val="00AC5181"/>
    <w:rsid w:val="00AC51ED"/>
    <w:rsid w:val="00AC5352"/>
    <w:rsid w:val="00AC5A02"/>
    <w:rsid w:val="00AC5A65"/>
    <w:rsid w:val="00AC5BEB"/>
    <w:rsid w:val="00AC5BF0"/>
    <w:rsid w:val="00AC5CC7"/>
    <w:rsid w:val="00AC5D50"/>
    <w:rsid w:val="00AC5E06"/>
    <w:rsid w:val="00AC5E0B"/>
    <w:rsid w:val="00AC5FF1"/>
    <w:rsid w:val="00AC6159"/>
    <w:rsid w:val="00AC6530"/>
    <w:rsid w:val="00AC6585"/>
    <w:rsid w:val="00AC6757"/>
    <w:rsid w:val="00AC6890"/>
    <w:rsid w:val="00AC6BBD"/>
    <w:rsid w:val="00AC6D2F"/>
    <w:rsid w:val="00AC705B"/>
    <w:rsid w:val="00AC7446"/>
    <w:rsid w:val="00AC76E1"/>
    <w:rsid w:val="00AC7844"/>
    <w:rsid w:val="00AC788A"/>
    <w:rsid w:val="00AC78B2"/>
    <w:rsid w:val="00AC78CB"/>
    <w:rsid w:val="00AC7EF8"/>
    <w:rsid w:val="00AD011A"/>
    <w:rsid w:val="00AD0294"/>
    <w:rsid w:val="00AD03AD"/>
    <w:rsid w:val="00AD0567"/>
    <w:rsid w:val="00AD0719"/>
    <w:rsid w:val="00AD09F4"/>
    <w:rsid w:val="00AD0EAF"/>
    <w:rsid w:val="00AD0FD0"/>
    <w:rsid w:val="00AD16F3"/>
    <w:rsid w:val="00AD17A0"/>
    <w:rsid w:val="00AD1836"/>
    <w:rsid w:val="00AD1AF8"/>
    <w:rsid w:val="00AD2336"/>
    <w:rsid w:val="00AD2356"/>
    <w:rsid w:val="00AD2358"/>
    <w:rsid w:val="00AD27E4"/>
    <w:rsid w:val="00AD2945"/>
    <w:rsid w:val="00AD29D4"/>
    <w:rsid w:val="00AD2BD2"/>
    <w:rsid w:val="00AD2BD5"/>
    <w:rsid w:val="00AD2E4F"/>
    <w:rsid w:val="00AD3064"/>
    <w:rsid w:val="00AD36C8"/>
    <w:rsid w:val="00AD36DC"/>
    <w:rsid w:val="00AD37C7"/>
    <w:rsid w:val="00AD3B74"/>
    <w:rsid w:val="00AD41AE"/>
    <w:rsid w:val="00AD41BA"/>
    <w:rsid w:val="00AD44AE"/>
    <w:rsid w:val="00AD44C5"/>
    <w:rsid w:val="00AD4B13"/>
    <w:rsid w:val="00AD4D2A"/>
    <w:rsid w:val="00AD4EDB"/>
    <w:rsid w:val="00AD508C"/>
    <w:rsid w:val="00AD5328"/>
    <w:rsid w:val="00AD5FD1"/>
    <w:rsid w:val="00AD632E"/>
    <w:rsid w:val="00AD635D"/>
    <w:rsid w:val="00AD63B9"/>
    <w:rsid w:val="00AD63BF"/>
    <w:rsid w:val="00AD66B7"/>
    <w:rsid w:val="00AD66D0"/>
    <w:rsid w:val="00AD6728"/>
    <w:rsid w:val="00AD6AB4"/>
    <w:rsid w:val="00AD6B52"/>
    <w:rsid w:val="00AD6CF8"/>
    <w:rsid w:val="00AD71A0"/>
    <w:rsid w:val="00AD720E"/>
    <w:rsid w:val="00AD7769"/>
    <w:rsid w:val="00AD7809"/>
    <w:rsid w:val="00AE046C"/>
    <w:rsid w:val="00AE04DC"/>
    <w:rsid w:val="00AE08B5"/>
    <w:rsid w:val="00AE0B21"/>
    <w:rsid w:val="00AE0B8F"/>
    <w:rsid w:val="00AE14D8"/>
    <w:rsid w:val="00AE15C3"/>
    <w:rsid w:val="00AE15F9"/>
    <w:rsid w:val="00AE1640"/>
    <w:rsid w:val="00AE1AB4"/>
    <w:rsid w:val="00AE1E1E"/>
    <w:rsid w:val="00AE1E46"/>
    <w:rsid w:val="00AE1EA8"/>
    <w:rsid w:val="00AE1FC3"/>
    <w:rsid w:val="00AE21E1"/>
    <w:rsid w:val="00AE2663"/>
    <w:rsid w:val="00AE2C63"/>
    <w:rsid w:val="00AE328B"/>
    <w:rsid w:val="00AE3750"/>
    <w:rsid w:val="00AE375F"/>
    <w:rsid w:val="00AE3D6B"/>
    <w:rsid w:val="00AE3DB6"/>
    <w:rsid w:val="00AE3FB6"/>
    <w:rsid w:val="00AE406A"/>
    <w:rsid w:val="00AE47CB"/>
    <w:rsid w:val="00AE4C9F"/>
    <w:rsid w:val="00AE50E5"/>
    <w:rsid w:val="00AE5771"/>
    <w:rsid w:val="00AE5820"/>
    <w:rsid w:val="00AE58C8"/>
    <w:rsid w:val="00AE5C81"/>
    <w:rsid w:val="00AE5CEE"/>
    <w:rsid w:val="00AE5DBB"/>
    <w:rsid w:val="00AE5F1F"/>
    <w:rsid w:val="00AE6394"/>
    <w:rsid w:val="00AE6411"/>
    <w:rsid w:val="00AE6467"/>
    <w:rsid w:val="00AE649D"/>
    <w:rsid w:val="00AE6AC3"/>
    <w:rsid w:val="00AE6B26"/>
    <w:rsid w:val="00AE6BF8"/>
    <w:rsid w:val="00AE6DA4"/>
    <w:rsid w:val="00AE7504"/>
    <w:rsid w:val="00AE7511"/>
    <w:rsid w:val="00AE753F"/>
    <w:rsid w:val="00AE759B"/>
    <w:rsid w:val="00AE77FB"/>
    <w:rsid w:val="00AE78A8"/>
    <w:rsid w:val="00AE7B10"/>
    <w:rsid w:val="00AE7B88"/>
    <w:rsid w:val="00AE7CD1"/>
    <w:rsid w:val="00AE7E00"/>
    <w:rsid w:val="00AF0011"/>
    <w:rsid w:val="00AF00CE"/>
    <w:rsid w:val="00AF01B3"/>
    <w:rsid w:val="00AF02A9"/>
    <w:rsid w:val="00AF0333"/>
    <w:rsid w:val="00AF063B"/>
    <w:rsid w:val="00AF0839"/>
    <w:rsid w:val="00AF08A9"/>
    <w:rsid w:val="00AF0B4E"/>
    <w:rsid w:val="00AF0C81"/>
    <w:rsid w:val="00AF0DA3"/>
    <w:rsid w:val="00AF0F97"/>
    <w:rsid w:val="00AF10C7"/>
    <w:rsid w:val="00AF13DE"/>
    <w:rsid w:val="00AF13F7"/>
    <w:rsid w:val="00AF16FE"/>
    <w:rsid w:val="00AF1AD1"/>
    <w:rsid w:val="00AF1C9F"/>
    <w:rsid w:val="00AF1D1C"/>
    <w:rsid w:val="00AF1D78"/>
    <w:rsid w:val="00AF1D8E"/>
    <w:rsid w:val="00AF2272"/>
    <w:rsid w:val="00AF22F7"/>
    <w:rsid w:val="00AF230F"/>
    <w:rsid w:val="00AF2351"/>
    <w:rsid w:val="00AF23A7"/>
    <w:rsid w:val="00AF2639"/>
    <w:rsid w:val="00AF264F"/>
    <w:rsid w:val="00AF2AF5"/>
    <w:rsid w:val="00AF2BEC"/>
    <w:rsid w:val="00AF2E90"/>
    <w:rsid w:val="00AF319F"/>
    <w:rsid w:val="00AF33E6"/>
    <w:rsid w:val="00AF452F"/>
    <w:rsid w:val="00AF4B86"/>
    <w:rsid w:val="00AF4D36"/>
    <w:rsid w:val="00AF4D45"/>
    <w:rsid w:val="00AF5172"/>
    <w:rsid w:val="00AF526F"/>
    <w:rsid w:val="00AF5458"/>
    <w:rsid w:val="00AF59F1"/>
    <w:rsid w:val="00AF5D01"/>
    <w:rsid w:val="00AF5ECC"/>
    <w:rsid w:val="00AF5F22"/>
    <w:rsid w:val="00AF610C"/>
    <w:rsid w:val="00AF6709"/>
    <w:rsid w:val="00AF680C"/>
    <w:rsid w:val="00AF6FC7"/>
    <w:rsid w:val="00AF721D"/>
    <w:rsid w:val="00AF73B4"/>
    <w:rsid w:val="00AF7BEA"/>
    <w:rsid w:val="00AF7D61"/>
    <w:rsid w:val="00B0014C"/>
    <w:rsid w:val="00B003E4"/>
    <w:rsid w:val="00B0077C"/>
    <w:rsid w:val="00B008B6"/>
    <w:rsid w:val="00B009F6"/>
    <w:rsid w:val="00B00A6F"/>
    <w:rsid w:val="00B014CB"/>
    <w:rsid w:val="00B016AE"/>
    <w:rsid w:val="00B01716"/>
    <w:rsid w:val="00B01916"/>
    <w:rsid w:val="00B0199F"/>
    <w:rsid w:val="00B01C84"/>
    <w:rsid w:val="00B020E6"/>
    <w:rsid w:val="00B02215"/>
    <w:rsid w:val="00B02280"/>
    <w:rsid w:val="00B02331"/>
    <w:rsid w:val="00B02AD8"/>
    <w:rsid w:val="00B02B33"/>
    <w:rsid w:val="00B02B96"/>
    <w:rsid w:val="00B02EB5"/>
    <w:rsid w:val="00B0331D"/>
    <w:rsid w:val="00B03437"/>
    <w:rsid w:val="00B034CE"/>
    <w:rsid w:val="00B03840"/>
    <w:rsid w:val="00B03973"/>
    <w:rsid w:val="00B03975"/>
    <w:rsid w:val="00B03B76"/>
    <w:rsid w:val="00B03BFC"/>
    <w:rsid w:val="00B04414"/>
    <w:rsid w:val="00B045D8"/>
    <w:rsid w:val="00B04664"/>
    <w:rsid w:val="00B04FED"/>
    <w:rsid w:val="00B050C6"/>
    <w:rsid w:val="00B050DE"/>
    <w:rsid w:val="00B05179"/>
    <w:rsid w:val="00B05392"/>
    <w:rsid w:val="00B05892"/>
    <w:rsid w:val="00B05BDC"/>
    <w:rsid w:val="00B05D3D"/>
    <w:rsid w:val="00B06310"/>
    <w:rsid w:val="00B06330"/>
    <w:rsid w:val="00B06482"/>
    <w:rsid w:val="00B0653C"/>
    <w:rsid w:val="00B065C5"/>
    <w:rsid w:val="00B06C95"/>
    <w:rsid w:val="00B06F55"/>
    <w:rsid w:val="00B0714A"/>
    <w:rsid w:val="00B07273"/>
    <w:rsid w:val="00B0745A"/>
    <w:rsid w:val="00B07567"/>
    <w:rsid w:val="00B07833"/>
    <w:rsid w:val="00B07BF0"/>
    <w:rsid w:val="00B10347"/>
    <w:rsid w:val="00B1064E"/>
    <w:rsid w:val="00B10810"/>
    <w:rsid w:val="00B10A58"/>
    <w:rsid w:val="00B10AD8"/>
    <w:rsid w:val="00B10C20"/>
    <w:rsid w:val="00B10CF8"/>
    <w:rsid w:val="00B10E28"/>
    <w:rsid w:val="00B1106A"/>
    <w:rsid w:val="00B114B3"/>
    <w:rsid w:val="00B1188E"/>
    <w:rsid w:val="00B11D5E"/>
    <w:rsid w:val="00B11DA2"/>
    <w:rsid w:val="00B11F4E"/>
    <w:rsid w:val="00B121E3"/>
    <w:rsid w:val="00B1234C"/>
    <w:rsid w:val="00B1237F"/>
    <w:rsid w:val="00B123F9"/>
    <w:rsid w:val="00B1264A"/>
    <w:rsid w:val="00B1269A"/>
    <w:rsid w:val="00B126D4"/>
    <w:rsid w:val="00B12833"/>
    <w:rsid w:val="00B12AF4"/>
    <w:rsid w:val="00B12CF0"/>
    <w:rsid w:val="00B13249"/>
    <w:rsid w:val="00B1348D"/>
    <w:rsid w:val="00B13493"/>
    <w:rsid w:val="00B13584"/>
    <w:rsid w:val="00B137A3"/>
    <w:rsid w:val="00B1388D"/>
    <w:rsid w:val="00B138B6"/>
    <w:rsid w:val="00B1394C"/>
    <w:rsid w:val="00B139A4"/>
    <w:rsid w:val="00B13A03"/>
    <w:rsid w:val="00B13A17"/>
    <w:rsid w:val="00B13DA8"/>
    <w:rsid w:val="00B143F9"/>
    <w:rsid w:val="00B14554"/>
    <w:rsid w:val="00B14D63"/>
    <w:rsid w:val="00B14DE3"/>
    <w:rsid w:val="00B14EE9"/>
    <w:rsid w:val="00B14FC8"/>
    <w:rsid w:val="00B15484"/>
    <w:rsid w:val="00B157A2"/>
    <w:rsid w:val="00B158EF"/>
    <w:rsid w:val="00B1594C"/>
    <w:rsid w:val="00B15C2F"/>
    <w:rsid w:val="00B15EEF"/>
    <w:rsid w:val="00B16496"/>
    <w:rsid w:val="00B164C0"/>
    <w:rsid w:val="00B166E0"/>
    <w:rsid w:val="00B168FB"/>
    <w:rsid w:val="00B169C6"/>
    <w:rsid w:val="00B169FD"/>
    <w:rsid w:val="00B16CCF"/>
    <w:rsid w:val="00B16D6E"/>
    <w:rsid w:val="00B16E76"/>
    <w:rsid w:val="00B16E8C"/>
    <w:rsid w:val="00B16F2B"/>
    <w:rsid w:val="00B1755E"/>
    <w:rsid w:val="00B17A55"/>
    <w:rsid w:val="00B17C79"/>
    <w:rsid w:val="00B20266"/>
    <w:rsid w:val="00B203DC"/>
    <w:rsid w:val="00B20889"/>
    <w:rsid w:val="00B20892"/>
    <w:rsid w:val="00B209E9"/>
    <w:rsid w:val="00B20B12"/>
    <w:rsid w:val="00B20BE6"/>
    <w:rsid w:val="00B20D87"/>
    <w:rsid w:val="00B20E86"/>
    <w:rsid w:val="00B21184"/>
    <w:rsid w:val="00B21342"/>
    <w:rsid w:val="00B215C3"/>
    <w:rsid w:val="00B2176A"/>
    <w:rsid w:val="00B21C5D"/>
    <w:rsid w:val="00B21E14"/>
    <w:rsid w:val="00B21EE3"/>
    <w:rsid w:val="00B21F00"/>
    <w:rsid w:val="00B21F39"/>
    <w:rsid w:val="00B22176"/>
    <w:rsid w:val="00B22376"/>
    <w:rsid w:val="00B22398"/>
    <w:rsid w:val="00B223CD"/>
    <w:rsid w:val="00B228D9"/>
    <w:rsid w:val="00B22A09"/>
    <w:rsid w:val="00B22A37"/>
    <w:rsid w:val="00B22BCC"/>
    <w:rsid w:val="00B22CFA"/>
    <w:rsid w:val="00B22FBF"/>
    <w:rsid w:val="00B230A5"/>
    <w:rsid w:val="00B2341E"/>
    <w:rsid w:val="00B235ED"/>
    <w:rsid w:val="00B236F3"/>
    <w:rsid w:val="00B23741"/>
    <w:rsid w:val="00B23971"/>
    <w:rsid w:val="00B23D1E"/>
    <w:rsid w:val="00B243E9"/>
    <w:rsid w:val="00B24A65"/>
    <w:rsid w:val="00B24BE9"/>
    <w:rsid w:val="00B25201"/>
    <w:rsid w:val="00B253C4"/>
    <w:rsid w:val="00B253D5"/>
    <w:rsid w:val="00B25481"/>
    <w:rsid w:val="00B256F1"/>
    <w:rsid w:val="00B25797"/>
    <w:rsid w:val="00B257D3"/>
    <w:rsid w:val="00B25968"/>
    <w:rsid w:val="00B259CB"/>
    <w:rsid w:val="00B259DC"/>
    <w:rsid w:val="00B25BBB"/>
    <w:rsid w:val="00B25C08"/>
    <w:rsid w:val="00B25C56"/>
    <w:rsid w:val="00B25C9F"/>
    <w:rsid w:val="00B2640A"/>
    <w:rsid w:val="00B264A9"/>
    <w:rsid w:val="00B26604"/>
    <w:rsid w:val="00B2695E"/>
    <w:rsid w:val="00B26A08"/>
    <w:rsid w:val="00B26AB7"/>
    <w:rsid w:val="00B26B00"/>
    <w:rsid w:val="00B26D36"/>
    <w:rsid w:val="00B26F36"/>
    <w:rsid w:val="00B275A7"/>
    <w:rsid w:val="00B27AB7"/>
    <w:rsid w:val="00B30266"/>
    <w:rsid w:val="00B304CE"/>
    <w:rsid w:val="00B3067F"/>
    <w:rsid w:val="00B308FE"/>
    <w:rsid w:val="00B30CED"/>
    <w:rsid w:val="00B30FBD"/>
    <w:rsid w:val="00B3146D"/>
    <w:rsid w:val="00B31859"/>
    <w:rsid w:val="00B31875"/>
    <w:rsid w:val="00B31925"/>
    <w:rsid w:val="00B3194C"/>
    <w:rsid w:val="00B31ADE"/>
    <w:rsid w:val="00B32031"/>
    <w:rsid w:val="00B3209B"/>
    <w:rsid w:val="00B32234"/>
    <w:rsid w:val="00B32532"/>
    <w:rsid w:val="00B325B3"/>
    <w:rsid w:val="00B329D4"/>
    <w:rsid w:val="00B32D1C"/>
    <w:rsid w:val="00B32EC1"/>
    <w:rsid w:val="00B33231"/>
    <w:rsid w:val="00B33252"/>
    <w:rsid w:val="00B332C2"/>
    <w:rsid w:val="00B3353C"/>
    <w:rsid w:val="00B33FE5"/>
    <w:rsid w:val="00B341A2"/>
    <w:rsid w:val="00B3466D"/>
    <w:rsid w:val="00B34899"/>
    <w:rsid w:val="00B3492E"/>
    <w:rsid w:val="00B3494B"/>
    <w:rsid w:val="00B35156"/>
    <w:rsid w:val="00B3536D"/>
    <w:rsid w:val="00B3556C"/>
    <w:rsid w:val="00B35802"/>
    <w:rsid w:val="00B35A1F"/>
    <w:rsid w:val="00B35A61"/>
    <w:rsid w:val="00B35A63"/>
    <w:rsid w:val="00B35C59"/>
    <w:rsid w:val="00B35EF4"/>
    <w:rsid w:val="00B36120"/>
    <w:rsid w:val="00B36164"/>
    <w:rsid w:val="00B361A6"/>
    <w:rsid w:val="00B363FC"/>
    <w:rsid w:val="00B36448"/>
    <w:rsid w:val="00B36680"/>
    <w:rsid w:val="00B36CE6"/>
    <w:rsid w:val="00B36F88"/>
    <w:rsid w:val="00B3731E"/>
    <w:rsid w:val="00B37351"/>
    <w:rsid w:val="00B374B4"/>
    <w:rsid w:val="00B379BD"/>
    <w:rsid w:val="00B37A2F"/>
    <w:rsid w:val="00B37A47"/>
    <w:rsid w:val="00B37C31"/>
    <w:rsid w:val="00B37D74"/>
    <w:rsid w:val="00B37EA3"/>
    <w:rsid w:val="00B400B9"/>
    <w:rsid w:val="00B403CF"/>
    <w:rsid w:val="00B4057A"/>
    <w:rsid w:val="00B406D8"/>
    <w:rsid w:val="00B4073A"/>
    <w:rsid w:val="00B40D6C"/>
    <w:rsid w:val="00B40E52"/>
    <w:rsid w:val="00B41171"/>
    <w:rsid w:val="00B4136F"/>
    <w:rsid w:val="00B41558"/>
    <w:rsid w:val="00B41673"/>
    <w:rsid w:val="00B417AB"/>
    <w:rsid w:val="00B41BCC"/>
    <w:rsid w:val="00B41C29"/>
    <w:rsid w:val="00B42044"/>
    <w:rsid w:val="00B4230C"/>
    <w:rsid w:val="00B42388"/>
    <w:rsid w:val="00B423D2"/>
    <w:rsid w:val="00B425F9"/>
    <w:rsid w:val="00B42AE3"/>
    <w:rsid w:val="00B42B2D"/>
    <w:rsid w:val="00B42D56"/>
    <w:rsid w:val="00B43053"/>
    <w:rsid w:val="00B43344"/>
    <w:rsid w:val="00B43379"/>
    <w:rsid w:val="00B43584"/>
    <w:rsid w:val="00B43684"/>
    <w:rsid w:val="00B43802"/>
    <w:rsid w:val="00B43870"/>
    <w:rsid w:val="00B4394D"/>
    <w:rsid w:val="00B43BC9"/>
    <w:rsid w:val="00B43C11"/>
    <w:rsid w:val="00B43DC1"/>
    <w:rsid w:val="00B443EE"/>
    <w:rsid w:val="00B445B3"/>
    <w:rsid w:val="00B44669"/>
    <w:rsid w:val="00B44D1B"/>
    <w:rsid w:val="00B44FE0"/>
    <w:rsid w:val="00B454EF"/>
    <w:rsid w:val="00B4584D"/>
    <w:rsid w:val="00B45A50"/>
    <w:rsid w:val="00B45A90"/>
    <w:rsid w:val="00B45F0D"/>
    <w:rsid w:val="00B45F87"/>
    <w:rsid w:val="00B4641F"/>
    <w:rsid w:val="00B46421"/>
    <w:rsid w:val="00B4675C"/>
    <w:rsid w:val="00B468F3"/>
    <w:rsid w:val="00B46FDC"/>
    <w:rsid w:val="00B47362"/>
    <w:rsid w:val="00B473A4"/>
    <w:rsid w:val="00B474BA"/>
    <w:rsid w:val="00B477B0"/>
    <w:rsid w:val="00B478D8"/>
    <w:rsid w:val="00B479B0"/>
    <w:rsid w:val="00B47B53"/>
    <w:rsid w:val="00B47B99"/>
    <w:rsid w:val="00B47CB3"/>
    <w:rsid w:val="00B5035F"/>
    <w:rsid w:val="00B503B7"/>
    <w:rsid w:val="00B506E6"/>
    <w:rsid w:val="00B50A43"/>
    <w:rsid w:val="00B50DF0"/>
    <w:rsid w:val="00B50EC5"/>
    <w:rsid w:val="00B50FE8"/>
    <w:rsid w:val="00B51094"/>
    <w:rsid w:val="00B516A4"/>
    <w:rsid w:val="00B51A48"/>
    <w:rsid w:val="00B51E58"/>
    <w:rsid w:val="00B52470"/>
    <w:rsid w:val="00B524CE"/>
    <w:rsid w:val="00B52B6E"/>
    <w:rsid w:val="00B52F5B"/>
    <w:rsid w:val="00B53160"/>
    <w:rsid w:val="00B53314"/>
    <w:rsid w:val="00B533B2"/>
    <w:rsid w:val="00B53476"/>
    <w:rsid w:val="00B5352C"/>
    <w:rsid w:val="00B538D8"/>
    <w:rsid w:val="00B53AF9"/>
    <w:rsid w:val="00B53F15"/>
    <w:rsid w:val="00B54023"/>
    <w:rsid w:val="00B54094"/>
    <w:rsid w:val="00B54278"/>
    <w:rsid w:val="00B54299"/>
    <w:rsid w:val="00B54512"/>
    <w:rsid w:val="00B545E5"/>
    <w:rsid w:val="00B545EC"/>
    <w:rsid w:val="00B5500F"/>
    <w:rsid w:val="00B55239"/>
    <w:rsid w:val="00B5536A"/>
    <w:rsid w:val="00B554E5"/>
    <w:rsid w:val="00B55601"/>
    <w:rsid w:val="00B55942"/>
    <w:rsid w:val="00B55B05"/>
    <w:rsid w:val="00B55E3F"/>
    <w:rsid w:val="00B55E67"/>
    <w:rsid w:val="00B56020"/>
    <w:rsid w:val="00B56087"/>
    <w:rsid w:val="00B56177"/>
    <w:rsid w:val="00B561C0"/>
    <w:rsid w:val="00B5655C"/>
    <w:rsid w:val="00B56AAA"/>
    <w:rsid w:val="00B56BD0"/>
    <w:rsid w:val="00B56DED"/>
    <w:rsid w:val="00B56EFC"/>
    <w:rsid w:val="00B56F48"/>
    <w:rsid w:val="00B572BD"/>
    <w:rsid w:val="00B572D7"/>
    <w:rsid w:val="00B575C3"/>
    <w:rsid w:val="00B57624"/>
    <w:rsid w:val="00B57829"/>
    <w:rsid w:val="00B57855"/>
    <w:rsid w:val="00B57B47"/>
    <w:rsid w:val="00B57C74"/>
    <w:rsid w:val="00B60023"/>
    <w:rsid w:val="00B60055"/>
    <w:rsid w:val="00B600E4"/>
    <w:rsid w:val="00B6043D"/>
    <w:rsid w:val="00B604E6"/>
    <w:rsid w:val="00B605BA"/>
    <w:rsid w:val="00B6080C"/>
    <w:rsid w:val="00B60CAC"/>
    <w:rsid w:val="00B60E86"/>
    <w:rsid w:val="00B60F40"/>
    <w:rsid w:val="00B60FB2"/>
    <w:rsid w:val="00B6111B"/>
    <w:rsid w:val="00B611FC"/>
    <w:rsid w:val="00B613E5"/>
    <w:rsid w:val="00B613F4"/>
    <w:rsid w:val="00B614DF"/>
    <w:rsid w:val="00B6187A"/>
    <w:rsid w:val="00B61996"/>
    <w:rsid w:val="00B61E4A"/>
    <w:rsid w:val="00B6222F"/>
    <w:rsid w:val="00B62561"/>
    <w:rsid w:val="00B62663"/>
    <w:rsid w:val="00B62AAE"/>
    <w:rsid w:val="00B62CDF"/>
    <w:rsid w:val="00B62E99"/>
    <w:rsid w:val="00B630B9"/>
    <w:rsid w:val="00B63130"/>
    <w:rsid w:val="00B6338D"/>
    <w:rsid w:val="00B63443"/>
    <w:rsid w:val="00B63A9B"/>
    <w:rsid w:val="00B63B91"/>
    <w:rsid w:val="00B6450F"/>
    <w:rsid w:val="00B6472A"/>
    <w:rsid w:val="00B64A35"/>
    <w:rsid w:val="00B64CA4"/>
    <w:rsid w:val="00B6516E"/>
    <w:rsid w:val="00B6537D"/>
    <w:rsid w:val="00B65484"/>
    <w:rsid w:val="00B656EB"/>
    <w:rsid w:val="00B65884"/>
    <w:rsid w:val="00B658D9"/>
    <w:rsid w:val="00B658E2"/>
    <w:rsid w:val="00B65BA6"/>
    <w:rsid w:val="00B65E85"/>
    <w:rsid w:val="00B6631E"/>
    <w:rsid w:val="00B664F1"/>
    <w:rsid w:val="00B665B5"/>
    <w:rsid w:val="00B668C1"/>
    <w:rsid w:val="00B66A85"/>
    <w:rsid w:val="00B66ABF"/>
    <w:rsid w:val="00B66CCD"/>
    <w:rsid w:val="00B66CF2"/>
    <w:rsid w:val="00B6716B"/>
    <w:rsid w:val="00B67232"/>
    <w:rsid w:val="00B673F1"/>
    <w:rsid w:val="00B67549"/>
    <w:rsid w:val="00B675EC"/>
    <w:rsid w:val="00B6778C"/>
    <w:rsid w:val="00B67B30"/>
    <w:rsid w:val="00B67C0B"/>
    <w:rsid w:val="00B67C16"/>
    <w:rsid w:val="00B67DC0"/>
    <w:rsid w:val="00B7030D"/>
    <w:rsid w:val="00B706BD"/>
    <w:rsid w:val="00B708BF"/>
    <w:rsid w:val="00B708EB"/>
    <w:rsid w:val="00B70B69"/>
    <w:rsid w:val="00B70E10"/>
    <w:rsid w:val="00B70FE1"/>
    <w:rsid w:val="00B71707"/>
    <w:rsid w:val="00B71A25"/>
    <w:rsid w:val="00B71B32"/>
    <w:rsid w:val="00B71B3F"/>
    <w:rsid w:val="00B71C87"/>
    <w:rsid w:val="00B71CA7"/>
    <w:rsid w:val="00B72253"/>
    <w:rsid w:val="00B7236A"/>
    <w:rsid w:val="00B72866"/>
    <w:rsid w:val="00B72F41"/>
    <w:rsid w:val="00B734C9"/>
    <w:rsid w:val="00B73B1F"/>
    <w:rsid w:val="00B73C49"/>
    <w:rsid w:val="00B73D75"/>
    <w:rsid w:val="00B73E2B"/>
    <w:rsid w:val="00B73EB8"/>
    <w:rsid w:val="00B73FE9"/>
    <w:rsid w:val="00B74041"/>
    <w:rsid w:val="00B7438C"/>
    <w:rsid w:val="00B743F9"/>
    <w:rsid w:val="00B74F63"/>
    <w:rsid w:val="00B75092"/>
    <w:rsid w:val="00B750B7"/>
    <w:rsid w:val="00B75691"/>
    <w:rsid w:val="00B75B4F"/>
    <w:rsid w:val="00B75C42"/>
    <w:rsid w:val="00B75F1C"/>
    <w:rsid w:val="00B7621D"/>
    <w:rsid w:val="00B7642F"/>
    <w:rsid w:val="00B7691D"/>
    <w:rsid w:val="00B76999"/>
    <w:rsid w:val="00B775CD"/>
    <w:rsid w:val="00B7775B"/>
    <w:rsid w:val="00B77902"/>
    <w:rsid w:val="00B77C9D"/>
    <w:rsid w:val="00B77D56"/>
    <w:rsid w:val="00B77F4E"/>
    <w:rsid w:val="00B80459"/>
    <w:rsid w:val="00B804F3"/>
    <w:rsid w:val="00B806BA"/>
    <w:rsid w:val="00B806C7"/>
    <w:rsid w:val="00B80734"/>
    <w:rsid w:val="00B8095A"/>
    <w:rsid w:val="00B80BFC"/>
    <w:rsid w:val="00B80C9D"/>
    <w:rsid w:val="00B810BD"/>
    <w:rsid w:val="00B815B1"/>
    <w:rsid w:val="00B815DB"/>
    <w:rsid w:val="00B81644"/>
    <w:rsid w:val="00B816A2"/>
    <w:rsid w:val="00B816C1"/>
    <w:rsid w:val="00B81CD8"/>
    <w:rsid w:val="00B81FDB"/>
    <w:rsid w:val="00B82381"/>
    <w:rsid w:val="00B823C1"/>
    <w:rsid w:val="00B823D1"/>
    <w:rsid w:val="00B8240F"/>
    <w:rsid w:val="00B824FE"/>
    <w:rsid w:val="00B8279E"/>
    <w:rsid w:val="00B82816"/>
    <w:rsid w:val="00B8285E"/>
    <w:rsid w:val="00B82985"/>
    <w:rsid w:val="00B82BC2"/>
    <w:rsid w:val="00B82E57"/>
    <w:rsid w:val="00B82E75"/>
    <w:rsid w:val="00B8303A"/>
    <w:rsid w:val="00B83681"/>
    <w:rsid w:val="00B83944"/>
    <w:rsid w:val="00B839D0"/>
    <w:rsid w:val="00B839E1"/>
    <w:rsid w:val="00B840CD"/>
    <w:rsid w:val="00B8438E"/>
    <w:rsid w:val="00B84414"/>
    <w:rsid w:val="00B84731"/>
    <w:rsid w:val="00B8477B"/>
    <w:rsid w:val="00B8496C"/>
    <w:rsid w:val="00B854FE"/>
    <w:rsid w:val="00B855BE"/>
    <w:rsid w:val="00B857B0"/>
    <w:rsid w:val="00B85975"/>
    <w:rsid w:val="00B85AE0"/>
    <w:rsid w:val="00B85D23"/>
    <w:rsid w:val="00B85FAF"/>
    <w:rsid w:val="00B861A6"/>
    <w:rsid w:val="00B863E3"/>
    <w:rsid w:val="00B86462"/>
    <w:rsid w:val="00B8678C"/>
    <w:rsid w:val="00B86A22"/>
    <w:rsid w:val="00B86CD6"/>
    <w:rsid w:val="00B87156"/>
    <w:rsid w:val="00B87177"/>
    <w:rsid w:val="00B8728A"/>
    <w:rsid w:val="00B872B2"/>
    <w:rsid w:val="00B87889"/>
    <w:rsid w:val="00B879B4"/>
    <w:rsid w:val="00B87ADC"/>
    <w:rsid w:val="00B87BC5"/>
    <w:rsid w:val="00B87D32"/>
    <w:rsid w:val="00B87E65"/>
    <w:rsid w:val="00B87EE7"/>
    <w:rsid w:val="00B901F3"/>
    <w:rsid w:val="00B90320"/>
    <w:rsid w:val="00B90462"/>
    <w:rsid w:val="00B90606"/>
    <w:rsid w:val="00B90943"/>
    <w:rsid w:val="00B90A0B"/>
    <w:rsid w:val="00B90F34"/>
    <w:rsid w:val="00B90FDD"/>
    <w:rsid w:val="00B910D6"/>
    <w:rsid w:val="00B912CB"/>
    <w:rsid w:val="00B9186A"/>
    <w:rsid w:val="00B91A68"/>
    <w:rsid w:val="00B91D09"/>
    <w:rsid w:val="00B91F0B"/>
    <w:rsid w:val="00B92039"/>
    <w:rsid w:val="00B92241"/>
    <w:rsid w:val="00B926EF"/>
    <w:rsid w:val="00B927B6"/>
    <w:rsid w:val="00B92883"/>
    <w:rsid w:val="00B92C68"/>
    <w:rsid w:val="00B92D26"/>
    <w:rsid w:val="00B93345"/>
    <w:rsid w:val="00B933AF"/>
    <w:rsid w:val="00B934FE"/>
    <w:rsid w:val="00B93590"/>
    <w:rsid w:val="00B93858"/>
    <w:rsid w:val="00B93972"/>
    <w:rsid w:val="00B93F45"/>
    <w:rsid w:val="00B944D3"/>
    <w:rsid w:val="00B9479E"/>
    <w:rsid w:val="00B94D8D"/>
    <w:rsid w:val="00B9510F"/>
    <w:rsid w:val="00B95184"/>
    <w:rsid w:val="00B95726"/>
    <w:rsid w:val="00B95845"/>
    <w:rsid w:val="00B95859"/>
    <w:rsid w:val="00B95B77"/>
    <w:rsid w:val="00B95B7E"/>
    <w:rsid w:val="00B95BBF"/>
    <w:rsid w:val="00B95C79"/>
    <w:rsid w:val="00B95E0D"/>
    <w:rsid w:val="00B96090"/>
    <w:rsid w:val="00B96341"/>
    <w:rsid w:val="00B96553"/>
    <w:rsid w:val="00B966B0"/>
    <w:rsid w:val="00B96806"/>
    <w:rsid w:val="00B96A33"/>
    <w:rsid w:val="00B96AB0"/>
    <w:rsid w:val="00B96B7F"/>
    <w:rsid w:val="00B96BFA"/>
    <w:rsid w:val="00B96EA3"/>
    <w:rsid w:val="00B9718F"/>
    <w:rsid w:val="00B9723A"/>
    <w:rsid w:val="00B97423"/>
    <w:rsid w:val="00B9766C"/>
    <w:rsid w:val="00B97714"/>
    <w:rsid w:val="00B977E8"/>
    <w:rsid w:val="00B977F6"/>
    <w:rsid w:val="00B978AB"/>
    <w:rsid w:val="00B97D44"/>
    <w:rsid w:val="00BA001F"/>
    <w:rsid w:val="00BA0106"/>
    <w:rsid w:val="00BA01D8"/>
    <w:rsid w:val="00BA04C4"/>
    <w:rsid w:val="00BA0522"/>
    <w:rsid w:val="00BA05CC"/>
    <w:rsid w:val="00BA061D"/>
    <w:rsid w:val="00BA09F9"/>
    <w:rsid w:val="00BA0B9E"/>
    <w:rsid w:val="00BA0CB9"/>
    <w:rsid w:val="00BA100D"/>
    <w:rsid w:val="00BA1053"/>
    <w:rsid w:val="00BA1375"/>
    <w:rsid w:val="00BA13F1"/>
    <w:rsid w:val="00BA1ABC"/>
    <w:rsid w:val="00BA1F4E"/>
    <w:rsid w:val="00BA22F1"/>
    <w:rsid w:val="00BA2410"/>
    <w:rsid w:val="00BA25C2"/>
    <w:rsid w:val="00BA3007"/>
    <w:rsid w:val="00BA30DF"/>
    <w:rsid w:val="00BA311E"/>
    <w:rsid w:val="00BA3322"/>
    <w:rsid w:val="00BA3555"/>
    <w:rsid w:val="00BA35ED"/>
    <w:rsid w:val="00BA39C1"/>
    <w:rsid w:val="00BA3A26"/>
    <w:rsid w:val="00BA3AB3"/>
    <w:rsid w:val="00BA3D1F"/>
    <w:rsid w:val="00BA3F5D"/>
    <w:rsid w:val="00BA403D"/>
    <w:rsid w:val="00BA4432"/>
    <w:rsid w:val="00BA4475"/>
    <w:rsid w:val="00BA454B"/>
    <w:rsid w:val="00BA4590"/>
    <w:rsid w:val="00BA49F1"/>
    <w:rsid w:val="00BA4A29"/>
    <w:rsid w:val="00BA4B13"/>
    <w:rsid w:val="00BA54CA"/>
    <w:rsid w:val="00BA54D4"/>
    <w:rsid w:val="00BA59F4"/>
    <w:rsid w:val="00BA5C3F"/>
    <w:rsid w:val="00BA62FD"/>
    <w:rsid w:val="00BA641C"/>
    <w:rsid w:val="00BA6592"/>
    <w:rsid w:val="00BA692E"/>
    <w:rsid w:val="00BA6B5F"/>
    <w:rsid w:val="00BA6D5F"/>
    <w:rsid w:val="00BA7513"/>
    <w:rsid w:val="00BA7570"/>
    <w:rsid w:val="00BA7926"/>
    <w:rsid w:val="00BA793D"/>
    <w:rsid w:val="00BA79A0"/>
    <w:rsid w:val="00BA7C69"/>
    <w:rsid w:val="00BB0024"/>
    <w:rsid w:val="00BB009C"/>
    <w:rsid w:val="00BB06AD"/>
    <w:rsid w:val="00BB0CAD"/>
    <w:rsid w:val="00BB0F06"/>
    <w:rsid w:val="00BB0FD3"/>
    <w:rsid w:val="00BB1020"/>
    <w:rsid w:val="00BB10A7"/>
    <w:rsid w:val="00BB1335"/>
    <w:rsid w:val="00BB1395"/>
    <w:rsid w:val="00BB141A"/>
    <w:rsid w:val="00BB17B7"/>
    <w:rsid w:val="00BB180B"/>
    <w:rsid w:val="00BB18E2"/>
    <w:rsid w:val="00BB1B87"/>
    <w:rsid w:val="00BB1ED2"/>
    <w:rsid w:val="00BB229F"/>
    <w:rsid w:val="00BB2602"/>
    <w:rsid w:val="00BB267E"/>
    <w:rsid w:val="00BB2B78"/>
    <w:rsid w:val="00BB2F45"/>
    <w:rsid w:val="00BB3142"/>
    <w:rsid w:val="00BB3180"/>
    <w:rsid w:val="00BB3228"/>
    <w:rsid w:val="00BB34AA"/>
    <w:rsid w:val="00BB3606"/>
    <w:rsid w:val="00BB37A1"/>
    <w:rsid w:val="00BB38A5"/>
    <w:rsid w:val="00BB3955"/>
    <w:rsid w:val="00BB398A"/>
    <w:rsid w:val="00BB3E2E"/>
    <w:rsid w:val="00BB4149"/>
    <w:rsid w:val="00BB41B9"/>
    <w:rsid w:val="00BB42EF"/>
    <w:rsid w:val="00BB473E"/>
    <w:rsid w:val="00BB4BCE"/>
    <w:rsid w:val="00BB4DB6"/>
    <w:rsid w:val="00BB4E9E"/>
    <w:rsid w:val="00BB5086"/>
    <w:rsid w:val="00BB5125"/>
    <w:rsid w:val="00BB52E3"/>
    <w:rsid w:val="00BB55F4"/>
    <w:rsid w:val="00BB5791"/>
    <w:rsid w:val="00BB5A64"/>
    <w:rsid w:val="00BB5D57"/>
    <w:rsid w:val="00BB5E02"/>
    <w:rsid w:val="00BB5EAA"/>
    <w:rsid w:val="00BB5EB0"/>
    <w:rsid w:val="00BB6236"/>
    <w:rsid w:val="00BB6579"/>
    <w:rsid w:val="00BB69ED"/>
    <w:rsid w:val="00BB6B15"/>
    <w:rsid w:val="00BB7309"/>
    <w:rsid w:val="00BB75EB"/>
    <w:rsid w:val="00BB75F6"/>
    <w:rsid w:val="00BB7BA4"/>
    <w:rsid w:val="00BB7C7F"/>
    <w:rsid w:val="00BB7CC2"/>
    <w:rsid w:val="00BB7DBC"/>
    <w:rsid w:val="00BB7FE9"/>
    <w:rsid w:val="00BC0000"/>
    <w:rsid w:val="00BC0267"/>
    <w:rsid w:val="00BC07F4"/>
    <w:rsid w:val="00BC0819"/>
    <w:rsid w:val="00BC0B2D"/>
    <w:rsid w:val="00BC0BCD"/>
    <w:rsid w:val="00BC0D1C"/>
    <w:rsid w:val="00BC0E4C"/>
    <w:rsid w:val="00BC103B"/>
    <w:rsid w:val="00BC10DB"/>
    <w:rsid w:val="00BC1102"/>
    <w:rsid w:val="00BC1738"/>
    <w:rsid w:val="00BC1779"/>
    <w:rsid w:val="00BC1A30"/>
    <w:rsid w:val="00BC1A63"/>
    <w:rsid w:val="00BC1D6B"/>
    <w:rsid w:val="00BC1F19"/>
    <w:rsid w:val="00BC1F43"/>
    <w:rsid w:val="00BC1FC6"/>
    <w:rsid w:val="00BC2091"/>
    <w:rsid w:val="00BC211C"/>
    <w:rsid w:val="00BC240E"/>
    <w:rsid w:val="00BC241C"/>
    <w:rsid w:val="00BC24E7"/>
    <w:rsid w:val="00BC28D3"/>
    <w:rsid w:val="00BC2B99"/>
    <w:rsid w:val="00BC2E60"/>
    <w:rsid w:val="00BC3034"/>
    <w:rsid w:val="00BC31CB"/>
    <w:rsid w:val="00BC32FF"/>
    <w:rsid w:val="00BC3670"/>
    <w:rsid w:val="00BC379C"/>
    <w:rsid w:val="00BC4043"/>
    <w:rsid w:val="00BC40D1"/>
    <w:rsid w:val="00BC4120"/>
    <w:rsid w:val="00BC427E"/>
    <w:rsid w:val="00BC4902"/>
    <w:rsid w:val="00BC4D19"/>
    <w:rsid w:val="00BC4F32"/>
    <w:rsid w:val="00BC4F55"/>
    <w:rsid w:val="00BC5084"/>
    <w:rsid w:val="00BC54C3"/>
    <w:rsid w:val="00BC59A0"/>
    <w:rsid w:val="00BC59EB"/>
    <w:rsid w:val="00BC5E85"/>
    <w:rsid w:val="00BC614E"/>
    <w:rsid w:val="00BC620D"/>
    <w:rsid w:val="00BC6971"/>
    <w:rsid w:val="00BC6A3D"/>
    <w:rsid w:val="00BC6A6E"/>
    <w:rsid w:val="00BC6B8C"/>
    <w:rsid w:val="00BC6C0D"/>
    <w:rsid w:val="00BC6EED"/>
    <w:rsid w:val="00BC6F33"/>
    <w:rsid w:val="00BC7152"/>
    <w:rsid w:val="00BC73C5"/>
    <w:rsid w:val="00BC7774"/>
    <w:rsid w:val="00BC7919"/>
    <w:rsid w:val="00BC7C6F"/>
    <w:rsid w:val="00BC7F69"/>
    <w:rsid w:val="00BD0073"/>
    <w:rsid w:val="00BD00C7"/>
    <w:rsid w:val="00BD00EA"/>
    <w:rsid w:val="00BD020E"/>
    <w:rsid w:val="00BD07C6"/>
    <w:rsid w:val="00BD0B14"/>
    <w:rsid w:val="00BD0B9C"/>
    <w:rsid w:val="00BD0D0F"/>
    <w:rsid w:val="00BD10C1"/>
    <w:rsid w:val="00BD123E"/>
    <w:rsid w:val="00BD138E"/>
    <w:rsid w:val="00BD158B"/>
    <w:rsid w:val="00BD1594"/>
    <w:rsid w:val="00BD16FA"/>
    <w:rsid w:val="00BD1A8E"/>
    <w:rsid w:val="00BD1E4D"/>
    <w:rsid w:val="00BD1ECC"/>
    <w:rsid w:val="00BD2370"/>
    <w:rsid w:val="00BD28C0"/>
    <w:rsid w:val="00BD2912"/>
    <w:rsid w:val="00BD298F"/>
    <w:rsid w:val="00BD2D19"/>
    <w:rsid w:val="00BD2DD2"/>
    <w:rsid w:val="00BD2E3B"/>
    <w:rsid w:val="00BD31B7"/>
    <w:rsid w:val="00BD3372"/>
    <w:rsid w:val="00BD33F0"/>
    <w:rsid w:val="00BD3600"/>
    <w:rsid w:val="00BD37CA"/>
    <w:rsid w:val="00BD3996"/>
    <w:rsid w:val="00BD3BA1"/>
    <w:rsid w:val="00BD3CFB"/>
    <w:rsid w:val="00BD3D00"/>
    <w:rsid w:val="00BD4008"/>
    <w:rsid w:val="00BD40BA"/>
    <w:rsid w:val="00BD48C4"/>
    <w:rsid w:val="00BD48D4"/>
    <w:rsid w:val="00BD4AFA"/>
    <w:rsid w:val="00BD4EE5"/>
    <w:rsid w:val="00BD5198"/>
    <w:rsid w:val="00BD57A7"/>
    <w:rsid w:val="00BD57DE"/>
    <w:rsid w:val="00BD5C79"/>
    <w:rsid w:val="00BD627C"/>
    <w:rsid w:val="00BD6573"/>
    <w:rsid w:val="00BD666F"/>
    <w:rsid w:val="00BD66E9"/>
    <w:rsid w:val="00BD69BB"/>
    <w:rsid w:val="00BD6B6D"/>
    <w:rsid w:val="00BD6BEC"/>
    <w:rsid w:val="00BD7260"/>
    <w:rsid w:val="00BD75D1"/>
    <w:rsid w:val="00BD79A4"/>
    <w:rsid w:val="00BD79CA"/>
    <w:rsid w:val="00BD79D7"/>
    <w:rsid w:val="00BD7DAB"/>
    <w:rsid w:val="00BD7F89"/>
    <w:rsid w:val="00BE00C7"/>
    <w:rsid w:val="00BE01BE"/>
    <w:rsid w:val="00BE052A"/>
    <w:rsid w:val="00BE0C73"/>
    <w:rsid w:val="00BE0E97"/>
    <w:rsid w:val="00BE18D2"/>
    <w:rsid w:val="00BE1A41"/>
    <w:rsid w:val="00BE1A47"/>
    <w:rsid w:val="00BE1AAC"/>
    <w:rsid w:val="00BE1B17"/>
    <w:rsid w:val="00BE2678"/>
    <w:rsid w:val="00BE274A"/>
    <w:rsid w:val="00BE2B93"/>
    <w:rsid w:val="00BE2B9B"/>
    <w:rsid w:val="00BE2C9D"/>
    <w:rsid w:val="00BE3513"/>
    <w:rsid w:val="00BE3726"/>
    <w:rsid w:val="00BE37A4"/>
    <w:rsid w:val="00BE446B"/>
    <w:rsid w:val="00BE4895"/>
    <w:rsid w:val="00BE5033"/>
    <w:rsid w:val="00BE5044"/>
    <w:rsid w:val="00BE524B"/>
    <w:rsid w:val="00BE53C6"/>
    <w:rsid w:val="00BE53F4"/>
    <w:rsid w:val="00BE54B3"/>
    <w:rsid w:val="00BE5670"/>
    <w:rsid w:val="00BE571C"/>
    <w:rsid w:val="00BE5D7D"/>
    <w:rsid w:val="00BE5FE5"/>
    <w:rsid w:val="00BE616F"/>
    <w:rsid w:val="00BE68BF"/>
    <w:rsid w:val="00BE6A5B"/>
    <w:rsid w:val="00BE6DA0"/>
    <w:rsid w:val="00BE6EEA"/>
    <w:rsid w:val="00BE7082"/>
    <w:rsid w:val="00BE70D9"/>
    <w:rsid w:val="00BE7173"/>
    <w:rsid w:val="00BE7364"/>
    <w:rsid w:val="00BE75C5"/>
    <w:rsid w:val="00BE7C48"/>
    <w:rsid w:val="00BE7ED4"/>
    <w:rsid w:val="00BF04A1"/>
    <w:rsid w:val="00BF0B6A"/>
    <w:rsid w:val="00BF0E9F"/>
    <w:rsid w:val="00BF0FD9"/>
    <w:rsid w:val="00BF1083"/>
    <w:rsid w:val="00BF10FF"/>
    <w:rsid w:val="00BF11FB"/>
    <w:rsid w:val="00BF12C9"/>
    <w:rsid w:val="00BF15D9"/>
    <w:rsid w:val="00BF1650"/>
    <w:rsid w:val="00BF17AB"/>
    <w:rsid w:val="00BF190A"/>
    <w:rsid w:val="00BF1B37"/>
    <w:rsid w:val="00BF1B68"/>
    <w:rsid w:val="00BF1C8E"/>
    <w:rsid w:val="00BF1CB9"/>
    <w:rsid w:val="00BF1CE7"/>
    <w:rsid w:val="00BF1D2B"/>
    <w:rsid w:val="00BF2100"/>
    <w:rsid w:val="00BF221D"/>
    <w:rsid w:val="00BF279B"/>
    <w:rsid w:val="00BF290D"/>
    <w:rsid w:val="00BF2C8D"/>
    <w:rsid w:val="00BF2E9A"/>
    <w:rsid w:val="00BF3120"/>
    <w:rsid w:val="00BF3160"/>
    <w:rsid w:val="00BF3165"/>
    <w:rsid w:val="00BF31A9"/>
    <w:rsid w:val="00BF32D6"/>
    <w:rsid w:val="00BF35BC"/>
    <w:rsid w:val="00BF3B3E"/>
    <w:rsid w:val="00BF3F43"/>
    <w:rsid w:val="00BF410F"/>
    <w:rsid w:val="00BF4144"/>
    <w:rsid w:val="00BF4198"/>
    <w:rsid w:val="00BF42C9"/>
    <w:rsid w:val="00BF4935"/>
    <w:rsid w:val="00BF50FB"/>
    <w:rsid w:val="00BF5238"/>
    <w:rsid w:val="00BF530F"/>
    <w:rsid w:val="00BF53D0"/>
    <w:rsid w:val="00BF55B3"/>
    <w:rsid w:val="00BF56F4"/>
    <w:rsid w:val="00BF5740"/>
    <w:rsid w:val="00BF5930"/>
    <w:rsid w:val="00BF5931"/>
    <w:rsid w:val="00BF5C59"/>
    <w:rsid w:val="00BF5E54"/>
    <w:rsid w:val="00BF5EEF"/>
    <w:rsid w:val="00BF6386"/>
    <w:rsid w:val="00BF6437"/>
    <w:rsid w:val="00BF6722"/>
    <w:rsid w:val="00BF678B"/>
    <w:rsid w:val="00BF68AF"/>
    <w:rsid w:val="00BF6A23"/>
    <w:rsid w:val="00BF6CE2"/>
    <w:rsid w:val="00BF6D3A"/>
    <w:rsid w:val="00BF70FA"/>
    <w:rsid w:val="00BF741D"/>
    <w:rsid w:val="00BF74B7"/>
    <w:rsid w:val="00BF781D"/>
    <w:rsid w:val="00BF7E17"/>
    <w:rsid w:val="00BF7E5F"/>
    <w:rsid w:val="00C00455"/>
    <w:rsid w:val="00C00759"/>
    <w:rsid w:val="00C0095C"/>
    <w:rsid w:val="00C00A7E"/>
    <w:rsid w:val="00C00B7B"/>
    <w:rsid w:val="00C00CD5"/>
    <w:rsid w:val="00C00CFD"/>
    <w:rsid w:val="00C00E47"/>
    <w:rsid w:val="00C00FB6"/>
    <w:rsid w:val="00C0171C"/>
    <w:rsid w:val="00C017E4"/>
    <w:rsid w:val="00C01849"/>
    <w:rsid w:val="00C01DDA"/>
    <w:rsid w:val="00C01F0D"/>
    <w:rsid w:val="00C02007"/>
    <w:rsid w:val="00C0207A"/>
    <w:rsid w:val="00C023F1"/>
    <w:rsid w:val="00C024F4"/>
    <w:rsid w:val="00C02519"/>
    <w:rsid w:val="00C026EC"/>
    <w:rsid w:val="00C028D1"/>
    <w:rsid w:val="00C02A93"/>
    <w:rsid w:val="00C02B81"/>
    <w:rsid w:val="00C02C67"/>
    <w:rsid w:val="00C02C72"/>
    <w:rsid w:val="00C02E84"/>
    <w:rsid w:val="00C032EF"/>
    <w:rsid w:val="00C03450"/>
    <w:rsid w:val="00C03783"/>
    <w:rsid w:val="00C03843"/>
    <w:rsid w:val="00C03C48"/>
    <w:rsid w:val="00C03CED"/>
    <w:rsid w:val="00C03E48"/>
    <w:rsid w:val="00C041AF"/>
    <w:rsid w:val="00C043AA"/>
    <w:rsid w:val="00C043AC"/>
    <w:rsid w:val="00C04621"/>
    <w:rsid w:val="00C0462D"/>
    <w:rsid w:val="00C046BE"/>
    <w:rsid w:val="00C048EE"/>
    <w:rsid w:val="00C04A5E"/>
    <w:rsid w:val="00C04A8D"/>
    <w:rsid w:val="00C04A91"/>
    <w:rsid w:val="00C04BD1"/>
    <w:rsid w:val="00C04DDD"/>
    <w:rsid w:val="00C04F6D"/>
    <w:rsid w:val="00C050F4"/>
    <w:rsid w:val="00C0514B"/>
    <w:rsid w:val="00C051E3"/>
    <w:rsid w:val="00C054F1"/>
    <w:rsid w:val="00C0587F"/>
    <w:rsid w:val="00C058DC"/>
    <w:rsid w:val="00C05C1D"/>
    <w:rsid w:val="00C05C62"/>
    <w:rsid w:val="00C05DBA"/>
    <w:rsid w:val="00C05DD6"/>
    <w:rsid w:val="00C05E1E"/>
    <w:rsid w:val="00C05F35"/>
    <w:rsid w:val="00C05F46"/>
    <w:rsid w:val="00C060A7"/>
    <w:rsid w:val="00C0616E"/>
    <w:rsid w:val="00C06545"/>
    <w:rsid w:val="00C069B8"/>
    <w:rsid w:val="00C06AEE"/>
    <w:rsid w:val="00C06CA1"/>
    <w:rsid w:val="00C06E1E"/>
    <w:rsid w:val="00C06EE7"/>
    <w:rsid w:val="00C06F25"/>
    <w:rsid w:val="00C06F46"/>
    <w:rsid w:val="00C07242"/>
    <w:rsid w:val="00C07946"/>
    <w:rsid w:val="00C07D36"/>
    <w:rsid w:val="00C108A5"/>
    <w:rsid w:val="00C10916"/>
    <w:rsid w:val="00C1091D"/>
    <w:rsid w:val="00C10C90"/>
    <w:rsid w:val="00C10CF8"/>
    <w:rsid w:val="00C10DAD"/>
    <w:rsid w:val="00C11489"/>
    <w:rsid w:val="00C1154A"/>
    <w:rsid w:val="00C1165F"/>
    <w:rsid w:val="00C116DE"/>
    <w:rsid w:val="00C11713"/>
    <w:rsid w:val="00C119B0"/>
    <w:rsid w:val="00C11A5B"/>
    <w:rsid w:val="00C11B5A"/>
    <w:rsid w:val="00C11CDE"/>
    <w:rsid w:val="00C11CFC"/>
    <w:rsid w:val="00C11DBD"/>
    <w:rsid w:val="00C11E8C"/>
    <w:rsid w:val="00C11F4B"/>
    <w:rsid w:val="00C120CB"/>
    <w:rsid w:val="00C126D6"/>
    <w:rsid w:val="00C128B7"/>
    <w:rsid w:val="00C12BA2"/>
    <w:rsid w:val="00C12BB7"/>
    <w:rsid w:val="00C12E25"/>
    <w:rsid w:val="00C13190"/>
    <w:rsid w:val="00C13245"/>
    <w:rsid w:val="00C13359"/>
    <w:rsid w:val="00C13561"/>
    <w:rsid w:val="00C13651"/>
    <w:rsid w:val="00C139BD"/>
    <w:rsid w:val="00C13B4C"/>
    <w:rsid w:val="00C1407E"/>
    <w:rsid w:val="00C14157"/>
    <w:rsid w:val="00C14223"/>
    <w:rsid w:val="00C14312"/>
    <w:rsid w:val="00C14CDE"/>
    <w:rsid w:val="00C14DB2"/>
    <w:rsid w:val="00C14DD0"/>
    <w:rsid w:val="00C15146"/>
    <w:rsid w:val="00C15159"/>
    <w:rsid w:val="00C15199"/>
    <w:rsid w:val="00C15925"/>
    <w:rsid w:val="00C1592D"/>
    <w:rsid w:val="00C15BAE"/>
    <w:rsid w:val="00C15E54"/>
    <w:rsid w:val="00C15FE5"/>
    <w:rsid w:val="00C16093"/>
    <w:rsid w:val="00C160BE"/>
    <w:rsid w:val="00C1652D"/>
    <w:rsid w:val="00C1662B"/>
    <w:rsid w:val="00C16687"/>
    <w:rsid w:val="00C16860"/>
    <w:rsid w:val="00C16B97"/>
    <w:rsid w:val="00C16BB1"/>
    <w:rsid w:val="00C16CEB"/>
    <w:rsid w:val="00C173D9"/>
    <w:rsid w:val="00C174D3"/>
    <w:rsid w:val="00C1761A"/>
    <w:rsid w:val="00C17775"/>
    <w:rsid w:val="00C177FE"/>
    <w:rsid w:val="00C17B28"/>
    <w:rsid w:val="00C17E2D"/>
    <w:rsid w:val="00C17EA3"/>
    <w:rsid w:val="00C17F01"/>
    <w:rsid w:val="00C201F9"/>
    <w:rsid w:val="00C20648"/>
    <w:rsid w:val="00C20A9D"/>
    <w:rsid w:val="00C20B37"/>
    <w:rsid w:val="00C20CDE"/>
    <w:rsid w:val="00C21104"/>
    <w:rsid w:val="00C21220"/>
    <w:rsid w:val="00C21471"/>
    <w:rsid w:val="00C218CC"/>
    <w:rsid w:val="00C2195F"/>
    <w:rsid w:val="00C21C4D"/>
    <w:rsid w:val="00C21D18"/>
    <w:rsid w:val="00C21DBD"/>
    <w:rsid w:val="00C21DEA"/>
    <w:rsid w:val="00C21F74"/>
    <w:rsid w:val="00C2204E"/>
    <w:rsid w:val="00C220AD"/>
    <w:rsid w:val="00C22333"/>
    <w:rsid w:val="00C2238E"/>
    <w:rsid w:val="00C224A5"/>
    <w:rsid w:val="00C22581"/>
    <w:rsid w:val="00C227FE"/>
    <w:rsid w:val="00C2289E"/>
    <w:rsid w:val="00C22B08"/>
    <w:rsid w:val="00C22FD7"/>
    <w:rsid w:val="00C22FF4"/>
    <w:rsid w:val="00C231F0"/>
    <w:rsid w:val="00C23354"/>
    <w:rsid w:val="00C234B8"/>
    <w:rsid w:val="00C234C6"/>
    <w:rsid w:val="00C2399C"/>
    <w:rsid w:val="00C23A3B"/>
    <w:rsid w:val="00C23D1C"/>
    <w:rsid w:val="00C23D33"/>
    <w:rsid w:val="00C23E85"/>
    <w:rsid w:val="00C23EFC"/>
    <w:rsid w:val="00C23FE4"/>
    <w:rsid w:val="00C2417C"/>
    <w:rsid w:val="00C246CF"/>
    <w:rsid w:val="00C24A2A"/>
    <w:rsid w:val="00C24A92"/>
    <w:rsid w:val="00C24ADC"/>
    <w:rsid w:val="00C24CAF"/>
    <w:rsid w:val="00C24D9E"/>
    <w:rsid w:val="00C24E44"/>
    <w:rsid w:val="00C251CE"/>
    <w:rsid w:val="00C25680"/>
    <w:rsid w:val="00C258AB"/>
    <w:rsid w:val="00C25CB5"/>
    <w:rsid w:val="00C25DCF"/>
    <w:rsid w:val="00C25F58"/>
    <w:rsid w:val="00C25F5D"/>
    <w:rsid w:val="00C2658D"/>
    <w:rsid w:val="00C265EC"/>
    <w:rsid w:val="00C266DB"/>
    <w:rsid w:val="00C26781"/>
    <w:rsid w:val="00C2687A"/>
    <w:rsid w:val="00C2699A"/>
    <w:rsid w:val="00C26CFE"/>
    <w:rsid w:val="00C26D87"/>
    <w:rsid w:val="00C271BE"/>
    <w:rsid w:val="00C27349"/>
    <w:rsid w:val="00C27644"/>
    <w:rsid w:val="00C27858"/>
    <w:rsid w:val="00C27A63"/>
    <w:rsid w:val="00C27EF4"/>
    <w:rsid w:val="00C27FE6"/>
    <w:rsid w:val="00C302E4"/>
    <w:rsid w:val="00C302E5"/>
    <w:rsid w:val="00C30E2A"/>
    <w:rsid w:val="00C312C1"/>
    <w:rsid w:val="00C3150E"/>
    <w:rsid w:val="00C31686"/>
    <w:rsid w:val="00C317EA"/>
    <w:rsid w:val="00C3199C"/>
    <w:rsid w:val="00C31B02"/>
    <w:rsid w:val="00C320FD"/>
    <w:rsid w:val="00C3218F"/>
    <w:rsid w:val="00C3237D"/>
    <w:rsid w:val="00C3248D"/>
    <w:rsid w:val="00C32AF3"/>
    <w:rsid w:val="00C32D86"/>
    <w:rsid w:val="00C32FF3"/>
    <w:rsid w:val="00C33190"/>
    <w:rsid w:val="00C33433"/>
    <w:rsid w:val="00C339B5"/>
    <w:rsid w:val="00C339D8"/>
    <w:rsid w:val="00C33B14"/>
    <w:rsid w:val="00C33B64"/>
    <w:rsid w:val="00C34287"/>
    <w:rsid w:val="00C342BC"/>
    <w:rsid w:val="00C3484D"/>
    <w:rsid w:val="00C34893"/>
    <w:rsid w:val="00C34904"/>
    <w:rsid w:val="00C3490A"/>
    <w:rsid w:val="00C34969"/>
    <w:rsid w:val="00C34C96"/>
    <w:rsid w:val="00C34D4C"/>
    <w:rsid w:val="00C34E9C"/>
    <w:rsid w:val="00C35042"/>
    <w:rsid w:val="00C350AF"/>
    <w:rsid w:val="00C352D4"/>
    <w:rsid w:val="00C35405"/>
    <w:rsid w:val="00C3547C"/>
    <w:rsid w:val="00C355E0"/>
    <w:rsid w:val="00C357B4"/>
    <w:rsid w:val="00C35B8F"/>
    <w:rsid w:val="00C35CED"/>
    <w:rsid w:val="00C35D82"/>
    <w:rsid w:val="00C35F53"/>
    <w:rsid w:val="00C36002"/>
    <w:rsid w:val="00C36345"/>
    <w:rsid w:val="00C36366"/>
    <w:rsid w:val="00C36A02"/>
    <w:rsid w:val="00C36AFD"/>
    <w:rsid w:val="00C36BBF"/>
    <w:rsid w:val="00C36CB1"/>
    <w:rsid w:val="00C36FF7"/>
    <w:rsid w:val="00C37263"/>
    <w:rsid w:val="00C3775A"/>
    <w:rsid w:val="00C37933"/>
    <w:rsid w:val="00C37AB3"/>
    <w:rsid w:val="00C37CB3"/>
    <w:rsid w:val="00C37CF5"/>
    <w:rsid w:val="00C37FE0"/>
    <w:rsid w:val="00C4007F"/>
    <w:rsid w:val="00C402C5"/>
    <w:rsid w:val="00C40432"/>
    <w:rsid w:val="00C40F43"/>
    <w:rsid w:val="00C40FC2"/>
    <w:rsid w:val="00C41B0B"/>
    <w:rsid w:val="00C41C0D"/>
    <w:rsid w:val="00C41C53"/>
    <w:rsid w:val="00C41F70"/>
    <w:rsid w:val="00C41FA0"/>
    <w:rsid w:val="00C423DD"/>
    <w:rsid w:val="00C42681"/>
    <w:rsid w:val="00C42C4A"/>
    <w:rsid w:val="00C42D78"/>
    <w:rsid w:val="00C42D9A"/>
    <w:rsid w:val="00C43068"/>
    <w:rsid w:val="00C43510"/>
    <w:rsid w:val="00C43573"/>
    <w:rsid w:val="00C437ED"/>
    <w:rsid w:val="00C43A50"/>
    <w:rsid w:val="00C43A54"/>
    <w:rsid w:val="00C43BBA"/>
    <w:rsid w:val="00C43D17"/>
    <w:rsid w:val="00C43D95"/>
    <w:rsid w:val="00C441F3"/>
    <w:rsid w:val="00C442B8"/>
    <w:rsid w:val="00C4457A"/>
    <w:rsid w:val="00C4480D"/>
    <w:rsid w:val="00C44819"/>
    <w:rsid w:val="00C448B5"/>
    <w:rsid w:val="00C4490A"/>
    <w:rsid w:val="00C44C8C"/>
    <w:rsid w:val="00C44CC0"/>
    <w:rsid w:val="00C44E00"/>
    <w:rsid w:val="00C44EE6"/>
    <w:rsid w:val="00C45033"/>
    <w:rsid w:val="00C45074"/>
    <w:rsid w:val="00C451EE"/>
    <w:rsid w:val="00C4544D"/>
    <w:rsid w:val="00C458E0"/>
    <w:rsid w:val="00C45E7D"/>
    <w:rsid w:val="00C45EBB"/>
    <w:rsid w:val="00C467BA"/>
    <w:rsid w:val="00C469E0"/>
    <w:rsid w:val="00C46B9D"/>
    <w:rsid w:val="00C46BFC"/>
    <w:rsid w:val="00C47151"/>
    <w:rsid w:val="00C47590"/>
    <w:rsid w:val="00C475A4"/>
    <w:rsid w:val="00C475F7"/>
    <w:rsid w:val="00C4767B"/>
    <w:rsid w:val="00C4769F"/>
    <w:rsid w:val="00C477F5"/>
    <w:rsid w:val="00C47BAE"/>
    <w:rsid w:val="00C47CEC"/>
    <w:rsid w:val="00C47D46"/>
    <w:rsid w:val="00C47EE9"/>
    <w:rsid w:val="00C47F08"/>
    <w:rsid w:val="00C50152"/>
    <w:rsid w:val="00C502CD"/>
    <w:rsid w:val="00C50421"/>
    <w:rsid w:val="00C504A8"/>
    <w:rsid w:val="00C50701"/>
    <w:rsid w:val="00C5080E"/>
    <w:rsid w:val="00C50A16"/>
    <w:rsid w:val="00C510CD"/>
    <w:rsid w:val="00C51458"/>
    <w:rsid w:val="00C5168B"/>
    <w:rsid w:val="00C516D8"/>
    <w:rsid w:val="00C518D3"/>
    <w:rsid w:val="00C519C5"/>
    <w:rsid w:val="00C51B77"/>
    <w:rsid w:val="00C523B8"/>
    <w:rsid w:val="00C52ABF"/>
    <w:rsid w:val="00C52C5F"/>
    <w:rsid w:val="00C52E91"/>
    <w:rsid w:val="00C5313D"/>
    <w:rsid w:val="00C531B6"/>
    <w:rsid w:val="00C531C7"/>
    <w:rsid w:val="00C5389A"/>
    <w:rsid w:val="00C53A0B"/>
    <w:rsid w:val="00C53F32"/>
    <w:rsid w:val="00C53F4E"/>
    <w:rsid w:val="00C542E2"/>
    <w:rsid w:val="00C5449A"/>
    <w:rsid w:val="00C545A3"/>
    <w:rsid w:val="00C54A4B"/>
    <w:rsid w:val="00C54F16"/>
    <w:rsid w:val="00C5529A"/>
    <w:rsid w:val="00C553A2"/>
    <w:rsid w:val="00C555B4"/>
    <w:rsid w:val="00C5563C"/>
    <w:rsid w:val="00C5588B"/>
    <w:rsid w:val="00C559B5"/>
    <w:rsid w:val="00C55A99"/>
    <w:rsid w:val="00C55B73"/>
    <w:rsid w:val="00C55E11"/>
    <w:rsid w:val="00C55FFC"/>
    <w:rsid w:val="00C5612B"/>
    <w:rsid w:val="00C56363"/>
    <w:rsid w:val="00C567DC"/>
    <w:rsid w:val="00C56A3D"/>
    <w:rsid w:val="00C56EC8"/>
    <w:rsid w:val="00C56FF7"/>
    <w:rsid w:val="00C57540"/>
    <w:rsid w:val="00C57902"/>
    <w:rsid w:val="00C6010A"/>
    <w:rsid w:val="00C602D5"/>
    <w:rsid w:val="00C6044A"/>
    <w:rsid w:val="00C60593"/>
    <w:rsid w:val="00C605C1"/>
    <w:rsid w:val="00C606D5"/>
    <w:rsid w:val="00C6074B"/>
    <w:rsid w:val="00C60B77"/>
    <w:rsid w:val="00C60BC1"/>
    <w:rsid w:val="00C60F21"/>
    <w:rsid w:val="00C61200"/>
    <w:rsid w:val="00C61692"/>
    <w:rsid w:val="00C61733"/>
    <w:rsid w:val="00C6192D"/>
    <w:rsid w:val="00C61942"/>
    <w:rsid w:val="00C61A19"/>
    <w:rsid w:val="00C61DCB"/>
    <w:rsid w:val="00C61DF1"/>
    <w:rsid w:val="00C621FD"/>
    <w:rsid w:val="00C62537"/>
    <w:rsid w:val="00C6256A"/>
    <w:rsid w:val="00C62656"/>
    <w:rsid w:val="00C6277B"/>
    <w:rsid w:val="00C62871"/>
    <w:rsid w:val="00C62A5A"/>
    <w:rsid w:val="00C62C4E"/>
    <w:rsid w:val="00C630E2"/>
    <w:rsid w:val="00C63118"/>
    <w:rsid w:val="00C63459"/>
    <w:rsid w:val="00C63F78"/>
    <w:rsid w:val="00C6400E"/>
    <w:rsid w:val="00C644C1"/>
    <w:rsid w:val="00C644C7"/>
    <w:rsid w:val="00C6455E"/>
    <w:rsid w:val="00C64627"/>
    <w:rsid w:val="00C64654"/>
    <w:rsid w:val="00C647E6"/>
    <w:rsid w:val="00C648F6"/>
    <w:rsid w:val="00C64949"/>
    <w:rsid w:val="00C64A8B"/>
    <w:rsid w:val="00C651BB"/>
    <w:rsid w:val="00C65439"/>
    <w:rsid w:val="00C65468"/>
    <w:rsid w:val="00C65956"/>
    <w:rsid w:val="00C65B3D"/>
    <w:rsid w:val="00C65DBC"/>
    <w:rsid w:val="00C660E0"/>
    <w:rsid w:val="00C66927"/>
    <w:rsid w:val="00C67219"/>
    <w:rsid w:val="00C6770F"/>
    <w:rsid w:val="00C67A84"/>
    <w:rsid w:val="00C67B08"/>
    <w:rsid w:val="00C67C87"/>
    <w:rsid w:val="00C70495"/>
    <w:rsid w:val="00C704CC"/>
    <w:rsid w:val="00C7068B"/>
    <w:rsid w:val="00C706FE"/>
    <w:rsid w:val="00C70BBC"/>
    <w:rsid w:val="00C70E15"/>
    <w:rsid w:val="00C710C5"/>
    <w:rsid w:val="00C710ED"/>
    <w:rsid w:val="00C71179"/>
    <w:rsid w:val="00C711B1"/>
    <w:rsid w:val="00C71375"/>
    <w:rsid w:val="00C71398"/>
    <w:rsid w:val="00C71595"/>
    <w:rsid w:val="00C715AC"/>
    <w:rsid w:val="00C71647"/>
    <w:rsid w:val="00C71727"/>
    <w:rsid w:val="00C71893"/>
    <w:rsid w:val="00C718D8"/>
    <w:rsid w:val="00C71B89"/>
    <w:rsid w:val="00C71E99"/>
    <w:rsid w:val="00C71F46"/>
    <w:rsid w:val="00C72079"/>
    <w:rsid w:val="00C726C5"/>
    <w:rsid w:val="00C72801"/>
    <w:rsid w:val="00C729BD"/>
    <w:rsid w:val="00C72A3F"/>
    <w:rsid w:val="00C72B48"/>
    <w:rsid w:val="00C72B58"/>
    <w:rsid w:val="00C72C35"/>
    <w:rsid w:val="00C72E8F"/>
    <w:rsid w:val="00C73045"/>
    <w:rsid w:val="00C7322C"/>
    <w:rsid w:val="00C7354C"/>
    <w:rsid w:val="00C73603"/>
    <w:rsid w:val="00C73748"/>
    <w:rsid w:val="00C7380C"/>
    <w:rsid w:val="00C73823"/>
    <w:rsid w:val="00C73D66"/>
    <w:rsid w:val="00C73DFF"/>
    <w:rsid w:val="00C73E03"/>
    <w:rsid w:val="00C74110"/>
    <w:rsid w:val="00C74446"/>
    <w:rsid w:val="00C74971"/>
    <w:rsid w:val="00C74B81"/>
    <w:rsid w:val="00C74E48"/>
    <w:rsid w:val="00C74E51"/>
    <w:rsid w:val="00C7518B"/>
    <w:rsid w:val="00C751A0"/>
    <w:rsid w:val="00C75210"/>
    <w:rsid w:val="00C75816"/>
    <w:rsid w:val="00C75E13"/>
    <w:rsid w:val="00C765CF"/>
    <w:rsid w:val="00C767AE"/>
    <w:rsid w:val="00C76A4D"/>
    <w:rsid w:val="00C76BF8"/>
    <w:rsid w:val="00C76CE7"/>
    <w:rsid w:val="00C76F60"/>
    <w:rsid w:val="00C76F7C"/>
    <w:rsid w:val="00C7749C"/>
    <w:rsid w:val="00C7758E"/>
    <w:rsid w:val="00C77803"/>
    <w:rsid w:val="00C77B18"/>
    <w:rsid w:val="00C77B39"/>
    <w:rsid w:val="00C8006A"/>
    <w:rsid w:val="00C80120"/>
    <w:rsid w:val="00C801BA"/>
    <w:rsid w:val="00C80294"/>
    <w:rsid w:val="00C80358"/>
    <w:rsid w:val="00C803F9"/>
    <w:rsid w:val="00C805DC"/>
    <w:rsid w:val="00C8081B"/>
    <w:rsid w:val="00C80C4D"/>
    <w:rsid w:val="00C80D1A"/>
    <w:rsid w:val="00C80DFC"/>
    <w:rsid w:val="00C80FAE"/>
    <w:rsid w:val="00C80FB6"/>
    <w:rsid w:val="00C81028"/>
    <w:rsid w:val="00C811FF"/>
    <w:rsid w:val="00C81240"/>
    <w:rsid w:val="00C8144F"/>
    <w:rsid w:val="00C81575"/>
    <w:rsid w:val="00C81589"/>
    <w:rsid w:val="00C81A7C"/>
    <w:rsid w:val="00C81E0B"/>
    <w:rsid w:val="00C820C6"/>
    <w:rsid w:val="00C82165"/>
    <w:rsid w:val="00C82931"/>
    <w:rsid w:val="00C83456"/>
    <w:rsid w:val="00C8346B"/>
    <w:rsid w:val="00C834A6"/>
    <w:rsid w:val="00C8364C"/>
    <w:rsid w:val="00C838F6"/>
    <w:rsid w:val="00C839E0"/>
    <w:rsid w:val="00C83D51"/>
    <w:rsid w:val="00C83EB2"/>
    <w:rsid w:val="00C83F68"/>
    <w:rsid w:val="00C8405D"/>
    <w:rsid w:val="00C841B3"/>
    <w:rsid w:val="00C8424C"/>
    <w:rsid w:val="00C843A1"/>
    <w:rsid w:val="00C84505"/>
    <w:rsid w:val="00C8453A"/>
    <w:rsid w:val="00C846C0"/>
    <w:rsid w:val="00C8474A"/>
    <w:rsid w:val="00C848CC"/>
    <w:rsid w:val="00C84911"/>
    <w:rsid w:val="00C84D8D"/>
    <w:rsid w:val="00C84DC7"/>
    <w:rsid w:val="00C84E05"/>
    <w:rsid w:val="00C84E67"/>
    <w:rsid w:val="00C84E6C"/>
    <w:rsid w:val="00C8504E"/>
    <w:rsid w:val="00C8512F"/>
    <w:rsid w:val="00C85679"/>
    <w:rsid w:val="00C8599B"/>
    <w:rsid w:val="00C85A0A"/>
    <w:rsid w:val="00C85C91"/>
    <w:rsid w:val="00C85DC9"/>
    <w:rsid w:val="00C861E8"/>
    <w:rsid w:val="00C86281"/>
    <w:rsid w:val="00C86286"/>
    <w:rsid w:val="00C8641A"/>
    <w:rsid w:val="00C8658A"/>
    <w:rsid w:val="00C86B3F"/>
    <w:rsid w:val="00C86CBB"/>
    <w:rsid w:val="00C86D1C"/>
    <w:rsid w:val="00C86E47"/>
    <w:rsid w:val="00C87079"/>
    <w:rsid w:val="00C8719C"/>
    <w:rsid w:val="00C8725F"/>
    <w:rsid w:val="00C872A1"/>
    <w:rsid w:val="00C87309"/>
    <w:rsid w:val="00C877F2"/>
    <w:rsid w:val="00C879FE"/>
    <w:rsid w:val="00C87D05"/>
    <w:rsid w:val="00C87ED3"/>
    <w:rsid w:val="00C90165"/>
    <w:rsid w:val="00C905F8"/>
    <w:rsid w:val="00C90B7E"/>
    <w:rsid w:val="00C90E8C"/>
    <w:rsid w:val="00C91037"/>
    <w:rsid w:val="00C914E7"/>
    <w:rsid w:val="00C91632"/>
    <w:rsid w:val="00C917FE"/>
    <w:rsid w:val="00C91A7C"/>
    <w:rsid w:val="00C91B0D"/>
    <w:rsid w:val="00C91C20"/>
    <w:rsid w:val="00C91C4D"/>
    <w:rsid w:val="00C91F0B"/>
    <w:rsid w:val="00C92115"/>
    <w:rsid w:val="00C921EC"/>
    <w:rsid w:val="00C921EF"/>
    <w:rsid w:val="00C924F5"/>
    <w:rsid w:val="00C928BA"/>
    <w:rsid w:val="00C92C35"/>
    <w:rsid w:val="00C92D8A"/>
    <w:rsid w:val="00C931B9"/>
    <w:rsid w:val="00C932B5"/>
    <w:rsid w:val="00C932D9"/>
    <w:rsid w:val="00C933C6"/>
    <w:rsid w:val="00C93595"/>
    <w:rsid w:val="00C938D2"/>
    <w:rsid w:val="00C93915"/>
    <w:rsid w:val="00C939BE"/>
    <w:rsid w:val="00C93A60"/>
    <w:rsid w:val="00C93B21"/>
    <w:rsid w:val="00C93C00"/>
    <w:rsid w:val="00C93E73"/>
    <w:rsid w:val="00C93F45"/>
    <w:rsid w:val="00C94082"/>
    <w:rsid w:val="00C9421E"/>
    <w:rsid w:val="00C944A0"/>
    <w:rsid w:val="00C94501"/>
    <w:rsid w:val="00C94635"/>
    <w:rsid w:val="00C9465F"/>
    <w:rsid w:val="00C946C4"/>
    <w:rsid w:val="00C94799"/>
    <w:rsid w:val="00C9491B"/>
    <w:rsid w:val="00C94A7D"/>
    <w:rsid w:val="00C94C13"/>
    <w:rsid w:val="00C94C40"/>
    <w:rsid w:val="00C94F3F"/>
    <w:rsid w:val="00C9511A"/>
    <w:rsid w:val="00C95128"/>
    <w:rsid w:val="00C95142"/>
    <w:rsid w:val="00C95296"/>
    <w:rsid w:val="00C955C6"/>
    <w:rsid w:val="00C958AF"/>
    <w:rsid w:val="00C95E08"/>
    <w:rsid w:val="00C95F20"/>
    <w:rsid w:val="00C95FD7"/>
    <w:rsid w:val="00C95FDD"/>
    <w:rsid w:val="00C960F0"/>
    <w:rsid w:val="00C96810"/>
    <w:rsid w:val="00C96CAA"/>
    <w:rsid w:val="00C96DAF"/>
    <w:rsid w:val="00C96FC2"/>
    <w:rsid w:val="00C96FE4"/>
    <w:rsid w:val="00C972AB"/>
    <w:rsid w:val="00C972EC"/>
    <w:rsid w:val="00C9754A"/>
    <w:rsid w:val="00C977D4"/>
    <w:rsid w:val="00C97A0D"/>
    <w:rsid w:val="00C97ECF"/>
    <w:rsid w:val="00CA0141"/>
    <w:rsid w:val="00CA054E"/>
    <w:rsid w:val="00CA075C"/>
    <w:rsid w:val="00CA09FE"/>
    <w:rsid w:val="00CA0B8D"/>
    <w:rsid w:val="00CA0FAA"/>
    <w:rsid w:val="00CA1079"/>
    <w:rsid w:val="00CA1082"/>
    <w:rsid w:val="00CA1587"/>
    <w:rsid w:val="00CA15EB"/>
    <w:rsid w:val="00CA178E"/>
    <w:rsid w:val="00CA1813"/>
    <w:rsid w:val="00CA1950"/>
    <w:rsid w:val="00CA197B"/>
    <w:rsid w:val="00CA1EA1"/>
    <w:rsid w:val="00CA1F16"/>
    <w:rsid w:val="00CA2092"/>
    <w:rsid w:val="00CA20BD"/>
    <w:rsid w:val="00CA21D8"/>
    <w:rsid w:val="00CA2762"/>
    <w:rsid w:val="00CA2A2C"/>
    <w:rsid w:val="00CA2E57"/>
    <w:rsid w:val="00CA2F09"/>
    <w:rsid w:val="00CA2F20"/>
    <w:rsid w:val="00CA314B"/>
    <w:rsid w:val="00CA3423"/>
    <w:rsid w:val="00CA3719"/>
    <w:rsid w:val="00CA382D"/>
    <w:rsid w:val="00CA3844"/>
    <w:rsid w:val="00CA389A"/>
    <w:rsid w:val="00CA3A57"/>
    <w:rsid w:val="00CA3B7C"/>
    <w:rsid w:val="00CA43AE"/>
    <w:rsid w:val="00CA43F9"/>
    <w:rsid w:val="00CA4432"/>
    <w:rsid w:val="00CA45F3"/>
    <w:rsid w:val="00CA477E"/>
    <w:rsid w:val="00CA47C4"/>
    <w:rsid w:val="00CA499F"/>
    <w:rsid w:val="00CA4B07"/>
    <w:rsid w:val="00CA4BF5"/>
    <w:rsid w:val="00CA4EFF"/>
    <w:rsid w:val="00CA4F92"/>
    <w:rsid w:val="00CA529B"/>
    <w:rsid w:val="00CA580A"/>
    <w:rsid w:val="00CA584E"/>
    <w:rsid w:val="00CA6110"/>
    <w:rsid w:val="00CA63BB"/>
    <w:rsid w:val="00CA688D"/>
    <w:rsid w:val="00CA6941"/>
    <w:rsid w:val="00CA72B7"/>
    <w:rsid w:val="00CA75E4"/>
    <w:rsid w:val="00CA7B59"/>
    <w:rsid w:val="00CA7BA8"/>
    <w:rsid w:val="00CB07D0"/>
    <w:rsid w:val="00CB099A"/>
    <w:rsid w:val="00CB0F15"/>
    <w:rsid w:val="00CB0F65"/>
    <w:rsid w:val="00CB1216"/>
    <w:rsid w:val="00CB12E6"/>
    <w:rsid w:val="00CB1405"/>
    <w:rsid w:val="00CB167D"/>
    <w:rsid w:val="00CB1BA3"/>
    <w:rsid w:val="00CB2283"/>
    <w:rsid w:val="00CB263B"/>
    <w:rsid w:val="00CB2668"/>
    <w:rsid w:val="00CB2845"/>
    <w:rsid w:val="00CB29DF"/>
    <w:rsid w:val="00CB2C0D"/>
    <w:rsid w:val="00CB2CD5"/>
    <w:rsid w:val="00CB2DC9"/>
    <w:rsid w:val="00CB2E3C"/>
    <w:rsid w:val="00CB2E7A"/>
    <w:rsid w:val="00CB34C0"/>
    <w:rsid w:val="00CB34C9"/>
    <w:rsid w:val="00CB3748"/>
    <w:rsid w:val="00CB386B"/>
    <w:rsid w:val="00CB397E"/>
    <w:rsid w:val="00CB3A46"/>
    <w:rsid w:val="00CB3A56"/>
    <w:rsid w:val="00CB3A9E"/>
    <w:rsid w:val="00CB3B9D"/>
    <w:rsid w:val="00CB3BAC"/>
    <w:rsid w:val="00CB3E2E"/>
    <w:rsid w:val="00CB4119"/>
    <w:rsid w:val="00CB4268"/>
    <w:rsid w:val="00CB43AF"/>
    <w:rsid w:val="00CB447A"/>
    <w:rsid w:val="00CB44B8"/>
    <w:rsid w:val="00CB4854"/>
    <w:rsid w:val="00CB497B"/>
    <w:rsid w:val="00CB4AEE"/>
    <w:rsid w:val="00CB4F89"/>
    <w:rsid w:val="00CB4FC7"/>
    <w:rsid w:val="00CB5203"/>
    <w:rsid w:val="00CB5299"/>
    <w:rsid w:val="00CB556B"/>
    <w:rsid w:val="00CB57C4"/>
    <w:rsid w:val="00CB582C"/>
    <w:rsid w:val="00CB5932"/>
    <w:rsid w:val="00CB5C45"/>
    <w:rsid w:val="00CB5C8D"/>
    <w:rsid w:val="00CB6687"/>
    <w:rsid w:val="00CB69D8"/>
    <w:rsid w:val="00CB6DC0"/>
    <w:rsid w:val="00CB6F63"/>
    <w:rsid w:val="00CB6FDF"/>
    <w:rsid w:val="00CB7023"/>
    <w:rsid w:val="00CB73EF"/>
    <w:rsid w:val="00CB742F"/>
    <w:rsid w:val="00CB7522"/>
    <w:rsid w:val="00CB75AE"/>
    <w:rsid w:val="00CB76AC"/>
    <w:rsid w:val="00CB77D4"/>
    <w:rsid w:val="00CB7C83"/>
    <w:rsid w:val="00CC0022"/>
    <w:rsid w:val="00CC0431"/>
    <w:rsid w:val="00CC072F"/>
    <w:rsid w:val="00CC0882"/>
    <w:rsid w:val="00CC0AF1"/>
    <w:rsid w:val="00CC0C7B"/>
    <w:rsid w:val="00CC0EE1"/>
    <w:rsid w:val="00CC14BA"/>
    <w:rsid w:val="00CC163B"/>
    <w:rsid w:val="00CC18D6"/>
    <w:rsid w:val="00CC1BA0"/>
    <w:rsid w:val="00CC1D17"/>
    <w:rsid w:val="00CC1E3C"/>
    <w:rsid w:val="00CC26F8"/>
    <w:rsid w:val="00CC2A14"/>
    <w:rsid w:val="00CC2A39"/>
    <w:rsid w:val="00CC2A62"/>
    <w:rsid w:val="00CC2A84"/>
    <w:rsid w:val="00CC2F6F"/>
    <w:rsid w:val="00CC32CD"/>
    <w:rsid w:val="00CC3CDD"/>
    <w:rsid w:val="00CC3F74"/>
    <w:rsid w:val="00CC41B2"/>
    <w:rsid w:val="00CC437D"/>
    <w:rsid w:val="00CC45F2"/>
    <w:rsid w:val="00CC4951"/>
    <w:rsid w:val="00CC4B56"/>
    <w:rsid w:val="00CC4E81"/>
    <w:rsid w:val="00CC4F12"/>
    <w:rsid w:val="00CC50A6"/>
    <w:rsid w:val="00CC51D2"/>
    <w:rsid w:val="00CC5342"/>
    <w:rsid w:val="00CC5813"/>
    <w:rsid w:val="00CC5ABC"/>
    <w:rsid w:val="00CC5CAE"/>
    <w:rsid w:val="00CC5D23"/>
    <w:rsid w:val="00CC5DC4"/>
    <w:rsid w:val="00CC69DA"/>
    <w:rsid w:val="00CC6A15"/>
    <w:rsid w:val="00CC6D66"/>
    <w:rsid w:val="00CC6DFF"/>
    <w:rsid w:val="00CC72C5"/>
    <w:rsid w:val="00CC7541"/>
    <w:rsid w:val="00CC76CC"/>
    <w:rsid w:val="00CC7741"/>
    <w:rsid w:val="00CC7E1E"/>
    <w:rsid w:val="00CD0082"/>
    <w:rsid w:val="00CD00AD"/>
    <w:rsid w:val="00CD0519"/>
    <w:rsid w:val="00CD0565"/>
    <w:rsid w:val="00CD0B21"/>
    <w:rsid w:val="00CD0C51"/>
    <w:rsid w:val="00CD14F2"/>
    <w:rsid w:val="00CD153C"/>
    <w:rsid w:val="00CD1557"/>
    <w:rsid w:val="00CD19DF"/>
    <w:rsid w:val="00CD1C83"/>
    <w:rsid w:val="00CD24A9"/>
    <w:rsid w:val="00CD265D"/>
    <w:rsid w:val="00CD2678"/>
    <w:rsid w:val="00CD286C"/>
    <w:rsid w:val="00CD29C7"/>
    <w:rsid w:val="00CD2A20"/>
    <w:rsid w:val="00CD2BF3"/>
    <w:rsid w:val="00CD2D76"/>
    <w:rsid w:val="00CD2EE0"/>
    <w:rsid w:val="00CD2FBF"/>
    <w:rsid w:val="00CD35B3"/>
    <w:rsid w:val="00CD3682"/>
    <w:rsid w:val="00CD3866"/>
    <w:rsid w:val="00CD38E6"/>
    <w:rsid w:val="00CD393C"/>
    <w:rsid w:val="00CD3AF1"/>
    <w:rsid w:val="00CD3C13"/>
    <w:rsid w:val="00CD3D66"/>
    <w:rsid w:val="00CD3F25"/>
    <w:rsid w:val="00CD4476"/>
    <w:rsid w:val="00CD46EB"/>
    <w:rsid w:val="00CD48D2"/>
    <w:rsid w:val="00CD497C"/>
    <w:rsid w:val="00CD4A02"/>
    <w:rsid w:val="00CD4AE9"/>
    <w:rsid w:val="00CD4B5D"/>
    <w:rsid w:val="00CD5060"/>
    <w:rsid w:val="00CD534F"/>
    <w:rsid w:val="00CD57D3"/>
    <w:rsid w:val="00CD5BB3"/>
    <w:rsid w:val="00CD5CB7"/>
    <w:rsid w:val="00CD6308"/>
    <w:rsid w:val="00CD631C"/>
    <w:rsid w:val="00CD641B"/>
    <w:rsid w:val="00CD681A"/>
    <w:rsid w:val="00CD6959"/>
    <w:rsid w:val="00CD6AFA"/>
    <w:rsid w:val="00CD6EC8"/>
    <w:rsid w:val="00CD7041"/>
    <w:rsid w:val="00CD71EC"/>
    <w:rsid w:val="00CD72DB"/>
    <w:rsid w:val="00CD782C"/>
    <w:rsid w:val="00CD7947"/>
    <w:rsid w:val="00CD7C3A"/>
    <w:rsid w:val="00CE002E"/>
    <w:rsid w:val="00CE00CE"/>
    <w:rsid w:val="00CE00D5"/>
    <w:rsid w:val="00CE0263"/>
    <w:rsid w:val="00CE036F"/>
    <w:rsid w:val="00CE0497"/>
    <w:rsid w:val="00CE06BF"/>
    <w:rsid w:val="00CE0A6C"/>
    <w:rsid w:val="00CE12BE"/>
    <w:rsid w:val="00CE14C2"/>
    <w:rsid w:val="00CE155C"/>
    <w:rsid w:val="00CE1789"/>
    <w:rsid w:val="00CE1C92"/>
    <w:rsid w:val="00CE223E"/>
    <w:rsid w:val="00CE2309"/>
    <w:rsid w:val="00CE2872"/>
    <w:rsid w:val="00CE2E89"/>
    <w:rsid w:val="00CE2FC5"/>
    <w:rsid w:val="00CE3934"/>
    <w:rsid w:val="00CE3DFC"/>
    <w:rsid w:val="00CE3EA3"/>
    <w:rsid w:val="00CE401F"/>
    <w:rsid w:val="00CE41CA"/>
    <w:rsid w:val="00CE44C9"/>
    <w:rsid w:val="00CE459A"/>
    <w:rsid w:val="00CE48C4"/>
    <w:rsid w:val="00CE497C"/>
    <w:rsid w:val="00CE4A55"/>
    <w:rsid w:val="00CE4B7F"/>
    <w:rsid w:val="00CE53CC"/>
    <w:rsid w:val="00CE55B9"/>
    <w:rsid w:val="00CE586E"/>
    <w:rsid w:val="00CE59A3"/>
    <w:rsid w:val="00CE5DCA"/>
    <w:rsid w:val="00CE61A6"/>
    <w:rsid w:val="00CE67BB"/>
    <w:rsid w:val="00CE680A"/>
    <w:rsid w:val="00CE68B6"/>
    <w:rsid w:val="00CE6BA6"/>
    <w:rsid w:val="00CE7407"/>
    <w:rsid w:val="00CE74E9"/>
    <w:rsid w:val="00CE7561"/>
    <w:rsid w:val="00CE774D"/>
    <w:rsid w:val="00CE7847"/>
    <w:rsid w:val="00CE7878"/>
    <w:rsid w:val="00CE7E95"/>
    <w:rsid w:val="00CF00A3"/>
    <w:rsid w:val="00CF01D6"/>
    <w:rsid w:val="00CF02B0"/>
    <w:rsid w:val="00CF033B"/>
    <w:rsid w:val="00CF04E4"/>
    <w:rsid w:val="00CF0516"/>
    <w:rsid w:val="00CF090D"/>
    <w:rsid w:val="00CF0969"/>
    <w:rsid w:val="00CF0B99"/>
    <w:rsid w:val="00CF0DE2"/>
    <w:rsid w:val="00CF1098"/>
    <w:rsid w:val="00CF12C5"/>
    <w:rsid w:val="00CF13B2"/>
    <w:rsid w:val="00CF16CA"/>
    <w:rsid w:val="00CF1A86"/>
    <w:rsid w:val="00CF1B08"/>
    <w:rsid w:val="00CF1BCA"/>
    <w:rsid w:val="00CF1EB3"/>
    <w:rsid w:val="00CF203D"/>
    <w:rsid w:val="00CF208A"/>
    <w:rsid w:val="00CF256F"/>
    <w:rsid w:val="00CF25A1"/>
    <w:rsid w:val="00CF269E"/>
    <w:rsid w:val="00CF2CC1"/>
    <w:rsid w:val="00CF3031"/>
    <w:rsid w:val="00CF3586"/>
    <w:rsid w:val="00CF36F3"/>
    <w:rsid w:val="00CF39B0"/>
    <w:rsid w:val="00CF3AD1"/>
    <w:rsid w:val="00CF3C41"/>
    <w:rsid w:val="00CF3C5F"/>
    <w:rsid w:val="00CF3CBC"/>
    <w:rsid w:val="00CF3E9A"/>
    <w:rsid w:val="00CF3F36"/>
    <w:rsid w:val="00CF41DD"/>
    <w:rsid w:val="00CF4460"/>
    <w:rsid w:val="00CF4A21"/>
    <w:rsid w:val="00CF4BBD"/>
    <w:rsid w:val="00CF4DAF"/>
    <w:rsid w:val="00CF5027"/>
    <w:rsid w:val="00CF5068"/>
    <w:rsid w:val="00CF512A"/>
    <w:rsid w:val="00CF551F"/>
    <w:rsid w:val="00CF5AB9"/>
    <w:rsid w:val="00CF5D24"/>
    <w:rsid w:val="00CF5D6C"/>
    <w:rsid w:val="00CF5DE2"/>
    <w:rsid w:val="00CF5E70"/>
    <w:rsid w:val="00CF6114"/>
    <w:rsid w:val="00CF614E"/>
    <w:rsid w:val="00CF69BC"/>
    <w:rsid w:val="00CF6A6D"/>
    <w:rsid w:val="00CF6AAB"/>
    <w:rsid w:val="00CF6B1C"/>
    <w:rsid w:val="00CF6C78"/>
    <w:rsid w:val="00CF6FA8"/>
    <w:rsid w:val="00CF7083"/>
    <w:rsid w:val="00CF709A"/>
    <w:rsid w:val="00CF733B"/>
    <w:rsid w:val="00CF747B"/>
    <w:rsid w:val="00CF7495"/>
    <w:rsid w:val="00CF76F0"/>
    <w:rsid w:val="00CF7771"/>
    <w:rsid w:val="00CF7784"/>
    <w:rsid w:val="00CF7AAB"/>
    <w:rsid w:val="00CF7C27"/>
    <w:rsid w:val="00D0040D"/>
    <w:rsid w:val="00D00F40"/>
    <w:rsid w:val="00D010B9"/>
    <w:rsid w:val="00D01193"/>
    <w:rsid w:val="00D013F4"/>
    <w:rsid w:val="00D01466"/>
    <w:rsid w:val="00D01478"/>
    <w:rsid w:val="00D01629"/>
    <w:rsid w:val="00D0192F"/>
    <w:rsid w:val="00D01EF0"/>
    <w:rsid w:val="00D0203B"/>
    <w:rsid w:val="00D02193"/>
    <w:rsid w:val="00D02718"/>
    <w:rsid w:val="00D02784"/>
    <w:rsid w:val="00D02A53"/>
    <w:rsid w:val="00D02A7D"/>
    <w:rsid w:val="00D02BD5"/>
    <w:rsid w:val="00D02CF4"/>
    <w:rsid w:val="00D02EC2"/>
    <w:rsid w:val="00D030B7"/>
    <w:rsid w:val="00D032F9"/>
    <w:rsid w:val="00D0359E"/>
    <w:rsid w:val="00D0362F"/>
    <w:rsid w:val="00D03822"/>
    <w:rsid w:val="00D03AE5"/>
    <w:rsid w:val="00D03B3C"/>
    <w:rsid w:val="00D03EE5"/>
    <w:rsid w:val="00D03EEF"/>
    <w:rsid w:val="00D03F80"/>
    <w:rsid w:val="00D04126"/>
    <w:rsid w:val="00D0428F"/>
    <w:rsid w:val="00D043A9"/>
    <w:rsid w:val="00D0460C"/>
    <w:rsid w:val="00D048B1"/>
    <w:rsid w:val="00D04AB0"/>
    <w:rsid w:val="00D04FCC"/>
    <w:rsid w:val="00D05060"/>
    <w:rsid w:val="00D05335"/>
    <w:rsid w:val="00D05342"/>
    <w:rsid w:val="00D0563C"/>
    <w:rsid w:val="00D05934"/>
    <w:rsid w:val="00D059B6"/>
    <w:rsid w:val="00D05B0E"/>
    <w:rsid w:val="00D05D5E"/>
    <w:rsid w:val="00D05D5F"/>
    <w:rsid w:val="00D06239"/>
    <w:rsid w:val="00D062C2"/>
    <w:rsid w:val="00D06519"/>
    <w:rsid w:val="00D065B1"/>
    <w:rsid w:val="00D0664C"/>
    <w:rsid w:val="00D067D3"/>
    <w:rsid w:val="00D06A5C"/>
    <w:rsid w:val="00D06F14"/>
    <w:rsid w:val="00D0717E"/>
    <w:rsid w:val="00D0721D"/>
    <w:rsid w:val="00D07232"/>
    <w:rsid w:val="00D07876"/>
    <w:rsid w:val="00D07928"/>
    <w:rsid w:val="00D07BE6"/>
    <w:rsid w:val="00D100F7"/>
    <w:rsid w:val="00D109CB"/>
    <w:rsid w:val="00D10E08"/>
    <w:rsid w:val="00D111DA"/>
    <w:rsid w:val="00D114B1"/>
    <w:rsid w:val="00D114EF"/>
    <w:rsid w:val="00D11BAC"/>
    <w:rsid w:val="00D123C2"/>
    <w:rsid w:val="00D12428"/>
    <w:rsid w:val="00D124EC"/>
    <w:rsid w:val="00D12C54"/>
    <w:rsid w:val="00D12D3A"/>
    <w:rsid w:val="00D12E98"/>
    <w:rsid w:val="00D13181"/>
    <w:rsid w:val="00D13CF9"/>
    <w:rsid w:val="00D13F0C"/>
    <w:rsid w:val="00D1434E"/>
    <w:rsid w:val="00D1447A"/>
    <w:rsid w:val="00D1456D"/>
    <w:rsid w:val="00D14727"/>
    <w:rsid w:val="00D1474E"/>
    <w:rsid w:val="00D148BB"/>
    <w:rsid w:val="00D15114"/>
    <w:rsid w:val="00D152D6"/>
    <w:rsid w:val="00D157ED"/>
    <w:rsid w:val="00D15A83"/>
    <w:rsid w:val="00D15BAC"/>
    <w:rsid w:val="00D15E48"/>
    <w:rsid w:val="00D15F2E"/>
    <w:rsid w:val="00D16139"/>
    <w:rsid w:val="00D164AC"/>
    <w:rsid w:val="00D167E6"/>
    <w:rsid w:val="00D16857"/>
    <w:rsid w:val="00D16BD1"/>
    <w:rsid w:val="00D16E48"/>
    <w:rsid w:val="00D17000"/>
    <w:rsid w:val="00D17168"/>
    <w:rsid w:val="00D171F1"/>
    <w:rsid w:val="00D175D8"/>
    <w:rsid w:val="00D176D6"/>
    <w:rsid w:val="00D177C1"/>
    <w:rsid w:val="00D1782A"/>
    <w:rsid w:val="00D1797A"/>
    <w:rsid w:val="00D17B5E"/>
    <w:rsid w:val="00D17BA4"/>
    <w:rsid w:val="00D17CCC"/>
    <w:rsid w:val="00D17FA8"/>
    <w:rsid w:val="00D2017B"/>
    <w:rsid w:val="00D2081B"/>
    <w:rsid w:val="00D2086A"/>
    <w:rsid w:val="00D2089F"/>
    <w:rsid w:val="00D20CBE"/>
    <w:rsid w:val="00D20EF5"/>
    <w:rsid w:val="00D210CE"/>
    <w:rsid w:val="00D2179F"/>
    <w:rsid w:val="00D21837"/>
    <w:rsid w:val="00D219FD"/>
    <w:rsid w:val="00D21FB3"/>
    <w:rsid w:val="00D2214E"/>
    <w:rsid w:val="00D2223D"/>
    <w:rsid w:val="00D224C0"/>
    <w:rsid w:val="00D225D4"/>
    <w:rsid w:val="00D2288D"/>
    <w:rsid w:val="00D23003"/>
    <w:rsid w:val="00D232BA"/>
    <w:rsid w:val="00D23404"/>
    <w:rsid w:val="00D23460"/>
    <w:rsid w:val="00D23473"/>
    <w:rsid w:val="00D238B6"/>
    <w:rsid w:val="00D24129"/>
    <w:rsid w:val="00D2435F"/>
    <w:rsid w:val="00D24479"/>
    <w:rsid w:val="00D246BE"/>
    <w:rsid w:val="00D24A07"/>
    <w:rsid w:val="00D24A2A"/>
    <w:rsid w:val="00D25021"/>
    <w:rsid w:val="00D25092"/>
    <w:rsid w:val="00D254C2"/>
    <w:rsid w:val="00D25845"/>
    <w:rsid w:val="00D25C2D"/>
    <w:rsid w:val="00D25C5D"/>
    <w:rsid w:val="00D25E7F"/>
    <w:rsid w:val="00D262FE"/>
    <w:rsid w:val="00D2652C"/>
    <w:rsid w:val="00D26583"/>
    <w:rsid w:val="00D265F5"/>
    <w:rsid w:val="00D26768"/>
    <w:rsid w:val="00D2678B"/>
    <w:rsid w:val="00D26922"/>
    <w:rsid w:val="00D26974"/>
    <w:rsid w:val="00D26A9A"/>
    <w:rsid w:val="00D26B6D"/>
    <w:rsid w:val="00D26D80"/>
    <w:rsid w:val="00D270C0"/>
    <w:rsid w:val="00D270C1"/>
    <w:rsid w:val="00D270F4"/>
    <w:rsid w:val="00D2724F"/>
    <w:rsid w:val="00D272BA"/>
    <w:rsid w:val="00D273BB"/>
    <w:rsid w:val="00D2743E"/>
    <w:rsid w:val="00D274E3"/>
    <w:rsid w:val="00D27669"/>
    <w:rsid w:val="00D27A37"/>
    <w:rsid w:val="00D27AC9"/>
    <w:rsid w:val="00D27D15"/>
    <w:rsid w:val="00D27F43"/>
    <w:rsid w:val="00D302DA"/>
    <w:rsid w:val="00D30796"/>
    <w:rsid w:val="00D3079B"/>
    <w:rsid w:val="00D308FC"/>
    <w:rsid w:val="00D30A73"/>
    <w:rsid w:val="00D30C30"/>
    <w:rsid w:val="00D30CA6"/>
    <w:rsid w:val="00D30F22"/>
    <w:rsid w:val="00D31248"/>
    <w:rsid w:val="00D312CE"/>
    <w:rsid w:val="00D312E0"/>
    <w:rsid w:val="00D313FA"/>
    <w:rsid w:val="00D3153F"/>
    <w:rsid w:val="00D31725"/>
    <w:rsid w:val="00D31954"/>
    <w:rsid w:val="00D31AE1"/>
    <w:rsid w:val="00D31B92"/>
    <w:rsid w:val="00D31F1B"/>
    <w:rsid w:val="00D31F3E"/>
    <w:rsid w:val="00D31F75"/>
    <w:rsid w:val="00D321E7"/>
    <w:rsid w:val="00D32222"/>
    <w:rsid w:val="00D325D3"/>
    <w:rsid w:val="00D3261F"/>
    <w:rsid w:val="00D329EC"/>
    <w:rsid w:val="00D329F0"/>
    <w:rsid w:val="00D32E11"/>
    <w:rsid w:val="00D32E30"/>
    <w:rsid w:val="00D32ED0"/>
    <w:rsid w:val="00D32F4D"/>
    <w:rsid w:val="00D334C7"/>
    <w:rsid w:val="00D337D8"/>
    <w:rsid w:val="00D33BF8"/>
    <w:rsid w:val="00D33D60"/>
    <w:rsid w:val="00D340CF"/>
    <w:rsid w:val="00D34B0D"/>
    <w:rsid w:val="00D34F2B"/>
    <w:rsid w:val="00D34F70"/>
    <w:rsid w:val="00D350F3"/>
    <w:rsid w:val="00D35211"/>
    <w:rsid w:val="00D35340"/>
    <w:rsid w:val="00D35771"/>
    <w:rsid w:val="00D357B4"/>
    <w:rsid w:val="00D35893"/>
    <w:rsid w:val="00D358CC"/>
    <w:rsid w:val="00D3593A"/>
    <w:rsid w:val="00D35B5B"/>
    <w:rsid w:val="00D35E4D"/>
    <w:rsid w:val="00D360D3"/>
    <w:rsid w:val="00D363F5"/>
    <w:rsid w:val="00D3657A"/>
    <w:rsid w:val="00D36997"/>
    <w:rsid w:val="00D36A40"/>
    <w:rsid w:val="00D36B17"/>
    <w:rsid w:val="00D370FE"/>
    <w:rsid w:val="00D371ED"/>
    <w:rsid w:val="00D37386"/>
    <w:rsid w:val="00D373E5"/>
    <w:rsid w:val="00D3745C"/>
    <w:rsid w:val="00D37489"/>
    <w:rsid w:val="00D3753F"/>
    <w:rsid w:val="00D37632"/>
    <w:rsid w:val="00D3782C"/>
    <w:rsid w:val="00D37AFD"/>
    <w:rsid w:val="00D37BB3"/>
    <w:rsid w:val="00D37C84"/>
    <w:rsid w:val="00D37CC3"/>
    <w:rsid w:val="00D37D17"/>
    <w:rsid w:val="00D37D35"/>
    <w:rsid w:val="00D40492"/>
    <w:rsid w:val="00D40834"/>
    <w:rsid w:val="00D4085A"/>
    <w:rsid w:val="00D40947"/>
    <w:rsid w:val="00D40965"/>
    <w:rsid w:val="00D4098F"/>
    <w:rsid w:val="00D40E95"/>
    <w:rsid w:val="00D41188"/>
    <w:rsid w:val="00D41212"/>
    <w:rsid w:val="00D416B7"/>
    <w:rsid w:val="00D4198A"/>
    <w:rsid w:val="00D41EB1"/>
    <w:rsid w:val="00D42071"/>
    <w:rsid w:val="00D423BF"/>
    <w:rsid w:val="00D42A55"/>
    <w:rsid w:val="00D42B8C"/>
    <w:rsid w:val="00D42EA2"/>
    <w:rsid w:val="00D42F93"/>
    <w:rsid w:val="00D4345C"/>
    <w:rsid w:val="00D434EB"/>
    <w:rsid w:val="00D43A24"/>
    <w:rsid w:val="00D43E84"/>
    <w:rsid w:val="00D43FA7"/>
    <w:rsid w:val="00D443BC"/>
    <w:rsid w:val="00D444E5"/>
    <w:rsid w:val="00D44DEA"/>
    <w:rsid w:val="00D45081"/>
    <w:rsid w:val="00D458A6"/>
    <w:rsid w:val="00D45974"/>
    <w:rsid w:val="00D45978"/>
    <w:rsid w:val="00D45A37"/>
    <w:rsid w:val="00D45B22"/>
    <w:rsid w:val="00D45B9E"/>
    <w:rsid w:val="00D45CD5"/>
    <w:rsid w:val="00D45E09"/>
    <w:rsid w:val="00D45FCE"/>
    <w:rsid w:val="00D4635E"/>
    <w:rsid w:val="00D465F2"/>
    <w:rsid w:val="00D46693"/>
    <w:rsid w:val="00D467A1"/>
    <w:rsid w:val="00D46857"/>
    <w:rsid w:val="00D4693C"/>
    <w:rsid w:val="00D46C84"/>
    <w:rsid w:val="00D46D6A"/>
    <w:rsid w:val="00D46EED"/>
    <w:rsid w:val="00D46FD8"/>
    <w:rsid w:val="00D4710D"/>
    <w:rsid w:val="00D4742F"/>
    <w:rsid w:val="00D47454"/>
    <w:rsid w:val="00D47629"/>
    <w:rsid w:val="00D4799D"/>
    <w:rsid w:val="00D47E01"/>
    <w:rsid w:val="00D47ED1"/>
    <w:rsid w:val="00D47F2F"/>
    <w:rsid w:val="00D5015D"/>
    <w:rsid w:val="00D503C7"/>
    <w:rsid w:val="00D50C2B"/>
    <w:rsid w:val="00D511E7"/>
    <w:rsid w:val="00D513B4"/>
    <w:rsid w:val="00D51455"/>
    <w:rsid w:val="00D5173D"/>
    <w:rsid w:val="00D51A7E"/>
    <w:rsid w:val="00D51C60"/>
    <w:rsid w:val="00D51C84"/>
    <w:rsid w:val="00D51F5C"/>
    <w:rsid w:val="00D523B7"/>
    <w:rsid w:val="00D52436"/>
    <w:rsid w:val="00D526DE"/>
    <w:rsid w:val="00D52916"/>
    <w:rsid w:val="00D53044"/>
    <w:rsid w:val="00D531AC"/>
    <w:rsid w:val="00D535A0"/>
    <w:rsid w:val="00D5383B"/>
    <w:rsid w:val="00D53A7A"/>
    <w:rsid w:val="00D53BDB"/>
    <w:rsid w:val="00D53D50"/>
    <w:rsid w:val="00D53D52"/>
    <w:rsid w:val="00D53DAB"/>
    <w:rsid w:val="00D54093"/>
    <w:rsid w:val="00D5488F"/>
    <w:rsid w:val="00D54DC9"/>
    <w:rsid w:val="00D55217"/>
    <w:rsid w:val="00D5527C"/>
    <w:rsid w:val="00D55291"/>
    <w:rsid w:val="00D553D6"/>
    <w:rsid w:val="00D55AB9"/>
    <w:rsid w:val="00D55F2E"/>
    <w:rsid w:val="00D56074"/>
    <w:rsid w:val="00D562B9"/>
    <w:rsid w:val="00D564ED"/>
    <w:rsid w:val="00D565C8"/>
    <w:rsid w:val="00D56E5C"/>
    <w:rsid w:val="00D56FA7"/>
    <w:rsid w:val="00D5719C"/>
    <w:rsid w:val="00D571FD"/>
    <w:rsid w:val="00D57362"/>
    <w:rsid w:val="00D573DA"/>
    <w:rsid w:val="00D57402"/>
    <w:rsid w:val="00D576CD"/>
    <w:rsid w:val="00D57701"/>
    <w:rsid w:val="00D57774"/>
    <w:rsid w:val="00D57824"/>
    <w:rsid w:val="00D57A7F"/>
    <w:rsid w:val="00D57B42"/>
    <w:rsid w:val="00D57EB1"/>
    <w:rsid w:val="00D600DA"/>
    <w:rsid w:val="00D6022B"/>
    <w:rsid w:val="00D60497"/>
    <w:rsid w:val="00D60629"/>
    <w:rsid w:val="00D6066A"/>
    <w:rsid w:val="00D607C7"/>
    <w:rsid w:val="00D60E1D"/>
    <w:rsid w:val="00D6114C"/>
    <w:rsid w:val="00D611D4"/>
    <w:rsid w:val="00D6147B"/>
    <w:rsid w:val="00D61668"/>
    <w:rsid w:val="00D61814"/>
    <w:rsid w:val="00D6190A"/>
    <w:rsid w:val="00D61AD7"/>
    <w:rsid w:val="00D62066"/>
    <w:rsid w:val="00D6218C"/>
    <w:rsid w:val="00D622C4"/>
    <w:rsid w:val="00D623FF"/>
    <w:rsid w:val="00D6241A"/>
    <w:rsid w:val="00D62469"/>
    <w:rsid w:val="00D6260C"/>
    <w:rsid w:val="00D629FE"/>
    <w:rsid w:val="00D63410"/>
    <w:rsid w:val="00D636A4"/>
    <w:rsid w:val="00D636F2"/>
    <w:rsid w:val="00D63759"/>
    <w:rsid w:val="00D63B3D"/>
    <w:rsid w:val="00D63BB6"/>
    <w:rsid w:val="00D63FDB"/>
    <w:rsid w:val="00D63FEB"/>
    <w:rsid w:val="00D64134"/>
    <w:rsid w:val="00D64428"/>
    <w:rsid w:val="00D644DF"/>
    <w:rsid w:val="00D6484A"/>
    <w:rsid w:val="00D64A12"/>
    <w:rsid w:val="00D64B13"/>
    <w:rsid w:val="00D64B6B"/>
    <w:rsid w:val="00D64E11"/>
    <w:rsid w:val="00D65072"/>
    <w:rsid w:val="00D65407"/>
    <w:rsid w:val="00D66076"/>
    <w:rsid w:val="00D662CE"/>
    <w:rsid w:val="00D663E2"/>
    <w:rsid w:val="00D6678C"/>
    <w:rsid w:val="00D6695A"/>
    <w:rsid w:val="00D66B77"/>
    <w:rsid w:val="00D66F59"/>
    <w:rsid w:val="00D673EB"/>
    <w:rsid w:val="00D67758"/>
    <w:rsid w:val="00D67E14"/>
    <w:rsid w:val="00D67E19"/>
    <w:rsid w:val="00D67E1B"/>
    <w:rsid w:val="00D67E24"/>
    <w:rsid w:val="00D70010"/>
    <w:rsid w:val="00D7007B"/>
    <w:rsid w:val="00D70118"/>
    <w:rsid w:val="00D7019D"/>
    <w:rsid w:val="00D70273"/>
    <w:rsid w:val="00D7038E"/>
    <w:rsid w:val="00D706D8"/>
    <w:rsid w:val="00D70759"/>
    <w:rsid w:val="00D71047"/>
    <w:rsid w:val="00D7136E"/>
    <w:rsid w:val="00D719D1"/>
    <w:rsid w:val="00D71CD5"/>
    <w:rsid w:val="00D720C7"/>
    <w:rsid w:val="00D721AC"/>
    <w:rsid w:val="00D7242F"/>
    <w:rsid w:val="00D7260D"/>
    <w:rsid w:val="00D72714"/>
    <w:rsid w:val="00D727E9"/>
    <w:rsid w:val="00D728BA"/>
    <w:rsid w:val="00D72CF7"/>
    <w:rsid w:val="00D72E7F"/>
    <w:rsid w:val="00D7305C"/>
    <w:rsid w:val="00D736F3"/>
    <w:rsid w:val="00D73954"/>
    <w:rsid w:val="00D73AA8"/>
    <w:rsid w:val="00D73C0C"/>
    <w:rsid w:val="00D73D9D"/>
    <w:rsid w:val="00D73F78"/>
    <w:rsid w:val="00D73F97"/>
    <w:rsid w:val="00D740C8"/>
    <w:rsid w:val="00D7411E"/>
    <w:rsid w:val="00D7414C"/>
    <w:rsid w:val="00D74227"/>
    <w:rsid w:val="00D742D0"/>
    <w:rsid w:val="00D7479E"/>
    <w:rsid w:val="00D74998"/>
    <w:rsid w:val="00D74BCE"/>
    <w:rsid w:val="00D74C2D"/>
    <w:rsid w:val="00D74FB0"/>
    <w:rsid w:val="00D75211"/>
    <w:rsid w:val="00D75456"/>
    <w:rsid w:val="00D754C7"/>
    <w:rsid w:val="00D75836"/>
    <w:rsid w:val="00D759CA"/>
    <w:rsid w:val="00D75D79"/>
    <w:rsid w:val="00D76022"/>
    <w:rsid w:val="00D7614A"/>
    <w:rsid w:val="00D7634F"/>
    <w:rsid w:val="00D7643C"/>
    <w:rsid w:val="00D76559"/>
    <w:rsid w:val="00D76590"/>
    <w:rsid w:val="00D76826"/>
    <w:rsid w:val="00D7692B"/>
    <w:rsid w:val="00D76AC1"/>
    <w:rsid w:val="00D76C69"/>
    <w:rsid w:val="00D76FD3"/>
    <w:rsid w:val="00D77049"/>
    <w:rsid w:val="00D77071"/>
    <w:rsid w:val="00D772C2"/>
    <w:rsid w:val="00D773F5"/>
    <w:rsid w:val="00D773F9"/>
    <w:rsid w:val="00D77503"/>
    <w:rsid w:val="00D77C77"/>
    <w:rsid w:val="00D77E3F"/>
    <w:rsid w:val="00D77F17"/>
    <w:rsid w:val="00D80030"/>
    <w:rsid w:val="00D8012B"/>
    <w:rsid w:val="00D809A3"/>
    <w:rsid w:val="00D80CDD"/>
    <w:rsid w:val="00D81088"/>
    <w:rsid w:val="00D8115C"/>
    <w:rsid w:val="00D81174"/>
    <w:rsid w:val="00D81517"/>
    <w:rsid w:val="00D81A63"/>
    <w:rsid w:val="00D81B97"/>
    <w:rsid w:val="00D81DB7"/>
    <w:rsid w:val="00D8200A"/>
    <w:rsid w:val="00D8221B"/>
    <w:rsid w:val="00D82577"/>
    <w:rsid w:val="00D825C5"/>
    <w:rsid w:val="00D82627"/>
    <w:rsid w:val="00D826CF"/>
    <w:rsid w:val="00D82E90"/>
    <w:rsid w:val="00D83028"/>
    <w:rsid w:val="00D831F6"/>
    <w:rsid w:val="00D83266"/>
    <w:rsid w:val="00D832CB"/>
    <w:rsid w:val="00D833F8"/>
    <w:rsid w:val="00D83400"/>
    <w:rsid w:val="00D83443"/>
    <w:rsid w:val="00D83533"/>
    <w:rsid w:val="00D8362B"/>
    <w:rsid w:val="00D83778"/>
    <w:rsid w:val="00D83883"/>
    <w:rsid w:val="00D83A76"/>
    <w:rsid w:val="00D83B79"/>
    <w:rsid w:val="00D840C0"/>
    <w:rsid w:val="00D84172"/>
    <w:rsid w:val="00D842DD"/>
    <w:rsid w:val="00D845BC"/>
    <w:rsid w:val="00D847FC"/>
    <w:rsid w:val="00D84A82"/>
    <w:rsid w:val="00D84AC8"/>
    <w:rsid w:val="00D84AFD"/>
    <w:rsid w:val="00D854E7"/>
    <w:rsid w:val="00D85CA7"/>
    <w:rsid w:val="00D85DE7"/>
    <w:rsid w:val="00D86239"/>
    <w:rsid w:val="00D863B1"/>
    <w:rsid w:val="00D8643C"/>
    <w:rsid w:val="00D86A64"/>
    <w:rsid w:val="00D86DB7"/>
    <w:rsid w:val="00D86DC4"/>
    <w:rsid w:val="00D86E43"/>
    <w:rsid w:val="00D86F74"/>
    <w:rsid w:val="00D87106"/>
    <w:rsid w:val="00D87129"/>
    <w:rsid w:val="00D873CE"/>
    <w:rsid w:val="00D87512"/>
    <w:rsid w:val="00D87719"/>
    <w:rsid w:val="00D87C80"/>
    <w:rsid w:val="00D90119"/>
    <w:rsid w:val="00D90191"/>
    <w:rsid w:val="00D9055E"/>
    <w:rsid w:val="00D9078D"/>
    <w:rsid w:val="00D9085C"/>
    <w:rsid w:val="00D9093C"/>
    <w:rsid w:val="00D90A15"/>
    <w:rsid w:val="00D90A91"/>
    <w:rsid w:val="00D90B8B"/>
    <w:rsid w:val="00D90CAC"/>
    <w:rsid w:val="00D9135E"/>
    <w:rsid w:val="00D91394"/>
    <w:rsid w:val="00D91687"/>
    <w:rsid w:val="00D91A5D"/>
    <w:rsid w:val="00D91EF7"/>
    <w:rsid w:val="00D9224F"/>
    <w:rsid w:val="00D922F3"/>
    <w:rsid w:val="00D92983"/>
    <w:rsid w:val="00D929A2"/>
    <w:rsid w:val="00D92BE0"/>
    <w:rsid w:val="00D92CF9"/>
    <w:rsid w:val="00D92DF0"/>
    <w:rsid w:val="00D92ED9"/>
    <w:rsid w:val="00D92F12"/>
    <w:rsid w:val="00D93182"/>
    <w:rsid w:val="00D93221"/>
    <w:rsid w:val="00D93505"/>
    <w:rsid w:val="00D9367C"/>
    <w:rsid w:val="00D937A5"/>
    <w:rsid w:val="00D9385A"/>
    <w:rsid w:val="00D93F60"/>
    <w:rsid w:val="00D94061"/>
    <w:rsid w:val="00D94063"/>
    <w:rsid w:val="00D941E4"/>
    <w:rsid w:val="00D94755"/>
    <w:rsid w:val="00D94780"/>
    <w:rsid w:val="00D94B1A"/>
    <w:rsid w:val="00D94C3A"/>
    <w:rsid w:val="00D94C5F"/>
    <w:rsid w:val="00D94CB9"/>
    <w:rsid w:val="00D94EB4"/>
    <w:rsid w:val="00D94FD1"/>
    <w:rsid w:val="00D951D9"/>
    <w:rsid w:val="00D95209"/>
    <w:rsid w:val="00D95311"/>
    <w:rsid w:val="00D955C1"/>
    <w:rsid w:val="00D95621"/>
    <w:rsid w:val="00D95B63"/>
    <w:rsid w:val="00D95F2F"/>
    <w:rsid w:val="00D9613D"/>
    <w:rsid w:val="00D961A1"/>
    <w:rsid w:val="00D96203"/>
    <w:rsid w:val="00D962FD"/>
    <w:rsid w:val="00D9631E"/>
    <w:rsid w:val="00D96334"/>
    <w:rsid w:val="00D9654E"/>
    <w:rsid w:val="00D96AD5"/>
    <w:rsid w:val="00D96BCD"/>
    <w:rsid w:val="00D96CCF"/>
    <w:rsid w:val="00D9712C"/>
    <w:rsid w:val="00D97301"/>
    <w:rsid w:val="00D97373"/>
    <w:rsid w:val="00D9781A"/>
    <w:rsid w:val="00D97855"/>
    <w:rsid w:val="00D978C4"/>
    <w:rsid w:val="00D97914"/>
    <w:rsid w:val="00DA0031"/>
    <w:rsid w:val="00DA0316"/>
    <w:rsid w:val="00DA0953"/>
    <w:rsid w:val="00DA0A6C"/>
    <w:rsid w:val="00DA0C57"/>
    <w:rsid w:val="00DA11AE"/>
    <w:rsid w:val="00DA1218"/>
    <w:rsid w:val="00DA1228"/>
    <w:rsid w:val="00DA1239"/>
    <w:rsid w:val="00DA126B"/>
    <w:rsid w:val="00DA13F0"/>
    <w:rsid w:val="00DA183B"/>
    <w:rsid w:val="00DA1899"/>
    <w:rsid w:val="00DA1D04"/>
    <w:rsid w:val="00DA1D2C"/>
    <w:rsid w:val="00DA1D7D"/>
    <w:rsid w:val="00DA1EA1"/>
    <w:rsid w:val="00DA2001"/>
    <w:rsid w:val="00DA2864"/>
    <w:rsid w:val="00DA2B5D"/>
    <w:rsid w:val="00DA2BAF"/>
    <w:rsid w:val="00DA2DBC"/>
    <w:rsid w:val="00DA316E"/>
    <w:rsid w:val="00DA31E6"/>
    <w:rsid w:val="00DA3290"/>
    <w:rsid w:val="00DA3439"/>
    <w:rsid w:val="00DA3B18"/>
    <w:rsid w:val="00DA3DD3"/>
    <w:rsid w:val="00DA3F56"/>
    <w:rsid w:val="00DA40A7"/>
    <w:rsid w:val="00DA4176"/>
    <w:rsid w:val="00DA4550"/>
    <w:rsid w:val="00DA467F"/>
    <w:rsid w:val="00DA46BF"/>
    <w:rsid w:val="00DA47AD"/>
    <w:rsid w:val="00DA4947"/>
    <w:rsid w:val="00DA4A9D"/>
    <w:rsid w:val="00DA4ACF"/>
    <w:rsid w:val="00DA4C0F"/>
    <w:rsid w:val="00DA4FC9"/>
    <w:rsid w:val="00DA5B82"/>
    <w:rsid w:val="00DA5D21"/>
    <w:rsid w:val="00DA5D2D"/>
    <w:rsid w:val="00DA5D7B"/>
    <w:rsid w:val="00DA5FBB"/>
    <w:rsid w:val="00DA60E8"/>
    <w:rsid w:val="00DA64B0"/>
    <w:rsid w:val="00DA6540"/>
    <w:rsid w:val="00DA6637"/>
    <w:rsid w:val="00DA6936"/>
    <w:rsid w:val="00DA694C"/>
    <w:rsid w:val="00DA6B57"/>
    <w:rsid w:val="00DA75A7"/>
    <w:rsid w:val="00DA77B1"/>
    <w:rsid w:val="00DA7949"/>
    <w:rsid w:val="00DA7D36"/>
    <w:rsid w:val="00DB0018"/>
    <w:rsid w:val="00DB00C7"/>
    <w:rsid w:val="00DB0306"/>
    <w:rsid w:val="00DB0568"/>
    <w:rsid w:val="00DB08BF"/>
    <w:rsid w:val="00DB0BD8"/>
    <w:rsid w:val="00DB0F92"/>
    <w:rsid w:val="00DB1226"/>
    <w:rsid w:val="00DB12E2"/>
    <w:rsid w:val="00DB1343"/>
    <w:rsid w:val="00DB134C"/>
    <w:rsid w:val="00DB179C"/>
    <w:rsid w:val="00DB17EA"/>
    <w:rsid w:val="00DB17F1"/>
    <w:rsid w:val="00DB1942"/>
    <w:rsid w:val="00DB1B0E"/>
    <w:rsid w:val="00DB1EEB"/>
    <w:rsid w:val="00DB20B0"/>
    <w:rsid w:val="00DB2131"/>
    <w:rsid w:val="00DB26F1"/>
    <w:rsid w:val="00DB272C"/>
    <w:rsid w:val="00DB2878"/>
    <w:rsid w:val="00DB2D64"/>
    <w:rsid w:val="00DB2E52"/>
    <w:rsid w:val="00DB33E9"/>
    <w:rsid w:val="00DB358D"/>
    <w:rsid w:val="00DB395A"/>
    <w:rsid w:val="00DB3EDC"/>
    <w:rsid w:val="00DB3EE8"/>
    <w:rsid w:val="00DB407E"/>
    <w:rsid w:val="00DB445D"/>
    <w:rsid w:val="00DB490E"/>
    <w:rsid w:val="00DB4EE5"/>
    <w:rsid w:val="00DB4EFF"/>
    <w:rsid w:val="00DB5091"/>
    <w:rsid w:val="00DB53CC"/>
    <w:rsid w:val="00DB5476"/>
    <w:rsid w:val="00DB5818"/>
    <w:rsid w:val="00DB592C"/>
    <w:rsid w:val="00DB5E5D"/>
    <w:rsid w:val="00DB615F"/>
    <w:rsid w:val="00DB61D1"/>
    <w:rsid w:val="00DB6247"/>
    <w:rsid w:val="00DB6283"/>
    <w:rsid w:val="00DB6332"/>
    <w:rsid w:val="00DB63A5"/>
    <w:rsid w:val="00DB6428"/>
    <w:rsid w:val="00DB65FA"/>
    <w:rsid w:val="00DB67E6"/>
    <w:rsid w:val="00DB6947"/>
    <w:rsid w:val="00DB6AA2"/>
    <w:rsid w:val="00DB6C50"/>
    <w:rsid w:val="00DB6D76"/>
    <w:rsid w:val="00DB6E4A"/>
    <w:rsid w:val="00DB700E"/>
    <w:rsid w:val="00DB70BE"/>
    <w:rsid w:val="00DB72B3"/>
    <w:rsid w:val="00DB76B0"/>
    <w:rsid w:val="00DB7B11"/>
    <w:rsid w:val="00DB7C4D"/>
    <w:rsid w:val="00DC003F"/>
    <w:rsid w:val="00DC0201"/>
    <w:rsid w:val="00DC0266"/>
    <w:rsid w:val="00DC0275"/>
    <w:rsid w:val="00DC0497"/>
    <w:rsid w:val="00DC051D"/>
    <w:rsid w:val="00DC07FB"/>
    <w:rsid w:val="00DC0934"/>
    <w:rsid w:val="00DC0947"/>
    <w:rsid w:val="00DC0AE7"/>
    <w:rsid w:val="00DC0B18"/>
    <w:rsid w:val="00DC1086"/>
    <w:rsid w:val="00DC12C2"/>
    <w:rsid w:val="00DC1355"/>
    <w:rsid w:val="00DC1797"/>
    <w:rsid w:val="00DC17CC"/>
    <w:rsid w:val="00DC196F"/>
    <w:rsid w:val="00DC1CFA"/>
    <w:rsid w:val="00DC2844"/>
    <w:rsid w:val="00DC2CF6"/>
    <w:rsid w:val="00DC2F37"/>
    <w:rsid w:val="00DC3274"/>
    <w:rsid w:val="00DC334A"/>
    <w:rsid w:val="00DC36BC"/>
    <w:rsid w:val="00DC39EB"/>
    <w:rsid w:val="00DC3A6F"/>
    <w:rsid w:val="00DC3BDF"/>
    <w:rsid w:val="00DC3EB2"/>
    <w:rsid w:val="00DC4019"/>
    <w:rsid w:val="00DC475D"/>
    <w:rsid w:val="00DC47F0"/>
    <w:rsid w:val="00DC4A5C"/>
    <w:rsid w:val="00DC4CE5"/>
    <w:rsid w:val="00DC4D50"/>
    <w:rsid w:val="00DC4DF6"/>
    <w:rsid w:val="00DC4DF7"/>
    <w:rsid w:val="00DC4F61"/>
    <w:rsid w:val="00DC5133"/>
    <w:rsid w:val="00DC5208"/>
    <w:rsid w:val="00DC53BF"/>
    <w:rsid w:val="00DC56D2"/>
    <w:rsid w:val="00DC592D"/>
    <w:rsid w:val="00DC5AAA"/>
    <w:rsid w:val="00DC5E1E"/>
    <w:rsid w:val="00DC6187"/>
    <w:rsid w:val="00DC6224"/>
    <w:rsid w:val="00DC65DF"/>
    <w:rsid w:val="00DC66A1"/>
    <w:rsid w:val="00DC67F0"/>
    <w:rsid w:val="00DC68B2"/>
    <w:rsid w:val="00DC6955"/>
    <w:rsid w:val="00DC6AB8"/>
    <w:rsid w:val="00DC6C94"/>
    <w:rsid w:val="00DC6FCD"/>
    <w:rsid w:val="00DC70A7"/>
    <w:rsid w:val="00DC71F2"/>
    <w:rsid w:val="00DC71FC"/>
    <w:rsid w:val="00DC7235"/>
    <w:rsid w:val="00DC73E2"/>
    <w:rsid w:val="00DC76B0"/>
    <w:rsid w:val="00DC77B8"/>
    <w:rsid w:val="00DD002E"/>
    <w:rsid w:val="00DD0076"/>
    <w:rsid w:val="00DD022E"/>
    <w:rsid w:val="00DD0314"/>
    <w:rsid w:val="00DD04F4"/>
    <w:rsid w:val="00DD09AF"/>
    <w:rsid w:val="00DD0AC5"/>
    <w:rsid w:val="00DD0DB4"/>
    <w:rsid w:val="00DD0F8E"/>
    <w:rsid w:val="00DD13F6"/>
    <w:rsid w:val="00DD178A"/>
    <w:rsid w:val="00DD1A7B"/>
    <w:rsid w:val="00DD1B64"/>
    <w:rsid w:val="00DD1F97"/>
    <w:rsid w:val="00DD24F6"/>
    <w:rsid w:val="00DD2856"/>
    <w:rsid w:val="00DD2917"/>
    <w:rsid w:val="00DD2929"/>
    <w:rsid w:val="00DD2D57"/>
    <w:rsid w:val="00DD2ED2"/>
    <w:rsid w:val="00DD2FE1"/>
    <w:rsid w:val="00DD3098"/>
    <w:rsid w:val="00DD31EB"/>
    <w:rsid w:val="00DD34D7"/>
    <w:rsid w:val="00DD35DE"/>
    <w:rsid w:val="00DD374F"/>
    <w:rsid w:val="00DD38C6"/>
    <w:rsid w:val="00DD3999"/>
    <w:rsid w:val="00DD39EF"/>
    <w:rsid w:val="00DD3B53"/>
    <w:rsid w:val="00DD40B9"/>
    <w:rsid w:val="00DD40BF"/>
    <w:rsid w:val="00DD4430"/>
    <w:rsid w:val="00DD45A3"/>
    <w:rsid w:val="00DD47A6"/>
    <w:rsid w:val="00DD4954"/>
    <w:rsid w:val="00DD4C50"/>
    <w:rsid w:val="00DD530B"/>
    <w:rsid w:val="00DD5AAA"/>
    <w:rsid w:val="00DD5AD1"/>
    <w:rsid w:val="00DD5B3A"/>
    <w:rsid w:val="00DD5C4F"/>
    <w:rsid w:val="00DD5C6A"/>
    <w:rsid w:val="00DD5CCA"/>
    <w:rsid w:val="00DD6081"/>
    <w:rsid w:val="00DD611F"/>
    <w:rsid w:val="00DD63CE"/>
    <w:rsid w:val="00DD640A"/>
    <w:rsid w:val="00DD66D0"/>
    <w:rsid w:val="00DD678C"/>
    <w:rsid w:val="00DD68BA"/>
    <w:rsid w:val="00DD702F"/>
    <w:rsid w:val="00DD724F"/>
    <w:rsid w:val="00DD72F0"/>
    <w:rsid w:val="00DD74C3"/>
    <w:rsid w:val="00DD7591"/>
    <w:rsid w:val="00DD75FF"/>
    <w:rsid w:val="00DD76E0"/>
    <w:rsid w:val="00DD7A1C"/>
    <w:rsid w:val="00DD7AF7"/>
    <w:rsid w:val="00DD7DDF"/>
    <w:rsid w:val="00DD7E26"/>
    <w:rsid w:val="00DD7E4F"/>
    <w:rsid w:val="00DD7F77"/>
    <w:rsid w:val="00DE0202"/>
    <w:rsid w:val="00DE024F"/>
    <w:rsid w:val="00DE0256"/>
    <w:rsid w:val="00DE0AA8"/>
    <w:rsid w:val="00DE0EA8"/>
    <w:rsid w:val="00DE0EB9"/>
    <w:rsid w:val="00DE1127"/>
    <w:rsid w:val="00DE1377"/>
    <w:rsid w:val="00DE1379"/>
    <w:rsid w:val="00DE1395"/>
    <w:rsid w:val="00DE1669"/>
    <w:rsid w:val="00DE16D4"/>
    <w:rsid w:val="00DE1922"/>
    <w:rsid w:val="00DE1A89"/>
    <w:rsid w:val="00DE1BC2"/>
    <w:rsid w:val="00DE1EB8"/>
    <w:rsid w:val="00DE1F82"/>
    <w:rsid w:val="00DE2391"/>
    <w:rsid w:val="00DE2453"/>
    <w:rsid w:val="00DE24B6"/>
    <w:rsid w:val="00DE260A"/>
    <w:rsid w:val="00DE2A9C"/>
    <w:rsid w:val="00DE2AC9"/>
    <w:rsid w:val="00DE31CC"/>
    <w:rsid w:val="00DE325E"/>
    <w:rsid w:val="00DE3462"/>
    <w:rsid w:val="00DE3916"/>
    <w:rsid w:val="00DE3A3D"/>
    <w:rsid w:val="00DE3F8E"/>
    <w:rsid w:val="00DE4364"/>
    <w:rsid w:val="00DE452E"/>
    <w:rsid w:val="00DE4729"/>
    <w:rsid w:val="00DE48AA"/>
    <w:rsid w:val="00DE4B18"/>
    <w:rsid w:val="00DE4BB0"/>
    <w:rsid w:val="00DE4EFC"/>
    <w:rsid w:val="00DE5271"/>
    <w:rsid w:val="00DE543A"/>
    <w:rsid w:val="00DE56FE"/>
    <w:rsid w:val="00DE5746"/>
    <w:rsid w:val="00DE58AA"/>
    <w:rsid w:val="00DE59A4"/>
    <w:rsid w:val="00DE5C71"/>
    <w:rsid w:val="00DE5DF9"/>
    <w:rsid w:val="00DE5EC4"/>
    <w:rsid w:val="00DE5EE1"/>
    <w:rsid w:val="00DE5F57"/>
    <w:rsid w:val="00DE61E5"/>
    <w:rsid w:val="00DE63CE"/>
    <w:rsid w:val="00DE645F"/>
    <w:rsid w:val="00DE6474"/>
    <w:rsid w:val="00DE6817"/>
    <w:rsid w:val="00DE68D7"/>
    <w:rsid w:val="00DE6CD3"/>
    <w:rsid w:val="00DE6D46"/>
    <w:rsid w:val="00DE6D71"/>
    <w:rsid w:val="00DE6DAD"/>
    <w:rsid w:val="00DE7529"/>
    <w:rsid w:val="00DE76E0"/>
    <w:rsid w:val="00DE788B"/>
    <w:rsid w:val="00DE79F1"/>
    <w:rsid w:val="00DE7B37"/>
    <w:rsid w:val="00DE7BCA"/>
    <w:rsid w:val="00DE7FD8"/>
    <w:rsid w:val="00DF0961"/>
    <w:rsid w:val="00DF0988"/>
    <w:rsid w:val="00DF0D43"/>
    <w:rsid w:val="00DF0D6C"/>
    <w:rsid w:val="00DF0E54"/>
    <w:rsid w:val="00DF0EC7"/>
    <w:rsid w:val="00DF0F2D"/>
    <w:rsid w:val="00DF0F5E"/>
    <w:rsid w:val="00DF11E1"/>
    <w:rsid w:val="00DF12B9"/>
    <w:rsid w:val="00DF1338"/>
    <w:rsid w:val="00DF1507"/>
    <w:rsid w:val="00DF1547"/>
    <w:rsid w:val="00DF16BD"/>
    <w:rsid w:val="00DF1A6E"/>
    <w:rsid w:val="00DF1EBE"/>
    <w:rsid w:val="00DF1EE6"/>
    <w:rsid w:val="00DF212E"/>
    <w:rsid w:val="00DF217F"/>
    <w:rsid w:val="00DF2309"/>
    <w:rsid w:val="00DF2429"/>
    <w:rsid w:val="00DF2603"/>
    <w:rsid w:val="00DF2703"/>
    <w:rsid w:val="00DF28EB"/>
    <w:rsid w:val="00DF2AB5"/>
    <w:rsid w:val="00DF2BEE"/>
    <w:rsid w:val="00DF2E1C"/>
    <w:rsid w:val="00DF3177"/>
    <w:rsid w:val="00DF31C1"/>
    <w:rsid w:val="00DF332E"/>
    <w:rsid w:val="00DF3421"/>
    <w:rsid w:val="00DF3544"/>
    <w:rsid w:val="00DF355A"/>
    <w:rsid w:val="00DF3709"/>
    <w:rsid w:val="00DF3A3D"/>
    <w:rsid w:val="00DF40E5"/>
    <w:rsid w:val="00DF40F4"/>
    <w:rsid w:val="00DF423B"/>
    <w:rsid w:val="00DF42EF"/>
    <w:rsid w:val="00DF443C"/>
    <w:rsid w:val="00DF44DB"/>
    <w:rsid w:val="00DF45CF"/>
    <w:rsid w:val="00DF479E"/>
    <w:rsid w:val="00DF493C"/>
    <w:rsid w:val="00DF4BCD"/>
    <w:rsid w:val="00DF51F0"/>
    <w:rsid w:val="00DF5753"/>
    <w:rsid w:val="00DF59C8"/>
    <w:rsid w:val="00DF5A22"/>
    <w:rsid w:val="00DF5A37"/>
    <w:rsid w:val="00DF5EE2"/>
    <w:rsid w:val="00DF60E4"/>
    <w:rsid w:val="00DF60F0"/>
    <w:rsid w:val="00DF616A"/>
    <w:rsid w:val="00DF65B4"/>
    <w:rsid w:val="00DF6A73"/>
    <w:rsid w:val="00DF6BBB"/>
    <w:rsid w:val="00DF6C46"/>
    <w:rsid w:val="00DF73B0"/>
    <w:rsid w:val="00DF74E8"/>
    <w:rsid w:val="00DF7ACA"/>
    <w:rsid w:val="00DF7DC4"/>
    <w:rsid w:val="00E000E5"/>
    <w:rsid w:val="00E00329"/>
    <w:rsid w:val="00E00469"/>
    <w:rsid w:val="00E00513"/>
    <w:rsid w:val="00E006BE"/>
    <w:rsid w:val="00E008E8"/>
    <w:rsid w:val="00E00938"/>
    <w:rsid w:val="00E00960"/>
    <w:rsid w:val="00E00C0B"/>
    <w:rsid w:val="00E00DBC"/>
    <w:rsid w:val="00E01350"/>
    <w:rsid w:val="00E014DF"/>
    <w:rsid w:val="00E015B1"/>
    <w:rsid w:val="00E01B15"/>
    <w:rsid w:val="00E01C1B"/>
    <w:rsid w:val="00E01F1F"/>
    <w:rsid w:val="00E0201D"/>
    <w:rsid w:val="00E02304"/>
    <w:rsid w:val="00E02591"/>
    <w:rsid w:val="00E026B6"/>
    <w:rsid w:val="00E02ABE"/>
    <w:rsid w:val="00E02D64"/>
    <w:rsid w:val="00E02E71"/>
    <w:rsid w:val="00E02FC9"/>
    <w:rsid w:val="00E0322B"/>
    <w:rsid w:val="00E037CE"/>
    <w:rsid w:val="00E037EE"/>
    <w:rsid w:val="00E03A05"/>
    <w:rsid w:val="00E03AC0"/>
    <w:rsid w:val="00E03C4C"/>
    <w:rsid w:val="00E03F5E"/>
    <w:rsid w:val="00E03F77"/>
    <w:rsid w:val="00E041DA"/>
    <w:rsid w:val="00E041F6"/>
    <w:rsid w:val="00E042B8"/>
    <w:rsid w:val="00E04352"/>
    <w:rsid w:val="00E04639"/>
    <w:rsid w:val="00E046B4"/>
    <w:rsid w:val="00E049D1"/>
    <w:rsid w:val="00E04C59"/>
    <w:rsid w:val="00E04F53"/>
    <w:rsid w:val="00E052C7"/>
    <w:rsid w:val="00E0536C"/>
    <w:rsid w:val="00E053BE"/>
    <w:rsid w:val="00E05519"/>
    <w:rsid w:val="00E05544"/>
    <w:rsid w:val="00E05778"/>
    <w:rsid w:val="00E05AF7"/>
    <w:rsid w:val="00E05C21"/>
    <w:rsid w:val="00E05D1C"/>
    <w:rsid w:val="00E05F56"/>
    <w:rsid w:val="00E06557"/>
    <w:rsid w:val="00E06634"/>
    <w:rsid w:val="00E068F3"/>
    <w:rsid w:val="00E06A10"/>
    <w:rsid w:val="00E06A62"/>
    <w:rsid w:val="00E06B56"/>
    <w:rsid w:val="00E06CE9"/>
    <w:rsid w:val="00E06E3C"/>
    <w:rsid w:val="00E072D8"/>
    <w:rsid w:val="00E07380"/>
    <w:rsid w:val="00E07715"/>
    <w:rsid w:val="00E077BB"/>
    <w:rsid w:val="00E07962"/>
    <w:rsid w:val="00E07C81"/>
    <w:rsid w:val="00E07FEB"/>
    <w:rsid w:val="00E10033"/>
    <w:rsid w:val="00E1005A"/>
    <w:rsid w:val="00E10501"/>
    <w:rsid w:val="00E10718"/>
    <w:rsid w:val="00E10A3B"/>
    <w:rsid w:val="00E10A9C"/>
    <w:rsid w:val="00E10CCC"/>
    <w:rsid w:val="00E10DC1"/>
    <w:rsid w:val="00E11143"/>
    <w:rsid w:val="00E11283"/>
    <w:rsid w:val="00E114E5"/>
    <w:rsid w:val="00E1170F"/>
    <w:rsid w:val="00E1187D"/>
    <w:rsid w:val="00E11C19"/>
    <w:rsid w:val="00E11D46"/>
    <w:rsid w:val="00E11FFB"/>
    <w:rsid w:val="00E12126"/>
    <w:rsid w:val="00E1293F"/>
    <w:rsid w:val="00E12C7F"/>
    <w:rsid w:val="00E1337E"/>
    <w:rsid w:val="00E13422"/>
    <w:rsid w:val="00E13736"/>
    <w:rsid w:val="00E13BE0"/>
    <w:rsid w:val="00E140EC"/>
    <w:rsid w:val="00E14441"/>
    <w:rsid w:val="00E1445A"/>
    <w:rsid w:val="00E1445C"/>
    <w:rsid w:val="00E1445D"/>
    <w:rsid w:val="00E144AD"/>
    <w:rsid w:val="00E14B7E"/>
    <w:rsid w:val="00E14CEC"/>
    <w:rsid w:val="00E14EA9"/>
    <w:rsid w:val="00E1517F"/>
    <w:rsid w:val="00E1525F"/>
    <w:rsid w:val="00E154C8"/>
    <w:rsid w:val="00E155A4"/>
    <w:rsid w:val="00E15643"/>
    <w:rsid w:val="00E156A4"/>
    <w:rsid w:val="00E1590A"/>
    <w:rsid w:val="00E15AEA"/>
    <w:rsid w:val="00E15C24"/>
    <w:rsid w:val="00E15D0F"/>
    <w:rsid w:val="00E15D34"/>
    <w:rsid w:val="00E1634A"/>
    <w:rsid w:val="00E164BE"/>
    <w:rsid w:val="00E16DEC"/>
    <w:rsid w:val="00E16F26"/>
    <w:rsid w:val="00E16F45"/>
    <w:rsid w:val="00E1707D"/>
    <w:rsid w:val="00E170A7"/>
    <w:rsid w:val="00E17259"/>
    <w:rsid w:val="00E175FB"/>
    <w:rsid w:val="00E177B3"/>
    <w:rsid w:val="00E17C73"/>
    <w:rsid w:val="00E17E6F"/>
    <w:rsid w:val="00E17F50"/>
    <w:rsid w:val="00E20085"/>
    <w:rsid w:val="00E20102"/>
    <w:rsid w:val="00E20366"/>
    <w:rsid w:val="00E20674"/>
    <w:rsid w:val="00E20CD9"/>
    <w:rsid w:val="00E20EF0"/>
    <w:rsid w:val="00E213EF"/>
    <w:rsid w:val="00E217E5"/>
    <w:rsid w:val="00E21BCD"/>
    <w:rsid w:val="00E21DF0"/>
    <w:rsid w:val="00E21E31"/>
    <w:rsid w:val="00E21E42"/>
    <w:rsid w:val="00E2203A"/>
    <w:rsid w:val="00E2217C"/>
    <w:rsid w:val="00E222F6"/>
    <w:rsid w:val="00E22916"/>
    <w:rsid w:val="00E22940"/>
    <w:rsid w:val="00E229AF"/>
    <w:rsid w:val="00E22B7D"/>
    <w:rsid w:val="00E22D11"/>
    <w:rsid w:val="00E22EA3"/>
    <w:rsid w:val="00E23126"/>
    <w:rsid w:val="00E231B8"/>
    <w:rsid w:val="00E2327A"/>
    <w:rsid w:val="00E236E6"/>
    <w:rsid w:val="00E2372B"/>
    <w:rsid w:val="00E23882"/>
    <w:rsid w:val="00E23A5B"/>
    <w:rsid w:val="00E23B7C"/>
    <w:rsid w:val="00E2441F"/>
    <w:rsid w:val="00E248BF"/>
    <w:rsid w:val="00E24A8A"/>
    <w:rsid w:val="00E24CB1"/>
    <w:rsid w:val="00E24E81"/>
    <w:rsid w:val="00E24F13"/>
    <w:rsid w:val="00E252B0"/>
    <w:rsid w:val="00E253D9"/>
    <w:rsid w:val="00E253ED"/>
    <w:rsid w:val="00E25892"/>
    <w:rsid w:val="00E258D0"/>
    <w:rsid w:val="00E25A57"/>
    <w:rsid w:val="00E25C58"/>
    <w:rsid w:val="00E25EFF"/>
    <w:rsid w:val="00E25F57"/>
    <w:rsid w:val="00E260C9"/>
    <w:rsid w:val="00E262C1"/>
    <w:rsid w:val="00E26562"/>
    <w:rsid w:val="00E265B3"/>
    <w:rsid w:val="00E265FF"/>
    <w:rsid w:val="00E26660"/>
    <w:rsid w:val="00E266B3"/>
    <w:rsid w:val="00E26858"/>
    <w:rsid w:val="00E26BAC"/>
    <w:rsid w:val="00E26C59"/>
    <w:rsid w:val="00E26C93"/>
    <w:rsid w:val="00E26E7D"/>
    <w:rsid w:val="00E26FA1"/>
    <w:rsid w:val="00E26FCD"/>
    <w:rsid w:val="00E27092"/>
    <w:rsid w:val="00E2711D"/>
    <w:rsid w:val="00E2758D"/>
    <w:rsid w:val="00E275AE"/>
    <w:rsid w:val="00E27639"/>
    <w:rsid w:val="00E2769D"/>
    <w:rsid w:val="00E27ADB"/>
    <w:rsid w:val="00E27D45"/>
    <w:rsid w:val="00E302E0"/>
    <w:rsid w:val="00E30303"/>
    <w:rsid w:val="00E307D9"/>
    <w:rsid w:val="00E30813"/>
    <w:rsid w:val="00E309F2"/>
    <w:rsid w:val="00E30AE0"/>
    <w:rsid w:val="00E30C14"/>
    <w:rsid w:val="00E30FC8"/>
    <w:rsid w:val="00E31A3C"/>
    <w:rsid w:val="00E31B13"/>
    <w:rsid w:val="00E31C12"/>
    <w:rsid w:val="00E31EE2"/>
    <w:rsid w:val="00E32326"/>
    <w:rsid w:val="00E32719"/>
    <w:rsid w:val="00E3274A"/>
    <w:rsid w:val="00E32DA4"/>
    <w:rsid w:val="00E3323C"/>
    <w:rsid w:val="00E33627"/>
    <w:rsid w:val="00E33B5C"/>
    <w:rsid w:val="00E33D4E"/>
    <w:rsid w:val="00E33ED0"/>
    <w:rsid w:val="00E34023"/>
    <w:rsid w:val="00E3403A"/>
    <w:rsid w:val="00E340C3"/>
    <w:rsid w:val="00E341E5"/>
    <w:rsid w:val="00E342EF"/>
    <w:rsid w:val="00E3442F"/>
    <w:rsid w:val="00E344D5"/>
    <w:rsid w:val="00E3469E"/>
    <w:rsid w:val="00E34A81"/>
    <w:rsid w:val="00E34B24"/>
    <w:rsid w:val="00E35643"/>
    <w:rsid w:val="00E358A3"/>
    <w:rsid w:val="00E35C5D"/>
    <w:rsid w:val="00E35D57"/>
    <w:rsid w:val="00E35DA0"/>
    <w:rsid w:val="00E35E77"/>
    <w:rsid w:val="00E35F1C"/>
    <w:rsid w:val="00E35F25"/>
    <w:rsid w:val="00E3602D"/>
    <w:rsid w:val="00E3612C"/>
    <w:rsid w:val="00E3624A"/>
    <w:rsid w:val="00E36598"/>
    <w:rsid w:val="00E36861"/>
    <w:rsid w:val="00E36AEA"/>
    <w:rsid w:val="00E36F05"/>
    <w:rsid w:val="00E37513"/>
    <w:rsid w:val="00E37533"/>
    <w:rsid w:val="00E3753E"/>
    <w:rsid w:val="00E37960"/>
    <w:rsid w:val="00E37CF2"/>
    <w:rsid w:val="00E37DC7"/>
    <w:rsid w:val="00E37F93"/>
    <w:rsid w:val="00E404C5"/>
    <w:rsid w:val="00E405EE"/>
    <w:rsid w:val="00E4085A"/>
    <w:rsid w:val="00E40D66"/>
    <w:rsid w:val="00E40DB2"/>
    <w:rsid w:val="00E4110E"/>
    <w:rsid w:val="00E411E9"/>
    <w:rsid w:val="00E41494"/>
    <w:rsid w:val="00E41780"/>
    <w:rsid w:val="00E417CD"/>
    <w:rsid w:val="00E4192F"/>
    <w:rsid w:val="00E41CE2"/>
    <w:rsid w:val="00E41D86"/>
    <w:rsid w:val="00E42187"/>
    <w:rsid w:val="00E4224D"/>
    <w:rsid w:val="00E4226B"/>
    <w:rsid w:val="00E42553"/>
    <w:rsid w:val="00E42657"/>
    <w:rsid w:val="00E426B0"/>
    <w:rsid w:val="00E42A61"/>
    <w:rsid w:val="00E42E33"/>
    <w:rsid w:val="00E42E5E"/>
    <w:rsid w:val="00E4314B"/>
    <w:rsid w:val="00E4321A"/>
    <w:rsid w:val="00E4328B"/>
    <w:rsid w:val="00E432CF"/>
    <w:rsid w:val="00E4351D"/>
    <w:rsid w:val="00E43658"/>
    <w:rsid w:val="00E4394D"/>
    <w:rsid w:val="00E439B2"/>
    <w:rsid w:val="00E43A6F"/>
    <w:rsid w:val="00E43CAB"/>
    <w:rsid w:val="00E43DEA"/>
    <w:rsid w:val="00E43E4B"/>
    <w:rsid w:val="00E43F0E"/>
    <w:rsid w:val="00E440A3"/>
    <w:rsid w:val="00E440A7"/>
    <w:rsid w:val="00E44213"/>
    <w:rsid w:val="00E442E1"/>
    <w:rsid w:val="00E44B7E"/>
    <w:rsid w:val="00E44F9F"/>
    <w:rsid w:val="00E450E5"/>
    <w:rsid w:val="00E4526B"/>
    <w:rsid w:val="00E45771"/>
    <w:rsid w:val="00E458EA"/>
    <w:rsid w:val="00E45DC1"/>
    <w:rsid w:val="00E45FBE"/>
    <w:rsid w:val="00E4608A"/>
    <w:rsid w:val="00E46561"/>
    <w:rsid w:val="00E465ED"/>
    <w:rsid w:val="00E46758"/>
    <w:rsid w:val="00E46999"/>
    <w:rsid w:val="00E46BF9"/>
    <w:rsid w:val="00E46C42"/>
    <w:rsid w:val="00E46C90"/>
    <w:rsid w:val="00E47226"/>
    <w:rsid w:val="00E4750E"/>
    <w:rsid w:val="00E477C3"/>
    <w:rsid w:val="00E47888"/>
    <w:rsid w:val="00E479C7"/>
    <w:rsid w:val="00E47DB4"/>
    <w:rsid w:val="00E47FD5"/>
    <w:rsid w:val="00E500D6"/>
    <w:rsid w:val="00E50285"/>
    <w:rsid w:val="00E5068A"/>
    <w:rsid w:val="00E508CB"/>
    <w:rsid w:val="00E50982"/>
    <w:rsid w:val="00E509BE"/>
    <w:rsid w:val="00E50A46"/>
    <w:rsid w:val="00E50DDE"/>
    <w:rsid w:val="00E50DFF"/>
    <w:rsid w:val="00E50E33"/>
    <w:rsid w:val="00E510E5"/>
    <w:rsid w:val="00E5141A"/>
    <w:rsid w:val="00E51441"/>
    <w:rsid w:val="00E51593"/>
    <w:rsid w:val="00E51608"/>
    <w:rsid w:val="00E516A8"/>
    <w:rsid w:val="00E51AD2"/>
    <w:rsid w:val="00E51B91"/>
    <w:rsid w:val="00E51BBD"/>
    <w:rsid w:val="00E51BDA"/>
    <w:rsid w:val="00E521D1"/>
    <w:rsid w:val="00E522E8"/>
    <w:rsid w:val="00E52686"/>
    <w:rsid w:val="00E526A5"/>
    <w:rsid w:val="00E529FC"/>
    <w:rsid w:val="00E52A5A"/>
    <w:rsid w:val="00E53476"/>
    <w:rsid w:val="00E536BE"/>
    <w:rsid w:val="00E536CE"/>
    <w:rsid w:val="00E536D5"/>
    <w:rsid w:val="00E53E35"/>
    <w:rsid w:val="00E53F61"/>
    <w:rsid w:val="00E5435F"/>
    <w:rsid w:val="00E54919"/>
    <w:rsid w:val="00E54A87"/>
    <w:rsid w:val="00E54F8C"/>
    <w:rsid w:val="00E54F99"/>
    <w:rsid w:val="00E556E5"/>
    <w:rsid w:val="00E55C1A"/>
    <w:rsid w:val="00E55CEB"/>
    <w:rsid w:val="00E56667"/>
    <w:rsid w:val="00E56741"/>
    <w:rsid w:val="00E56FC1"/>
    <w:rsid w:val="00E5706A"/>
    <w:rsid w:val="00E5758B"/>
    <w:rsid w:val="00E57733"/>
    <w:rsid w:val="00E5776A"/>
    <w:rsid w:val="00E5780B"/>
    <w:rsid w:val="00E57A29"/>
    <w:rsid w:val="00E57AB3"/>
    <w:rsid w:val="00E57C99"/>
    <w:rsid w:val="00E57D17"/>
    <w:rsid w:val="00E57EA7"/>
    <w:rsid w:val="00E57F07"/>
    <w:rsid w:val="00E57F86"/>
    <w:rsid w:val="00E60054"/>
    <w:rsid w:val="00E6014D"/>
    <w:rsid w:val="00E603FB"/>
    <w:rsid w:val="00E60472"/>
    <w:rsid w:val="00E606C4"/>
    <w:rsid w:val="00E607F9"/>
    <w:rsid w:val="00E6085C"/>
    <w:rsid w:val="00E60F2F"/>
    <w:rsid w:val="00E61062"/>
    <w:rsid w:val="00E6157E"/>
    <w:rsid w:val="00E61632"/>
    <w:rsid w:val="00E61707"/>
    <w:rsid w:val="00E61814"/>
    <w:rsid w:val="00E61D0D"/>
    <w:rsid w:val="00E62075"/>
    <w:rsid w:val="00E62314"/>
    <w:rsid w:val="00E62B22"/>
    <w:rsid w:val="00E62BEF"/>
    <w:rsid w:val="00E62E40"/>
    <w:rsid w:val="00E630F4"/>
    <w:rsid w:val="00E631C1"/>
    <w:rsid w:val="00E632B5"/>
    <w:rsid w:val="00E63447"/>
    <w:rsid w:val="00E63468"/>
    <w:rsid w:val="00E640C4"/>
    <w:rsid w:val="00E641B3"/>
    <w:rsid w:val="00E64238"/>
    <w:rsid w:val="00E647B0"/>
    <w:rsid w:val="00E649B4"/>
    <w:rsid w:val="00E64A32"/>
    <w:rsid w:val="00E64B29"/>
    <w:rsid w:val="00E64C4A"/>
    <w:rsid w:val="00E64EC4"/>
    <w:rsid w:val="00E6566E"/>
    <w:rsid w:val="00E65A8E"/>
    <w:rsid w:val="00E65C0B"/>
    <w:rsid w:val="00E66351"/>
    <w:rsid w:val="00E665DD"/>
    <w:rsid w:val="00E6662B"/>
    <w:rsid w:val="00E66771"/>
    <w:rsid w:val="00E66812"/>
    <w:rsid w:val="00E66ADE"/>
    <w:rsid w:val="00E66B29"/>
    <w:rsid w:val="00E66C82"/>
    <w:rsid w:val="00E66C94"/>
    <w:rsid w:val="00E66CB7"/>
    <w:rsid w:val="00E66DE0"/>
    <w:rsid w:val="00E6716B"/>
    <w:rsid w:val="00E6718B"/>
    <w:rsid w:val="00E672DB"/>
    <w:rsid w:val="00E677D9"/>
    <w:rsid w:val="00E7006D"/>
    <w:rsid w:val="00E7015A"/>
    <w:rsid w:val="00E703A1"/>
    <w:rsid w:val="00E7059C"/>
    <w:rsid w:val="00E70617"/>
    <w:rsid w:val="00E707F0"/>
    <w:rsid w:val="00E709A2"/>
    <w:rsid w:val="00E70A04"/>
    <w:rsid w:val="00E70D21"/>
    <w:rsid w:val="00E71291"/>
    <w:rsid w:val="00E7174C"/>
    <w:rsid w:val="00E71860"/>
    <w:rsid w:val="00E71A65"/>
    <w:rsid w:val="00E71ECB"/>
    <w:rsid w:val="00E71F2F"/>
    <w:rsid w:val="00E71FDC"/>
    <w:rsid w:val="00E720BB"/>
    <w:rsid w:val="00E72238"/>
    <w:rsid w:val="00E72276"/>
    <w:rsid w:val="00E723AC"/>
    <w:rsid w:val="00E723DC"/>
    <w:rsid w:val="00E7247C"/>
    <w:rsid w:val="00E72661"/>
    <w:rsid w:val="00E72AA4"/>
    <w:rsid w:val="00E72C60"/>
    <w:rsid w:val="00E731EB"/>
    <w:rsid w:val="00E7322B"/>
    <w:rsid w:val="00E734A9"/>
    <w:rsid w:val="00E73788"/>
    <w:rsid w:val="00E73A64"/>
    <w:rsid w:val="00E73A87"/>
    <w:rsid w:val="00E73BF7"/>
    <w:rsid w:val="00E73DE0"/>
    <w:rsid w:val="00E74342"/>
    <w:rsid w:val="00E745E3"/>
    <w:rsid w:val="00E74704"/>
    <w:rsid w:val="00E748DF"/>
    <w:rsid w:val="00E75495"/>
    <w:rsid w:val="00E754F5"/>
    <w:rsid w:val="00E754FA"/>
    <w:rsid w:val="00E7574D"/>
    <w:rsid w:val="00E757C1"/>
    <w:rsid w:val="00E7581E"/>
    <w:rsid w:val="00E7585F"/>
    <w:rsid w:val="00E758D3"/>
    <w:rsid w:val="00E75A7F"/>
    <w:rsid w:val="00E75E04"/>
    <w:rsid w:val="00E76119"/>
    <w:rsid w:val="00E7642A"/>
    <w:rsid w:val="00E76626"/>
    <w:rsid w:val="00E76B6C"/>
    <w:rsid w:val="00E76EF3"/>
    <w:rsid w:val="00E77155"/>
    <w:rsid w:val="00E77369"/>
    <w:rsid w:val="00E77563"/>
    <w:rsid w:val="00E80239"/>
    <w:rsid w:val="00E805EE"/>
    <w:rsid w:val="00E80695"/>
    <w:rsid w:val="00E808D8"/>
    <w:rsid w:val="00E808F2"/>
    <w:rsid w:val="00E80D9A"/>
    <w:rsid w:val="00E81160"/>
    <w:rsid w:val="00E811C6"/>
    <w:rsid w:val="00E813DA"/>
    <w:rsid w:val="00E81A45"/>
    <w:rsid w:val="00E81C4B"/>
    <w:rsid w:val="00E81E51"/>
    <w:rsid w:val="00E82054"/>
    <w:rsid w:val="00E822F2"/>
    <w:rsid w:val="00E82552"/>
    <w:rsid w:val="00E828F3"/>
    <w:rsid w:val="00E82988"/>
    <w:rsid w:val="00E8299A"/>
    <w:rsid w:val="00E829F7"/>
    <w:rsid w:val="00E82D9B"/>
    <w:rsid w:val="00E82F78"/>
    <w:rsid w:val="00E83081"/>
    <w:rsid w:val="00E830D8"/>
    <w:rsid w:val="00E8333D"/>
    <w:rsid w:val="00E83376"/>
    <w:rsid w:val="00E83434"/>
    <w:rsid w:val="00E834C8"/>
    <w:rsid w:val="00E83982"/>
    <w:rsid w:val="00E83C7C"/>
    <w:rsid w:val="00E83C97"/>
    <w:rsid w:val="00E83F1E"/>
    <w:rsid w:val="00E840B7"/>
    <w:rsid w:val="00E8439C"/>
    <w:rsid w:val="00E843CA"/>
    <w:rsid w:val="00E845D2"/>
    <w:rsid w:val="00E84AE1"/>
    <w:rsid w:val="00E84E57"/>
    <w:rsid w:val="00E84FC1"/>
    <w:rsid w:val="00E8519D"/>
    <w:rsid w:val="00E85316"/>
    <w:rsid w:val="00E85414"/>
    <w:rsid w:val="00E854C6"/>
    <w:rsid w:val="00E85782"/>
    <w:rsid w:val="00E85815"/>
    <w:rsid w:val="00E858E4"/>
    <w:rsid w:val="00E85A1E"/>
    <w:rsid w:val="00E85A50"/>
    <w:rsid w:val="00E85DDF"/>
    <w:rsid w:val="00E85E10"/>
    <w:rsid w:val="00E85E45"/>
    <w:rsid w:val="00E862FF"/>
    <w:rsid w:val="00E86953"/>
    <w:rsid w:val="00E86B01"/>
    <w:rsid w:val="00E86B13"/>
    <w:rsid w:val="00E86E66"/>
    <w:rsid w:val="00E86F05"/>
    <w:rsid w:val="00E8711E"/>
    <w:rsid w:val="00E873D5"/>
    <w:rsid w:val="00E87B44"/>
    <w:rsid w:val="00E87C09"/>
    <w:rsid w:val="00E87E5F"/>
    <w:rsid w:val="00E90414"/>
    <w:rsid w:val="00E909EA"/>
    <w:rsid w:val="00E90B2E"/>
    <w:rsid w:val="00E90C0D"/>
    <w:rsid w:val="00E90F31"/>
    <w:rsid w:val="00E90F3C"/>
    <w:rsid w:val="00E91007"/>
    <w:rsid w:val="00E912EF"/>
    <w:rsid w:val="00E9134E"/>
    <w:rsid w:val="00E913EB"/>
    <w:rsid w:val="00E914EE"/>
    <w:rsid w:val="00E9158A"/>
    <w:rsid w:val="00E91736"/>
    <w:rsid w:val="00E91973"/>
    <w:rsid w:val="00E91A6A"/>
    <w:rsid w:val="00E91B18"/>
    <w:rsid w:val="00E91CEA"/>
    <w:rsid w:val="00E9202B"/>
    <w:rsid w:val="00E9208B"/>
    <w:rsid w:val="00E92105"/>
    <w:rsid w:val="00E92127"/>
    <w:rsid w:val="00E921D6"/>
    <w:rsid w:val="00E92566"/>
    <w:rsid w:val="00E925B1"/>
    <w:rsid w:val="00E9262F"/>
    <w:rsid w:val="00E92767"/>
    <w:rsid w:val="00E92BA7"/>
    <w:rsid w:val="00E92D39"/>
    <w:rsid w:val="00E92D8B"/>
    <w:rsid w:val="00E93960"/>
    <w:rsid w:val="00E93B57"/>
    <w:rsid w:val="00E93B99"/>
    <w:rsid w:val="00E93F10"/>
    <w:rsid w:val="00E93F8C"/>
    <w:rsid w:val="00E9410C"/>
    <w:rsid w:val="00E94173"/>
    <w:rsid w:val="00E9446A"/>
    <w:rsid w:val="00E94805"/>
    <w:rsid w:val="00E94AA0"/>
    <w:rsid w:val="00E94C9B"/>
    <w:rsid w:val="00E94F8D"/>
    <w:rsid w:val="00E950D0"/>
    <w:rsid w:val="00E953A2"/>
    <w:rsid w:val="00E9560B"/>
    <w:rsid w:val="00E95702"/>
    <w:rsid w:val="00E959F3"/>
    <w:rsid w:val="00E95C4A"/>
    <w:rsid w:val="00E95D9D"/>
    <w:rsid w:val="00E96086"/>
    <w:rsid w:val="00E96283"/>
    <w:rsid w:val="00E96292"/>
    <w:rsid w:val="00E962B7"/>
    <w:rsid w:val="00E96389"/>
    <w:rsid w:val="00E96642"/>
    <w:rsid w:val="00E9675D"/>
    <w:rsid w:val="00E967E1"/>
    <w:rsid w:val="00E96A11"/>
    <w:rsid w:val="00E96BC5"/>
    <w:rsid w:val="00E96DBE"/>
    <w:rsid w:val="00E96E22"/>
    <w:rsid w:val="00E96EB2"/>
    <w:rsid w:val="00E971CE"/>
    <w:rsid w:val="00E97464"/>
    <w:rsid w:val="00E975B2"/>
    <w:rsid w:val="00E97711"/>
    <w:rsid w:val="00E97D19"/>
    <w:rsid w:val="00EA0187"/>
    <w:rsid w:val="00EA056E"/>
    <w:rsid w:val="00EA06B6"/>
    <w:rsid w:val="00EA06BD"/>
    <w:rsid w:val="00EA0C3D"/>
    <w:rsid w:val="00EA0D24"/>
    <w:rsid w:val="00EA0D94"/>
    <w:rsid w:val="00EA0E55"/>
    <w:rsid w:val="00EA13BF"/>
    <w:rsid w:val="00EA147F"/>
    <w:rsid w:val="00EA16AD"/>
    <w:rsid w:val="00EA1825"/>
    <w:rsid w:val="00EA1C45"/>
    <w:rsid w:val="00EA1DBE"/>
    <w:rsid w:val="00EA1ED4"/>
    <w:rsid w:val="00EA22BE"/>
    <w:rsid w:val="00EA2326"/>
    <w:rsid w:val="00EA2565"/>
    <w:rsid w:val="00EA26FD"/>
    <w:rsid w:val="00EA2A27"/>
    <w:rsid w:val="00EA2AFF"/>
    <w:rsid w:val="00EA2B59"/>
    <w:rsid w:val="00EA2D09"/>
    <w:rsid w:val="00EA30EC"/>
    <w:rsid w:val="00EA35CB"/>
    <w:rsid w:val="00EA361F"/>
    <w:rsid w:val="00EA364B"/>
    <w:rsid w:val="00EA365B"/>
    <w:rsid w:val="00EA3752"/>
    <w:rsid w:val="00EA38E6"/>
    <w:rsid w:val="00EA392F"/>
    <w:rsid w:val="00EA3A91"/>
    <w:rsid w:val="00EA3EB3"/>
    <w:rsid w:val="00EA3F08"/>
    <w:rsid w:val="00EA468A"/>
    <w:rsid w:val="00EA47CA"/>
    <w:rsid w:val="00EA4B16"/>
    <w:rsid w:val="00EA4F01"/>
    <w:rsid w:val="00EA5496"/>
    <w:rsid w:val="00EA582C"/>
    <w:rsid w:val="00EA584D"/>
    <w:rsid w:val="00EA58F6"/>
    <w:rsid w:val="00EA5ABF"/>
    <w:rsid w:val="00EA5B9C"/>
    <w:rsid w:val="00EA5BD9"/>
    <w:rsid w:val="00EA5BE4"/>
    <w:rsid w:val="00EA61B7"/>
    <w:rsid w:val="00EA678F"/>
    <w:rsid w:val="00EA6C81"/>
    <w:rsid w:val="00EA6CE6"/>
    <w:rsid w:val="00EA6DB0"/>
    <w:rsid w:val="00EA73F6"/>
    <w:rsid w:val="00EA7476"/>
    <w:rsid w:val="00EA751F"/>
    <w:rsid w:val="00EA765F"/>
    <w:rsid w:val="00EA7702"/>
    <w:rsid w:val="00EA78ED"/>
    <w:rsid w:val="00EA797A"/>
    <w:rsid w:val="00EA7C26"/>
    <w:rsid w:val="00EA7DD1"/>
    <w:rsid w:val="00EA7DE4"/>
    <w:rsid w:val="00EB0019"/>
    <w:rsid w:val="00EB0155"/>
    <w:rsid w:val="00EB043F"/>
    <w:rsid w:val="00EB05DA"/>
    <w:rsid w:val="00EB06B9"/>
    <w:rsid w:val="00EB0A79"/>
    <w:rsid w:val="00EB0C95"/>
    <w:rsid w:val="00EB0D62"/>
    <w:rsid w:val="00EB0D6C"/>
    <w:rsid w:val="00EB0DA6"/>
    <w:rsid w:val="00EB10B3"/>
    <w:rsid w:val="00EB1DB3"/>
    <w:rsid w:val="00EB1E86"/>
    <w:rsid w:val="00EB1F0C"/>
    <w:rsid w:val="00EB200A"/>
    <w:rsid w:val="00EB2852"/>
    <w:rsid w:val="00EB297C"/>
    <w:rsid w:val="00EB2A41"/>
    <w:rsid w:val="00EB2BC8"/>
    <w:rsid w:val="00EB2CE4"/>
    <w:rsid w:val="00EB2F35"/>
    <w:rsid w:val="00EB2F3D"/>
    <w:rsid w:val="00EB2F52"/>
    <w:rsid w:val="00EB30E6"/>
    <w:rsid w:val="00EB31A4"/>
    <w:rsid w:val="00EB37B0"/>
    <w:rsid w:val="00EB385B"/>
    <w:rsid w:val="00EB3ADB"/>
    <w:rsid w:val="00EB3D0F"/>
    <w:rsid w:val="00EB3E88"/>
    <w:rsid w:val="00EB3EEB"/>
    <w:rsid w:val="00EB4339"/>
    <w:rsid w:val="00EB4B9D"/>
    <w:rsid w:val="00EB4C07"/>
    <w:rsid w:val="00EB4D08"/>
    <w:rsid w:val="00EB4E15"/>
    <w:rsid w:val="00EB4F56"/>
    <w:rsid w:val="00EB4FE9"/>
    <w:rsid w:val="00EB5164"/>
    <w:rsid w:val="00EB5336"/>
    <w:rsid w:val="00EB5B40"/>
    <w:rsid w:val="00EB5D8F"/>
    <w:rsid w:val="00EB62CD"/>
    <w:rsid w:val="00EB62E8"/>
    <w:rsid w:val="00EB630B"/>
    <w:rsid w:val="00EB6459"/>
    <w:rsid w:val="00EB64C0"/>
    <w:rsid w:val="00EB6532"/>
    <w:rsid w:val="00EB6740"/>
    <w:rsid w:val="00EB6C73"/>
    <w:rsid w:val="00EB6D4A"/>
    <w:rsid w:val="00EB6E09"/>
    <w:rsid w:val="00EB72E4"/>
    <w:rsid w:val="00EB742A"/>
    <w:rsid w:val="00EB7538"/>
    <w:rsid w:val="00EB774F"/>
    <w:rsid w:val="00EB78D1"/>
    <w:rsid w:val="00EB79CF"/>
    <w:rsid w:val="00EB79D6"/>
    <w:rsid w:val="00EB7BB2"/>
    <w:rsid w:val="00EB7D6A"/>
    <w:rsid w:val="00EC0130"/>
    <w:rsid w:val="00EC0267"/>
    <w:rsid w:val="00EC0859"/>
    <w:rsid w:val="00EC0939"/>
    <w:rsid w:val="00EC0A6E"/>
    <w:rsid w:val="00EC0C5F"/>
    <w:rsid w:val="00EC1398"/>
    <w:rsid w:val="00EC13A1"/>
    <w:rsid w:val="00EC141E"/>
    <w:rsid w:val="00EC1475"/>
    <w:rsid w:val="00EC14B6"/>
    <w:rsid w:val="00EC14EC"/>
    <w:rsid w:val="00EC15AB"/>
    <w:rsid w:val="00EC1613"/>
    <w:rsid w:val="00EC1767"/>
    <w:rsid w:val="00EC18A6"/>
    <w:rsid w:val="00EC1B04"/>
    <w:rsid w:val="00EC1CC3"/>
    <w:rsid w:val="00EC1D0F"/>
    <w:rsid w:val="00EC1D82"/>
    <w:rsid w:val="00EC217D"/>
    <w:rsid w:val="00EC21D2"/>
    <w:rsid w:val="00EC2D8C"/>
    <w:rsid w:val="00EC2E63"/>
    <w:rsid w:val="00EC3218"/>
    <w:rsid w:val="00EC34D2"/>
    <w:rsid w:val="00EC3717"/>
    <w:rsid w:val="00EC3807"/>
    <w:rsid w:val="00EC3B6C"/>
    <w:rsid w:val="00EC3C77"/>
    <w:rsid w:val="00EC3E44"/>
    <w:rsid w:val="00EC44E9"/>
    <w:rsid w:val="00EC4574"/>
    <w:rsid w:val="00EC461E"/>
    <w:rsid w:val="00EC4CCD"/>
    <w:rsid w:val="00EC4D03"/>
    <w:rsid w:val="00EC50D2"/>
    <w:rsid w:val="00EC5119"/>
    <w:rsid w:val="00EC51C3"/>
    <w:rsid w:val="00EC51F1"/>
    <w:rsid w:val="00EC522E"/>
    <w:rsid w:val="00EC52BB"/>
    <w:rsid w:val="00EC52D3"/>
    <w:rsid w:val="00EC54B6"/>
    <w:rsid w:val="00EC556C"/>
    <w:rsid w:val="00EC5688"/>
    <w:rsid w:val="00EC57D9"/>
    <w:rsid w:val="00EC584E"/>
    <w:rsid w:val="00EC58D3"/>
    <w:rsid w:val="00EC5B3D"/>
    <w:rsid w:val="00EC5E76"/>
    <w:rsid w:val="00EC648D"/>
    <w:rsid w:val="00EC67B4"/>
    <w:rsid w:val="00EC68B8"/>
    <w:rsid w:val="00EC6CA7"/>
    <w:rsid w:val="00EC6DB8"/>
    <w:rsid w:val="00EC6F0F"/>
    <w:rsid w:val="00EC7061"/>
    <w:rsid w:val="00EC73F3"/>
    <w:rsid w:val="00EC7463"/>
    <w:rsid w:val="00EC7544"/>
    <w:rsid w:val="00EC75A7"/>
    <w:rsid w:val="00EC772D"/>
    <w:rsid w:val="00EC7A6C"/>
    <w:rsid w:val="00EC7B28"/>
    <w:rsid w:val="00EC7CFB"/>
    <w:rsid w:val="00EC7E8F"/>
    <w:rsid w:val="00ED01DB"/>
    <w:rsid w:val="00ED027F"/>
    <w:rsid w:val="00ED0A2A"/>
    <w:rsid w:val="00ED1036"/>
    <w:rsid w:val="00ED10F5"/>
    <w:rsid w:val="00ED13DA"/>
    <w:rsid w:val="00ED1647"/>
    <w:rsid w:val="00ED19CC"/>
    <w:rsid w:val="00ED1C78"/>
    <w:rsid w:val="00ED221A"/>
    <w:rsid w:val="00ED23FD"/>
    <w:rsid w:val="00ED2406"/>
    <w:rsid w:val="00ED242E"/>
    <w:rsid w:val="00ED2747"/>
    <w:rsid w:val="00ED279E"/>
    <w:rsid w:val="00ED289C"/>
    <w:rsid w:val="00ED2BD8"/>
    <w:rsid w:val="00ED30C6"/>
    <w:rsid w:val="00ED318F"/>
    <w:rsid w:val="00ED3600"/>
    <w:rsid w:val="00ED36B6"/>
    <w:rsid w:val="00ED3752"/>
    <w:rsid w:val="00ED37ED"/>
    <w:rsid w:val="00ED3D46"/>
    <w:rsid w:val="00ED3D85"/>
    <w:rsid w:val="00ED3DA2"/>
    <w:rsid w:val="00ED3E01"/>
    <w:rsid w:val="00ED4176"/>
    <w:rsid w:val="00ED4341"/>
    <w:rsid w:val="00ED47E0"/>
    <w:rsid w:val="00ED4A59"/>
    <w:rsid w:val="00ED4B2B"/>
    <w:rsid w:val="00ED4C79"/>
    <w:rsid w:val="00ED4CFD"/>
    <w:rsid w:val="00ED4E22"/>
    <w:rsid w:val="00ED506A"/>
    <w:rsid w:val="00ED5630"/>
    <w:rsid w:val="00ED56B5"/>
    <w:rsid w:val="00ED591A"/>
    <w:rsid w:val="00ED591D"/>
    <w:rsid w:val="00ED599D"/>
    <w:rsid w:val="00ED5B15"/>
    <w:rsid w:val="00ED5B4D"/>
    <w:rsid w:val="00ED5BBC"/>
    <w:rsid w:val="00ED5EB7"/>
    <w:rsid w:val="00ED5FDC"/>
    <w:rsid w:val="00ED694D"/>
    <w:rsid w:val="00ED6DB9"/>
    <w:rsid w:val="00ED74C1"/>
    <w:rsid w:val="00ED754D"/>
    <w:rsid w:val="00ED7577"/>
    <w:rsid w:val="00ED7961"/>
    <w:rsid w:val="00ED7A90"/>
    <w:rsid w:val="00ED7C7D"/>
    <w:rsid w:val="00ED7E58"/>
    <w:rsid w:val="00ED7F1D"/>
    <w:rsid w:val="00EE0080"/>
    <w:rsid w:val="00EE0293"/>
    <w:rsid w:val="00EE02C5"/>
    <w:rsid w:val="00EE037C"/>
    <w:rsid w:val="00EE0A4B"/>
    <w:rsid w:val="00EE0E95"/>
    <w:rsid w:val="00EE104E"/>
    <w:rsid w:val="00EE1791"/>
    <w:rsid w:val="00EE189E"/>
    <w:rsid w:val="00EE19B2"/>
    <w:rsid w:val="00EE1DED"/>
    <w:rsid w:val="00EE1F0E"/>
    <w:rsid w:val="00EE2095"/>
    <w:rsid w:val="00EE276A"/>
    <w:rsid w:val="00EE2974"/>
    <w:rsid w:val="00EE29B8"/>
    <w:rsid w:val="00EE29F5"/>
    <w:rsid w:val="00EE2BBA"/>
    <w:rsid w:val="00EE2F42"/>
    <w:rsid w:val="00EE32F9"/>
    <w:rsid w:val="00EE3385"/>
    <w:rsid w:val="00EE341C"/>
    <w:rsid w:val="00EE3660"/>
    <w:rsid w:val="00EE38F9"/>
    <w:rsid w:val="00EE3952"/>
    <w:rsid w:val="00EE3A0C"/>
    <w:rsid w:val="00EE3C33"/>
    <w:rsid w:val="00EE4209"/>
    <w:rsid w:val="00EE4394"/>
    <w:rsid w:val="00EE43D3"/>
    <w:rsid w:val="00EE47D8"/>
    <w:rsid w:val="00EE4A1E"/>
    <w:rsid w:val="00EE4D90"/>
    <w:rsid w:val="00EE5045"/>
    <w:rsid w:val="00EE51A2"/>
    <w:rsid w:val="00EE544D"/>
    <w:rsid w:val="00EE54B5"/>
    <w:rsid w:val="00EE5597"/>
    <w:rsid w:val="00EE5D00"/>
    <w:rsid w:val="00EE5D5C"/>
    <w:rsid w:val="00EE63A5"/>
    <w:rsid w:val="00EE65BD"/>
    <w:rsid w:val="00EE65F6"/>
    <w:rsid w:val="00EE668B"/>
    <w:rsid w:val="00EE6722"/>
    <w:rsid w:val="00EE67CE"/>
    <w:rsid w:val="00EE7A5E"/>
    <w:rsid w:val="00EE7B6A"/>
    <w:rsid w:val="00EE7CE3"/>
    <w:rsid w:val="00EE7E54"/>
    <w:rsid w:val="00EE7E69"/>
    <w:rsid w:val="00EF018E"/>
    <w:rsid w:val="00EF04AB"/>
    <w:rsid w:val="00EF0507"/>
    <w:rsid w:val="00EF0676"/>
    <w:rsid w:val="00EF0701"/>
    <w:rsid w:val="00EF0A5F"/>
    <w:rsid w:val="00EF0B55"/>
    <w:rsid w:val="00EF0C83"/>
    <w:rsid w:val="00EF0DA3"/>
    <w:rsid w:val="00EF1226"/>
    <w:rsid w:val="00EF191B"/>
    <w:rsid w:val="00EF1E2F"/>
    <w:rsid w:val="00EF1F36"/>
    <w:rsid w:val="00EF23B2"/>
    <w:rsid w:val="00EF2408"/>
    <w:rsid w:val="00EF2489"/>
    <w:rsid w:val="00EF26B1"/>
    <w:rsid w:val="00EF27AA"/>
    <w:rsid w:val="00EF284E"/>
    <w:rsid w:val="00EF2940"/>
    <w:rsid w:val="00EF2989"/>
    <w:rsid w:val="00EF29A2"/>
    <w:rsid w:val="00EF2BD2"/>
    <w:rsid w:val="00EF2C5E"/>
    <w:rsid w:val="00EF2E66"/>
    <w:rsid w:val="00EF3042"/>
    <w:rsid w:val="00EF32E8"/>
    <w:rsid w:val="00EF3610"/>
    <w:rsid w:val="00EF3AF3"/>
    <w:rsid w:val="00EF3E15"/>
    <w:rsid w:val="00EF3F2A"/>
    <w:rsid w:val="00EF4104"/>
    <w:rsid w:val="00EF42FE"/>
    <w:rsid w:val="00EF435D"/>
    <w:rsid w:val="00EF4438"/>
    <w:rsid w:val="00EF44E0"/>
    <w:rsid w:val="00EF4589"/>
    <w:rsid w:val="00EF4AFD"/>
    <w:rsid w:val="00EF4CC5"/>
    <w:rsid w:val="00EF4CEB"/>
    <w:rsid w:val="00EF4D2C"/>
    <w:rsid w:val="00EF512C"/>
    <w:rsid w:val="00EF54EB"/>
    <w:rsid w:val="00EF54F6"/>
    <w:rsid w:val="00EF5840"/>
    <w:rsid w:val="00EF598E"/>
    <w:rsid w:val="00EF5BF8"/>
    <w:rsid w:val="00EF5C38"/>
    <w:rsid w:val="00EF5D6F"/>
    <w:rsid w:val="00EF5F48"/>
    <w:rsid w:val="00EF5FAE"/>
    <w:rsid w:val="00EF6156"/>
    <w:rsid w:val="00EF62A3"/>
    <w:rsid w:val="00EF62C2"/>
    <w:rsid w:val="00EF63F2"/>
    <w:rsid w:val="00EF6569"/>
    <w:rsid w:val="00EF695E"/>
    <w:rsid w:val="00EF6A59"/>
    <w:rsid w:val="00EF6CD1"/>
    <w:rsid w:val="00EF6FCC"/>
    <w:rsid w:val="00EF7626"/>
    <w:rsid w:val="00EF7641"/>
    <w:rsid w:val="00EF7643"/>
    <w:rsid w:val="00EF776E"/>
    <w:rsid w:val="00EF7803"/>
    <w:rsid w:val="00EF78C3"/>
    <w:rsid w:val="00EF7D2D"/>
    <w:rsid w:val="00EF7DA4"/>
    <w:rsid w:val="00EF7E45"/>
    <w:rsid w:val="00F00079"/>
    <w:rsid w:val="00F0012F"/>
    <w:rsid w:val="00F00705"/>
    <w:rsid w:val="00F0080C"/>
    <w:rsid w:val="00F00C85"/>
    <w:rsid w:val="00F00E0D"/>
    <w:rsid w:val="00F00E45"/>
    <w:rsid w:val="00F00EBC"/>
    <w:rsid w:val="00F00F96"/>
    <w:rsid w:val="00F0117F"/>
    <w:rsid w:val="00F01346"/>
    <w:rsid w:val="00F0163D"/>
    <w:rsid w:val="00F018AC"/>
    <w:rsid w:val="00F019A0"/>
    <w:rsid w:val="00F01C2B"/>
    <w:rsid w:val="00F01F6D"/>
    <w:rsid w:val="00F01F78"/>
    <w:rsid w:val="00F02036"/>
    <w:rsid w:val="00F020A7"/>
    <w:rsid w:val="00F020C7"/>
    <w:rsid w:val="00F0237C"/>
    <w:rsid w:val="00F0238C"/>
    <w:rsid w:val="00F02C7C"/>
    <w:rsid w:val="00F02CE7"/>
    <w:rsid w:val="00F02D40"/>
    <w:rsid w:val="00F02DC9"/>
    <w:rsid w:val="00F02F2F"/>
    <w:rsid w:val="00F031D9"/>
    <w:rsid w:val="00F0332D"/>
    <w:rsid w:val="00F03408"/>
    <w:rsid w:val="00F039E0"/>
    <w:rsid w:val="00F03C93"/>
    <w:rsid w:val="00F03C9F"/>
    <w:rsid w:val="00F03D2E"/>
    <w:rsid w:val="00F03D64"/>
    <w:rsid w:val="00F03E33"/>
    <w:rsid w:val="00F040D1"/>
    <w:rsid w:val="00F041E9"/>
    <w:rsid w:val="00F042C4"/>
    <w:rsid w:val="00F04CCC"/>
    <w:rsid w:val="00F04F91"/>
    <w:rsid w:val="00F05A0F"/>
    <w:rsid w:val="00F05B2C"/>
    <w:rsid w:val="00F05BDB"/>
    <w:rsid w:val="00F05F73"/>
    <w:rsid w:val="00F061B3"/>
    <w:rsid w:val="00F062E0"/>
    <w:rsid w:val="00F063A5"/>
    <w:rsid w:val="00F06697"/>
    <w:rsid w:val="00F066F6"/>
    <w:rsid w:val="00F0671F"/>
    <w:rsid w:val="00F068D1"/>
    <w:rsid w:val="00F06DDF"/>
    <w:rsid w:val="00F0700C"/>
    <w:rsid w:val="00F07039"/>
    <w:rsid w:val="00F072B5"/>
    <w:rsid w:val="00F07716"/>
    <w:rsid w:val="00F07870"/>
    <w:rsid w:val="00F079A0"/>
    <w:rsid w:val="00F100B3"/>
    <w:rsid w:val="00F10383"/>
    <w:rsid w:val="00F1057B"/>
    <w:rsid w:val="00F106F4"/>
    <w:rsid w:val="00F107D6"/>
    <w:rsid w:val="00F10894"/>
    <w:rsid w:val="00F108A1"/>
    <w:rsid w:val="00F108DC"/>
    <w:rsid w:val="00F10BAF"/>
    <w:rsid w:val="00F10CEC"/>
    <w:rsid w:val="00F113C2"/>
    <w:rsid w:val="00F1169C"/>
    <w:rsid w:val="00F1187E"/>
    <w:rsid w:val="00F11986"/>
    <w:rsid w:val="00F11A38"/>
    <w:rsid w:val="00F11C80"/>
    <w:rsid w:val="00F12031"/>
    <w:rsid w:val="00F12054"/>
    <w:rsid w:val="00F12380"/>
    <w:rsid w:val="00F1252E"/>
    <w:rsid w:val="00F12639"/>
    <w:rsid w:val="00F12650"/>
    <w:rsid w:val="00F127CB"/>
    <w:rsid w:val="00F12973"/>
    <w:rsid w:val="00F12C9F"/>
    <w:rsid w:val="00F12DE5"/>
    <w:rsid w:val="00F136EA"/>
    <w:rsid w:val="00F13D00"/>
    <w:rsid w:val="00F13E4D"/>
    <w:rsid w:val="00F13F0D"/>
    <w:rsid w:val="00F13F6B"/>
    <w:rsid w:val="00F14071"/>
    <w:rsid w:val="00F1409C"/>
    <w:rsid w:val="00F141AB"/>
    <w:rsid w:val="00F14280"/>
    <w:rsid w:val="00F142D3"/>
    <w:rsid w:val="00F142D8"/>
    <w:rsid w:val="00F1432C"/>
    <w:rsid w:val="00F1437F"/>
    <w:rsid w:val="00F143A8"/>
    <w:rsid w:val="00F14A38"/>
    <w:rsid w:val="00F14CF3"/>
    <w:rsid w:val="00F15192"/>
    <w:rsid w:val="00F1529F"/>
    <w:rsid w:val="00F15423"/>
    <w:rsid w:val="00F1562A"/>
    <w:rsid w:val="00F159B6"/>
    <w:rsid w:val="00F15A70"/>
    <w:rsid w:val="00F15CF9"/>
    <w:rsid w:val="00F162B7"/>
    <w:rsid w:val="00F164F0"/>
    <w:rsid w:val="00F16B86"/>
    <w:rsid w:val="00F16C62"/>
    <w:rsid w:val="00F16C6B"/>
    <w:rsid w:val="00F16C91"/>
    <w:rsid w:val="00F16ED2"/>
    <w:rsid w:val="00F1708F"/>
    <w:rsid w:val="00F17143"/>
    <w:rsid w:val="00F176F9"/>
    <w:rsid w:val="00F1787B"/>
    <w:rsid w:val="00F17895"/>
    <w:rsid w:val="00F17CC9"/>
    <w:rsid w:val="00F17D0C"/>
    <w:rsid w:val="00F20619"/>
    <w:rsid w:val="00F20905"/>
    <w:rsid w:val="00F20D0A"/>
    <w:rsid w:val="00F20D50"/>
    <w:rsid w:val="00F2108D"/>
    <w:rsid w:val="00F21227"/>
    <w:rsid w:val="00F21E21"/>
    <w:rsid w:val="00F22446"/>
    <w:rsid w:val="00F224DB"/>
    <w:rsid w:val="00F225EA"/>
    <w:rsid w:val="00F22605"/>
    <w:rsid w:val="00F226F5"/>
    <w:rsid w:val="00F22842"/>
    <w:rsid w:val="00F22933"/>
    <w:rsid w:val="00F22B09"/>
    <w:rsid w:val="00F22C6A"/>
    <w:rsid w:val="00F22F05"/>
    <w:rsid w:val="00F230F3"/>
    <w:rsid w:val="00F2322D"/>
    <w:rsid w:val="00F23272"/>
    <w:rsid w:val="00F233C4"/>
    <w:rsid w:val="00F23403"/>
    <w:rsid w:val="00F2453D"/>
    <w:rsid w:val="00F24A02"/>
    <w:rsid w:val="00F24B5F"/>
    <w:rsid w:val="00F24BFA"/>
    <w:rsid w:val="00F24CF7"/>
    <w:rsid w:val="00F24E24"/>
    <w:rsid w:val="00F25021"/>
    <w:rsid w:val="00F2533A"/>
    <w:rsid w:val="00F256DF"/>
    <w:rsid w:val="00F2575E"/>
    <w:rsid w:val="00F2598B"/>
    <w:rsid w:val="00F25DCE"/>
    <w:rsid w:val="00F25F7F"/>
    <w:rsid w:val="00F26419"/>
    <w:rsid w:val="00F2681C"/>
    <w:rsid w:val="00F2684B"/>
    <w:rsid w:val="00F2696C"/>
    <w:rsid w:val="00F26A20"/>
    <w:rsid w:val="00F26CA5"/>
    <w:rsid w:val="00F27074"/>
    <w:rsid w:val="00F2711A"/>
    <w:rsid w:val="00F27138"/>
    <w:rsid w:val="00F271D9"/>
    <w:rsid w:val="00F272AE"/>
    <w:rsid w:val="00F27300"/>
    <w:rsid w:val="00F274B1"/>
    <w:rsid w:val="00F27882"/>
    <w:rsid w:val="00F278A3"/>
    <w:rsid w:val="00F27919"/>
    <w:rsid w:val="00F27944"/>
    <w:rsid w:val="00F279B1"/>
    <w:rsid w:val="00F27AA7"/>
    <w:rsid w:val="00F303EF"/>
    <w:rsid w:val="00F30511"/>
    <w:rsid w:val="00F30665"/>
    <w:rsid w:val="00F3066E"/>
    <w:rsid w:val="00F30D0E"/>
    <w:rsid w:val="00F30F20"/>
    <w:rsid w:val="00F30FC0"/>
    <w:rsid w:val="00F3105C"/>
    <w:rsid w:val="00F31168"/>
    <w:rsid w:val="00F311A4"/>
    <w:rsid w:val="00F31336"/>
    <w:rsid w:val="00F31882"/>
    <w:rsid w:val="00F31918"/>
    <w:rsid w:val="00F31936"/>
    <w:rsid w:val="00F31B3F"/>
    <w:rsid w:val="00F31BC1"/>
    <w:rsid w:val="00F31D95"/>
    <w:rsid w:val="00F31F60"/>
    <w:rsid w:val="00F3218D"/>
    <w:rsid w:val="00F32432"/>
    <w:rsid w:val="00F32522"/>
    <w:rsid w:val="00F32AF1"/>
    <w:rsid w:val="00F32E54"/>
    <w:rsid w:val="00F332CB"/>
    <w:rsid w:val="00F334D5"/>
    <w:rsid w:val="00F3382B"/>
    <w:rsid w:val="00F33B37"/>
    <w:rsid w:val="00F33BDA"/>
    <w:rsid w:val="00F33E8C"/>
    <w:rsid w:val="00F3412C"/>
    <w:rsid w:val="00F344A5"/>
    <w:rsid w:val="00F344E6"/>
    <w:rsid w:val="00F3469C"/>
    <w:rsid w:val="00F3498E"/>
    <w:rsid w:val="00F34A1F"/>
    <w:rsid w:val="00F34B77"/>
    <w:rsid w:val="00F34C5A"/>
    <w:rsid w:val="00F34F31"/>
    <w:rsid w:val="00F3525D"/>
    <w:rsid w:val="00F3526E"/>
    <w:rsid w:val="00F3554C"/>
    <w:rsid w:val="00F35643"/>
    <w:rsid w:val="00F357BF"/>
    <w:rsid w:val="00F35898"/>
    <w:rsid w:val="00F35A5D"/>
    <w:rsid w:val="00F35B7B"/>
    <w:rsid w:val="00F35DCF"/>
    <w:rsid w:val="00F35EE1"/>
    <w:rsid w:val="00F35FB9"/>
    <w:rsid w:val="00F361F3"/>
    <w:rsid w:val="00F36399"/>
    <w:rsid w:val="00F36456"/>
    <w:rsid w:val="00F365CD"/>
    <w:rsid w:val="00F36687"/>
    <w:rsid w:val="00F36D35"/>
    <w:rsid w:val="00F36ED5"/>
    <w:rsid w:val="00F376CA"/>
    <w:rsid w:val="00F37882"/>
    <w:rsid w:val="00F37981"/>
    <w:rsid w:val="00F37A0F"/>
    <w:rsid w:val="00F37A72"/>
    <w:rsid w:val="00F37C1E"/>
    <w:rsid w:val="00F37D13"/>
    <w:rsid w:val="00F37E13"/>
    <w:rsid w:val="00F40353"/>
    <w:rsid w:val="00F40556"/>
    <w:rsid w:val="00F40DE5"/>
    <w:rsid w:val="00F40E0B"/>
    <w:rsid w:val="00F40F3C"/>
    <w:rsid w:val="00F40F9B"/>
    <w:rsid w:val="00F40FE1"/>
    <w:rsid w:val="00F41444"/>
    <w:rsid w:val="00F4159D"/>
    <w:rsid w:val="00F419D9"/>
    <w:rsid w:val="00F41A94"/>
    <w:rsid w:val="00F41B37"/>
    <w:rsid w:val="00F41E29"/>
    <w:rsid w:val="00F4202E"/>
    <w:rsid w:val="00F4226B"/>
    <w:rsid w:val="00F42342"/>
    <w:rsid w:val="00F42455"/>
    <w:rsid w:val="00F424B6"/>
    <w:rsid w:val="00F42771"/>
    <w:rsid w:val="00F428B7"/>
    <w:rsid w:val="00F42A6D"/>
    <w:rsid w:val="00F42C99"/>
    <w:rsid w:val="00F42DB6"/>
    <w:rsid w:val="00F42E76"/>
    <w:rsid w:val="00F42ED2"/>
    <w:rsid w:val="00F42F06"/>
    <w:rsid w:val="00F43433"/>
    <w:rsid w:val="00F4371C"/>
    <w:rsid w:val="00F43825"/>
    <w:rsid w:val="00F43977"/>
    <w:rsid w:val="00F43A55"/>
    <w:rsid w:val="00F43BC1"/>
    <w:rsid w:val="00F43D3F"/>
    <w:rsid w:val="00F43F0C"/>
    <w:rsid w:val="00F43FA3"/>
    <w:rsid w:val="00F44668"/>
    <w:rsid w:val="00F44673"/>
    <w:rsid w:val="00F446AE"/>
    <w:rsid w:val="00F44789"/>
    <w:rsid w:val="00F44A57"/>
    <w:rsid w:val="00F44B49"/>
    <w:rsid w:val="00F44CB3"/>
    <w:rsid w:val="00F44E36"/>
    <w:rsid w:val="00F44FD2"/>
    <w:rsid w:val="00F45442"/>
    <w:rsid w:val="00F454BE"/>
    <w:rsid w:val="00F454C0"/>
    <w:rsid w:val="00F45615"/>
    <w:rsid w:val="00F45863"/>
    <w:rsid w:val="00F45A74"/>
    <w:rsid w:val="00F45B42"/>
    <w:rsid w:val="00F45B6B"/>
    <w:rsid w:val="00F45D89"/>
    <w:rsid w:val="00F45EDD"/>
    <w:rsid w:val="00F4614B"/>
    <w:rsid w:val="00F462AA"/>
    <w:rsid w:val="00F462E0"/>
    <w:rsid w:val="00F4685E"/>
    <w:rsid w:val="00F46948"/>
    <w:rsid w:val="00F46A06"/>
    <w:rsid w:val="00F46A1B"/>
    <w:rsid w:val="00F46A23"/>
    <w:rsid w:val="00F470E3"/>
    <w:rsid w:val="00F4722B"/>
    <w:rsid w:val="00F4750C"/>
    <w:rsid w:val="00F476D2"/>
    <w:rsid w:val="00F47784"/>
    <w:rsid w:val="00F479F3"/>
    <w:rsid w:val="00F47A7B"/>
    <w:rsid w:val="00F47EA3"/>
    <w:rsid w:val="00F50203"/>
    <w:rsid w:val="00F50284"/>
    <w:rsid w:val="00F50396"/>
    <w:rsid w:val="00F50423"/>
    <w:rsid w:val="00F507B1"/>
    <w:rsid w:val="00F507F9"/>
    <w:rsid w:val="00F50D70"/>
    <w:rsid w:val="00F50E2B"/>
    <w:rsid w:val="00F50FDF"/>
    <w:rsid w:val="00F511A8"/>
    <w:rsid w:val="00F511C1"/>
    <w:rsid w:val="00F512A2"/>
    <w:rsid w:val="00F51607"/>
    <w:rsid w:val="00F51676"/>
    <w:rsid w:val="00F51E37"/>
    <w:rsid w:val="00F51FDF"/>
    <w:rsid w:val="00F520E8"/>
    <w:rsid w:val="00F52209"/>
    <w:rsid w:val="00F522AE"/>
    <w:rsid w:val="00F5243F"/>
    <w:rsid w:val="00F527AD"/>
    <w:rsid w:val="00F527D7"/>
    <w:rsid w:val="00F5292E"/>
    <w:rsid w:val="00F52E10"/>
    <w:rsid w:val="00F52F11"/>
    <w:rsid w:val="00F5322A"/>
    <w:rsid w:val="00F53536"/>
    <w:rsid w:val="00F53BC5"/>
    <w:rsid w:val="00F53BE3"/>
    <w:rsid w:val="00F53EA7"/>
    <w:rsid w:val="00F5422F"/>
    <w:rsid w:val="00F54297"/>
    <w:rsid w:val="00F5433A"/>
    <w:rsid w:val="00F54582"/>
    <w:rsid w:val="00F54F2E"/>
    <w:rsid w:val="00F54F8F"/>
    <w:rsid w:val="00F551D3"/>
    <w:rsid w:val="00F558B8"/>
    <w:rsid w:val="00F559E0"/>
    <w:rsid w:val="00F55E06"/>
    <w:rsid w:val="00F55E73"/>
    <w:rsid w:val="00F564BA"/>
    <w:rsid w:val="00F5672A"/>
    <w:rsid w:val="00F56877"/>
    <w:rsid w:val="00F569EB"/>
    <w:rsid w:val="00F57021"/>
    <w:rsid w:val="00F571C4"/>
    <w:rsid w:val="00F574F6"/>
    <w:rsid w:val="00F57598"/>
    <w:rsid w:val="00F575D3"/>
    <w:rsid w:val="00F57662"/>
    <w:rsid w:val="00F57AFD"/>
    <w:rsid w:val="00F57C31"/>
    <w:rsid w:val="00F57CA7"/>
    <w:rsid w:val="00F57DEA"/>
    <w:rsid w:val="00F57E03"/>
    <w:rsid w:val="00F6008C"/>
    <w:rsid w:val="00F602C0"/>
    <w:rsid w:val="00F606AD"/>
    <w:rsid w:val="00F60B2C"/>
    <w:rsid w:val="00F60B49"/>
    <w:rsid w:val="00F60F34"/>
    <w:rsid w:val="00F60FDD"/>
    <w:rsid w:val="00F6130F"/>
    <w:rsid w:val="00F61375"/>
    <w:rsid w:val="00F613A3"/>
    <w:rsid w:val="00F61584"/>
    <w:rsid w:val="00F61605"/>
    <w:rsid w:val="00F61B8C"/>
    <w:rsid w:val="00F61D21"/>
    <w:rsid w:val="00F6207A"/>
    <w:rsid w:val="00F62579"/>
    <w:rsid w:val="00F62943"/>
    <w:rsid w:val="00F62B66"/>
    <w:rsid w:val="00F62C52"/>
    <w:rsid w:val="00F62CDA"/>
    <w:rsid w:val="00F62DE1"/>
    <w:rsid w:val="00F62E85"/>
    <w:rsid w:val="00F62F02"/>
    <w:rsid w:val="00F62F64"/>
    <w:rsid w:val="00F63487"/>
    <w:rsid w:val="00F63683"/>
    <w:rsid w:val="00F636EE"/>
    <w:rsid w:val="00F63888"/>
    <w:rsid w:val="00F63A67"/>
    <w:rsid w:val="00F63CDC"/>
    <w:rsid w:val="00F63CEC"/>
    <w:rsid w:val="00F63F86"/>
    <w:rsid w:val="00F6408E"/>
    <w:rsid w:val="00F64184"/>
    <w:rsid w:val="00F64422"/>
    <w:rsid w:val="00F649EE"/>
    <w:rsid w:val="00F64B27"/>
    <w:rsid w:val="00F64CC9"/>
    <w:rsid w:val="00F651B9"/>
    <w:rsid w:val="00F65464"/>
    <w:rsid w:val="00F654C5"/>
    <w:rsid w:val="00F65978"/>
    <w:rsid w:val="00F659BF"/>
    <w:rsid w:val="00F66426"/>
    <w:rsid w:val="00F66625"/>
    <w:rsid w:val="00F66714"/>
    <w:rsid w:val="00F66B06"/>
    <w:rsid w:val="00F66E3D"/>
    <w:rsid w:val="00F671C0"/>
    <w:rsid w:val="00F6729E"/>
    <w:rsid w:val="00F67398"/>
    <w:rsid w:val="00F6763D"/>
    <w:rsid w:val="00F67A69"/>
    <w:rsid w:val="00F70008"/>
    <w:rsid w:val="00F7024A"/>
    <w:rsid w:val="00F7072D"/>
    <w:rsid w:val="00F708DD"/>
    <w:rsid w:val="00F70C77"/>
    <w:rsid w:val="00F70CB0"/>
    <w:rsid w:val="00F71AC1"/>
    <w:rsid w:val="00F71F23"/>
    <w:rsid w:val="00F72044"/>
    <w:rsid w:val="00F7249D"/>
    <w:rsid w:val="00F7266A"/>
    <w:rsid w:val="00F72853"/>
    <w:rsid w:val="00F728A1"/>
    <w:rsid w:val="00F7290A"/>
    <w:rsid w:val="00F72BDC"/>
    <w:rsid w:val="00F7335E"/>
    <w:rsid w:val="00F7354D"/>
    <w:rsid w:val="00F73601"/>
    <w:rsid w:val="00F738C6"/>
    <w:rsid w:val="00F739C2"/>
    <w:rsid w:val="00F73B23"/>
    <w:rsid w:val="00F73DC6"/>
    <w:rsid w:val="00F73DD8"/>
    <w:rsid w:val="00F73EB5"/>
    <w:rsid w:val="00F73F5E"/>
    <w:rsid w:val="00F740F8"/>
    <w:rsid w:val="00F7414D"/>
    <w:rsid w:val="00F741C2"/>
    <w:rsid w:val="00F74326"/>
    <w:rsid w:val="00F74442"/>
    <w:rsid w:val="00F7451C"/>
    <w:rsid w:val="00F74D7E"/>
    <w:rsid w:val="00F74F3A"/>
    <w:rsid w:val="00F74F80"/>
    <w:rsid w:val="00F75047"/>
    <w:rsid w:val="00F752FD"/>
    <w:rsid w:val="00F7540C"/>
    <w:rsid w:val="00F75593"/>
    <w:rsid w:val="00F7559D"/>
    <w:rsid w:val="00F7562C"/>
    <w:rsid w:val="00F759F9"/>
    <w:rsid w:val="00F75C29"/>
    <w:rsid w:val="00F75CCA"/>
    <w:rsid w:val="00F75E1D"/>
    <w:rsid w:val="00F75FF1"/>
    <w:rsid w:val="00F76054"/>
    <w:rsid w:val="00F7615A"/>
    <w:rsid w:val="00F765F1"/>
    <w:rsid w:val="00F7669F"/>
    <w:rsid w:val="00F76853"/>
    <w:rsid w:val="00F76896"/>
    <w:rsid w:val="00F76957"/>
    <w:rsid w:val="00F769B1"/>
    <w:rsid w:val="00F76F91"/>
    <w:rsid w:val="00F7714F"/>
    <w:rsid w:val="00F7715B"/>
    <w:rsid w:val="00F77323"/>
    <w:rsid w:val="00F773D0"/>
    <w:rsid w:val="00F77493"/>
    <w:rsid w:val="00F77CBE"/>
    <w:rsid w:val="00F77D96"/>
    <w:rsid w:val="00F77EC2"/>
    <w:rsid w:val="00F804AB"/>
    <w:rsid w:val="00F8064E"/>
    <w:rsid w:val="00F80A94"/>
    <w:rsid w:val="00F80CF5"/>
    <w:rsid w:val="00F81143"/>
    <w:rsid w:val="00F8148E"/>
    <w:rsid w:val="00F8152C"/>
    <w:rsid w:val="00F815D8"/>
    <w:rsid w:val="00F81855"/>
    <w:rsid w:val="00F81C2E"/>
    <w:rsid w:val="00F81CDC"/>
    <w:rsid w:val="00F81EBB"/>
    <w:rsid w:val="00F81F07"/>
    <w:rsid w:val="00F8201F"/>
    <w:rsid w:val="00F82308"/>
    <w:rsid w:val="00F82481"/>
    <w:rsid w:val="00F827F8"/>
    <w:rsid w:val="00F82B2A"/>
    <w:rsid w:val="00F82C40"/>
    <w:rsid w:val="00F82E0F"/>
    <w:rsid w:val="00F8311E"/>
    <w:rsid w:val="00F831E0"/>
    <w:rsid w:val="00F835E3"/>
    <w:rsid w:val="00F836BE"/>
    <w:rsid w:val="00F8375B"/>
    <w:rsid w:val="00F83808"/>
    <w:rsid w:val="00F839DC"/>
    <w:rsid w:val="00F83C04"/>
    <w:rsid w:val="00F83DC1"/>
    <w:rsid w:val="00F84524"/>
    <w:rsid w:val="00F847B3"/>
    <w:rsid w:val="00F84ADE"/>
    <w:rsid w:val="00F84BB6"/>
    <w:rsid w:val="00F84D06"/>
    <w:rsid w:val="00F84D5F"/>
    <w:rsid w:val="00F84E88"/>
    <w:rsid w:val="00F84F25"/>
    <w:rsid w:val="00F852E3"/>
    <w:rsid w:val="00F8546C"/>
    <w:rsid w:val="00F856F0"/>
    <w:rsid w:val="00F85826"/>
    <w:rsid w:val="00F85B5D"/>
    <w:rsid w:val="00F85B9E"/>
    <w:rsid w:val="00F85DE4"/>
    <w:rsid w:val="00F860D8"/>
    <w:rsid w:val="00F8628C"/>
    <w:rsid w:val="00F8663C"/>
    <w:rsid w:val="00F8674B"/>
    <w:rsid w:val="00F86EC9"/>
    <w:rsid w:val="00F86EDC"/>
    <w:rsid w:val="00F87101"/>
    <w:rsid w:val="00F87488"/>
    <w:rsid w:val="00F87967"/>
    <w:rsid w:val="00F87D03"/>
    <w:rsid w:val="00F900F7"/>
    <w:rsid w:val="00F901EE"/>
    <w:rsid w:val="00F90237"/>
    <w:rsid w:val="00F90408"/>
    <w:rsid w:val="00F904A6"/>
    <w:rsid w:val="00F90567"/>
    <w:rsid w:val="00F905DD"/>
    <w:rsid w:val="00F9078A"/>
    <w:rsid w:val="00F909E9"/>
    <w:rsid w:val="00F90B6C"/>
    <w:rsid w:val="00F90F1C"/>
    <w:rsid w:val="00F91027"/>
    <w:rsid w:val="00F913EB"/>
    <w:rsid w:val="00F9176B"/>
    <w:rsid w:val="00F91A36"/>
    <w:rsid w:val="00F91A82"/>
    <w:rsid w:val="00F91AC3"/>
    <w:rsid w:val="00F91DB2"/>
    <w:rsid w:val="00F92695"/>
    <w:rsid w:val="00F927B9"/>
    <w:rsid w:val="00F92C33"/>
    <w:rsid w:val="00F92D3A"/>
    <w:rsid w:val="00F92E17"/>
    <w:rsid w:val="00F93260"/>
    <w:rsid w:val="00F932D3"/>
    <w:rsid w:val="00F933FB"/>
    <w:rsid w:val="00F935FC"/>
    <w:rsid w:val="00F9364B"/>
    <w:rsid w:val="00F9381E"/>
    <w:rsid w:val="00F93BCB"/>
    <w:rsid w:val="00F93C0E"/>
    <w:rsid w:val="00F93ECA"/>
    <w:rsid w:val="00F93F0F"/>
    <w:rsid w:val="00F940B9"/>
    <w:rsid w:val="00F9429C"/>
    <w:rsid w:val="00F9457B"/>
    <w:rsid w:val="00F94766"/>
    <w:rsid w:val="00F94AEF"/>
    <w:rsid w:val="00F94CB8"/>
    <w:rsid w:val="00F94CDF"/>
    <w:rsid w:val="00F94D28"/>
    <w:rsid w:val="00F9511F"/>
    <w:rsid w:val="00F952E8"/>
    <w:rsid w:val="00F953C2"/>
    <w:rsid w:val="00F9554B"/>
    <w:rsid w:val="00F9588D"/>
    <w:rsid w:val="00F959D2"/>
    <w:rsid w:val="00F95BFB"/>
    <w:rsid w:val="00F95D89"/>
    <w:rsid w:val="00F960B6"/>
    <w:rsid w:val="00F96196"/>
    <w:rsid w:val="00F967A3"/>
    <w:rsid w:val="00F96857"/>
    <w:rsid w:val="00F969A2"/>
    <w:rsid w:val="00F969F3"/>
    <w:rsid w:val="00F96B66"/>
    <w:rsid w:val="00F971BB"/>
    <w:rsid w:val="00F9768B"/>
    <w:rsid w:val="00F9780D"/>
    <w:rsid w:val="00F97AEB"/>
    <w:rsid w:val="00F97B4A"/>
    <w:rsid w:val="00F97BD5"/>
    <w:rsid w:val="00F97D4C"/>
    <w:rsid w:val="00F97D60"/>
    <w:rsid w:val="00F97D7D"/>
    <w:rsid w:val="00FA028B"/>
    <w:rsid w:val="00FA02A8"/>
    <w:rsid w:val="00FA0403"/>
    <w:rsid w:val="00FA0710"/>
    <w:rsid w:val="00FA086E"/>
    <w:rsid w:val="00FA0B47"/>
    <w:rsid w:val="00FA1311"/>
    <w:rsid w:val="00FA1415"/>
    <w:rsid w:val="00FA15F5"/>
    <w:rsid w:val="00FA200B"/>
    <w:rsid w:val="00FA2184"/>
    <w:rsid w:val="00FA237E"/>
    <w:rsid w:val="00FA2608"/>
    <w:rsid w:val="00FA2635"/>
    <w:rsid w:val="00FA295A"/>
    <w:rsid w:val="00FA33BA"/>
    <w:rsid w:val="00FA3456"/>
    <w:rsid w:val="00FA34BB"/>
    <w:rsid w:val="00FA3539"/>
    <w:rsid w:val="00FA3EFF"/>
    <w:rsid w:val="00FA3FBD"/>
    <w:rsid w:val="00FA40B5"/>
    <w:rsid w:val="00FA454A"/>
    <w:rsid w:val="00FA4B16"/>
    <w:rsid w:val="00FA4F48"/>
    <w:rsid w:val="00FA56D8"/>
    <w:rsid w:val="00FA5797"/>
    <w:rsid w:val="00FA59B3"/>
    <w:rsid w:val="00FA5E03"/>
    <w:rsid w:val="00FA5E5F"/>
    <w:rsid w:val="00FA5F25"/>
    <w:rsid w:val="00FA61EC"/>
    <w:rsid w:val="00FA64DF"/>
    <w:rsid w:val="00FA69A4"/>
    <w:rsid w:val="00FA6B28"/>
    <w:rsid w:val="00FA6B8E"/>
    <w:rsid w:val="00FA6F4E"/>
    <w:rsid w:val="00FA703B"/>
    <w:rsid w:val="00FA718A"/>
    <w:rsid w:val="00FA72D3"/>
    <w:rsid w:val="00FA7A8A"/>
    <w:rsid w:val="00FA7AF6"/>
    <w:rsid w:val="00FA7DBD"/>
    <w:rsid w:val="00FA7FFA"/>
    <w:rsid w:val="00FB086F"/>
    <w:rsid w:val="00FB08D9"/>
    <w:rsid w:val="00FB0BCF"/>
    <w:rsid w:val="00FB0E3B"/>
    <w:rsid w:val="00FB10E2"/>
    <w:rsid w:val="00FB1566"/>
    <w:rsid w:val="00FB17B7"/>
    <w:rsid w:val="00FB18E8"/>
    <w:rsid w:val="00FB1A3E"/>
    <w:rsid w:val="00FB22A7"/>
    <w:rsid w:val="00FB2445"/>
    <w:rsid w:val="00FB2688"/>
    <w:rsid w:val="00FB28C2"/>
    <w:rsid w:val="00FB2D97"/>
    <w:rsid w:val="00FB2DC7"/>
    <w:rsid w:val="00FB3211"/>
    <w:rsid w:val="00FB3355"/>
    <w:rsid w:val="00FB3427"/>
    <w:rsid w:val="00FB3537"/>
    <w:rsid w:val="00FB3879"/>
    <w:rsid w:val="00FB3A9E"/>
    <w:rsid w:val="00FB4160"/>
    <w:rsid w:val="00FB438E"/>
    <w:rsid w:val="00FB44C9"/>
    <w:rsid w:val="00FB4CA1"/>
    <w:rsid w:val="00FB4E64"/>
    <w:rsid w:val="00FB5194"/>
    <w:rsid w:val="00FB524E"/>
    <w:rsid w:val="00FB528F"/>
    <w:rsid w:val="00FB52BC"/>
    <w:rsid w:val="00FB5395"/>
    <w:rsid w:val="00FB5591"/>
    <w:rsid w:val="00FB5707"/>
    <w:rsid w:val="00FB5845"/>
    <w:rsid w:val="00FB5B5C"/>
    <w:rsid w:val="00FB5E6E"/>
    <w:rsid w:val="00FB5F30"/>
    <w:rsid w:val="00FB6204"/>
    <w:rsid w:val="00FB6468"/>
    <w:rsid w:val="00FB656D"/>
    <w:rsid w:val="00FB66A7"/>
    <w:rsid w:val="00FB67F2"/>
    <w:rsid w:val="00FB68BB"/>
    <w:rsid w:val="00FB693A"/>
    <w:rsid w:val="00FB6A47"/>
    <w:rsid w:val="00FB6A7E"/>
    <w:rsid w:val="00FB6B74"/>
    <w:rsid w:val="00FB6D8A"/>
    <w:rsid w:val="00FB713B"/>
    <w:rsid w:val="00FB71F1"/>
    <w:rsid w:val="00FB7456"/>
    <w:rsid w:val="00FB74FC"/>
    <w:rsid w:val="00FB7616"/>
    <w:rsid w:val="00FB79A1"/>
    <w:rsid w:val="00FB7A55"/>
    <w:rsid w:val="00FB7D63"/>
    <w:rsid w:val="00FB7E39"/>
    <w:rsid w:val="00FB7EDA"/>
    <w:rsid w:val="00FB7F9A"/>
    <w:rsid w:val="00FB7FFD"/>
    <w:rsid w:val="00FC0287"/>
    <w:rsid w:val="00FC02F0"/>
    <w:rsid w:val="00FC039D"/>
    <w:rsid w:val="00FC0B53"/>
    <w:rsid w:val="00FC0BB8"/>
    <w:rsid w:val="00FC0BC7"/>
    <w:rsid w:val="00FC0F1E"/>
    <w:rsid w:val="00FC1071"/>
    <w:rsid w:val="00FC107C"/>
    <w:rsid w:val="00FC1BE6"/>
    <w:rsid w:val="00FC1D74"/>
    <w:rsid w:val="00FC1EB6"/>
    <w:rsid w:val="00FC1EEC"/>
    <w:rsid w:val="00FC1F15"/>
    <w:rsid w:val="00FC214F"/>
    <w:rsid w:val="00FC2699"/>
    <w:rsid w:val="00FC27C9"/>
    <w:rsid w:val="00FC28B3"/>
    <w:rsid w:val="00FC2B73"/>
    <w:rsid w:val="00FC2BBF"/>
    <w:rsid w:val="00FC2D33"/>
    <w:rsid w:val="00FC2DE4"/>
    <w:rsid w:val="00FC2FF3"/>
    <w:rsid w:val="00FC326A"/>
    <w:rsid w:val="00FC32DF"/>
    <w:rsid w:val="00FC37B1"/>
    <w:rsid w:val="00FC3975"/>
    <w:rsid w:val="00FC3997"/>
    <w:rsid w:val="00FC3C82"/>
    <w:rsid w:val="00FC3D3A"/>
    <w:rsid w:val="00FC3FD2"/>
    <w:rsid w:val="00FC402E"/>
    <w:rsid w:val="00FC4328"/>
    <w:rsid w:val="00FC4A57"/>
    <w:rsid w:val="00FC4ACC"/>
    <w:rsid w:val="00FC4BE8"/>
    <w:rsid w:val="00FC4D44"/>
    <w:rsid w:val="00FC4EBF"/>
    <w:rsid w:val="00FC50C1"/>
    <w:rsid w:val="00FC50F1"/>
    <w:rsid w:val="00FC5285"/>
    <w:rsid w:val="00FC5292"/>
    <w:rsid w:val="00FC52D1"/>
    <w:rsid w:val="00FC530F"/>
    <w:rsid w:val="00FC56AA"/>
    <w:rsid w:val="00FC593A"/>
    <w:rsid w:val="00FC5C6E"/>
    <w:rsid w:val="00FC605A"/>
    <w:rsid w:val="00FC6073"/>
    <w:rsid w:val="00FC6124"/>
    <w:rsid w:val="00FC62FC"/>
    <w:rsid w:val="00FC6437"/>
    <w:rsid w:val="00FC671D"/>
    <w:rsid w:val="00FC6857"/>
    <w:rsid w:val="00FC6DA8"/>
    <w:rsid w:val="00FC6F5B"/>
    <w:rsid w:val="00FC70D1"/>
    <w:rsid w:val="00FC713C"/>
    <w:rsid w:val="00FC71A2"/>
    <w:rsid w:val="00FC72A8"/>
    <w:rsid w:val="00FC72DA"/>
    <w:rsid w:val="00FC7530"/>
    <w:rsid w:val="00FC753C"/>
    <w:rsid w:val="00FC75FB"/>
    <w:rsid w:val="00FC7C92"/>
    <w:rsid w:val="00FC7EC6"/>
    <w:rsid w:val="00FD0046"/>
    <w:rsid w:val="00FD0131"/>
    <w:rsid w:val="00FD013E"/>
    <w:rsid w:val="00FD027D"/>
    <w:rsid w:val="00FD0356"/>
    <w:rsid w:val="00FD0554"/>
    <w:rsid w:val="00FD0558"/>
    <w:rsid w:val="00FD06D5"/>
    <w:rsid w:val="00FD0985"/>
    <w:rsid w:val="00FD09F9"/>
    <w:rsid w:val="00FD0E30"/>
    <w:rsid w:val="00FD102B"/>
    <w:rsid w:val="00FD1905"/>
    <w:rsid w:val="00FD1957"/>
    <w:rsid w:val="00FD1EB1"/>
    <w:rsid w:val="00FD214C"/>
    <w:rsid w:val="00FD22B5"/>
    <w:rsid w:val="00FD26C6"/>
    <w:rsid w:val="00FD27B3"/>
    <w:rsid w:val="00FD2898"/>
    <w:rsid w:val="00FD28CB"/>
    <w:rsid w:val="00FD365F"/>
    <w:rsid w:val="00FD36D1"/>
    <w:rsid w:val="00FD37FC"/>
    <w:rsid w:val="00FD389B"/>
    <w:rsid w:val="00FD424F"/>
    <w:rsid w:val="00FD4BD7"/>
    <w:rsid w:val="00FD4CB7"/>
    <w:rsid w:val="00FD4CCA"/>
    <w:rsid w:val="00FD4FD4"/>
    <w:rsid w:val="00FD50D2"/>
    <w:rsid w:val="00FD5543"/>
    <w:rsid w:val="00FD5575"/>
    <w:rsid w:val="00FD5A13"/>
    <w:rsid w:val="00FD5B04"/>
    <w:rsid w:val="00FD5B2E"/>
    <w:rsid w:val="00FD614F"/>
    <w:rsid w:val="00FD6317"/>
    <w:rsid w:val="00FD631A"/>
    <w:rsid w:val="00FD6364"/>
    <w:rsid w:val="00FD63B2"/>
    <w:rsid w:val="00FD67B6"/>
    <w:rsid w:val="00FD6866"/>
    <w:rsid w:val="00FD694B"/>
    <w:rsid w:val="00FD69DF"/>
    <w:rsid w:val="00FD6C9F"/>
    <w:rsid w:val="00FD6D94"/>
    <w:rsid w:val="00FD6FB3"/>
    <w:rsid w:val="00FD7378"/>
    <w:rsid w:val="00FD75D3"/>
    <w:rsid w:val="00FD7721"/>
    <w:rsid w:val="00FD77B6"/>
    <w:rsid w:val="00FD78DC"/>
    <w:rsid w:val="00FD7CD4"/>
    <w:rsid w:val="00FD7CFA"/>
    <w:rsid w:val="00FD7E42"/>
    <w:rsid w:val="00FE0038"/>
    <w:rsid w:val="00FE0217"/>
    <w:rsid w:val="00FE0411"/>
    <w:rsid w:val="00FE0555"/>
    <w:rsid w:val="00FE0788"/>
    <w:rsid w:val="00FE0A41"/>
    <w:rsid w:val="00FE0A83"/>
    <w:rsid w:val="00FE0C3E"/>
    <w:rsid w:val="00FE0EA1"/>
    <w:rsid w:val="00FE0ED5"/>
    <w:rsid w:val="00FE11AC"/>
    <w:rsid w:val="00FE15C4"/>
    <w:rsid w:val="00FE16AE"/>
    <w:rsid w:val="00FE1A37"/>
    <w:rsid w:val="00FE1A92"/>
    <w:rsid w:val="00FE1B60"/>
    <w:rsid w:val="00FE1C90"/>
    <w:rsid w:val="00FE1D3E"/>
    <w:rsid w:val="00FE2424"/>
    <w:rsid w:val="00FE24A4"/>
    <w:rsid w:val="00FE27DA"/>
    <w:rsid w:val="00FE28DB"/>
    <w:rsid w:val="00FE2CB0"/>
    <w:rsid w:val="00FE2D60"/>
    <w:rsid w:val="00FE2D94"/>
    <w:rsid w:val="00FE2EE2"/>
    <w:rsid w:val="00FE361B"/>
    <w:rsid w:val="00FE3A9F"/>
    <w:rsid w:val="00FE3AE0"/>
    <w:rsid w:val="00FE3BDD"/>
    <w:rsid w:val="00FE3C91"/>
    <w:rsid w:val="00FE3CB0"/>
    <w:rsid w:val="00FE3FBE"/>
    <w:rsid w:val="00FE405E"/>
    <w:rsid w:val="00FE40EB"/>
    <w:rsid w:val="00FE45C9"/>
    <w:rsid w:val="00FE4654"/>
    <w:rsid w:val="00FE476E"/>
    <w:rsid w:val="00FE4943"/>
    <w:rsid w:val="00FE4F66"/>
    <w:rsid w:val="00FE52C0"/>
    <w:rsid w:val="00FE5E99"/>
    <w:rsid w:val="00FE5F2A"/>
    <w:rsid w:val="00FE65C6"/>
    <w:rsid w:val="00FE6AFB"/>
    <w:rsid w:val="00FE6C18"/>
    <w:rsid w:val="00FE6C72"/>
    <w:rsid w:val="00FE6F0F"/>
    <w:rsid w:val="00FE7243"/>
    <w:rsid w:val="00FE741D"/>
    <w:rsid w:val="00FE76B5"/>
    <w:rsid w:val="00FE7A98"/>
    <w:rsid w:val="00FE7BFE"/>
    <w:rsid w:val="00FE7CB0"/>
    <w:rsid w:val="00FE7CCE"/>
    <w:rsid w:val="00FE7D60"/>
    <w:rsid w:val="00FE7D8F"/>
    <w:rsid w:val="00FE7E9D"/>
    <w:rsid w:val="00FE7EF6"/>
    <w:rsid w:val="00FE7F31"/>
    <w:rsid w:val="00FE7F3B"/>
    <w:rsid w:val="00FF01B0"/>
    <w:rsid w:val="00FF02D7"/>
    <w:rsid w:val="00FF0408"/>
    <w:rsid w:val="00FF041F"/>
    <w:rsid w:val="00FF05C9"/>
    <w:rsid w:val="00FF09D5"/>
    <w:rsid w:val="00FF09D6"/>
    <w:rsid w:val="00FF09EE"/>
    <w:rsid w:val="00FF0A7C"/>
    <w:rsid w:val="00FF0E5A"/>
    <w:rsid w:val="00FF106B"/>
    <w:rsid w:val="00FF12F1"/>
    <w:rsid w:val="00FF1734"/>
    <w:rsid w:val="00FF1BCB"/>
    <w:rsid w:val="00FF1BD9"/>
    <w:rsid w:val="00FF1F5F"/>
    <w:rsid w:val="00FF1FA6"/>
    <w:rsid w:val="00FF203D"/>
    <w:rsid w:val="00FF2227"/>
    <w:rsid w:val="00FF2325"/>
    <w:rsid w:val="00FF2628"/>
    <w:rsid w:val="00FF288F"/>
    <w:rsid w:val="00FF3052"/>
    <w:rsid w:val="00FF3231"/>
    <w:rsid w:val="00FF340A"/>
    <w:rsid w:val="00FF3459"/>
    <w:rsid w:val="00FF3721"/>
    <w:rsid w:val="00FF3828"/>
    <w:rsid w:val="00FF3894"/>
    <w:rsid w:val="00FF3B51"/>
    <w:rsid w:val="00FF402A"/>
    <w:rsid w:val="00FF427D"/>
    <w:rsid w:val="00FF42FF"/>
    <w:rsid w:val="00FF45BA"/>
    <w:rsid w:val="00FF46E4"/>
    <w:rsid w:val="00FF484C"/>
    <w:rsid w:val="00FF492C"/>
    <w:rsid w:val="00FF49AD"/>
    <w:rsid w:val="00FF4A7D"/>
    <w:rsid w:val="00FF4E7F"/>
    <w:rsid w:val="00FF528C"/>
    <w:rsid w:val="00FF58B1"/>
    <w:rsid w:val="00FF5CED"/>
    <w:rsid w:val="00FF5D15"/>
    <w:rsid w:val="00FF5F3B"/>
    <w:rsid w:val="00FF6064"/>
    <w:rsid w:val="00FF6091"/>
    <w:rsid w:val="00FF6424"/>
    <w:rsid w:val="00FF66D3"/>
    <w:rsid w:val="00FF6B27"/>
    <w:rsid w:val="00FF6E30"/>
    <w:rsid w:val="00FF710B"/>
    <w:rsid w:val="00FF7256"/>
    <w:rsid w:val="00FF72E1"/>
    <w:rsid w:val="00FF79B8"/>
    <w:rsid w:val="00FF7BEB"/>
    <w:rsid w:val="00FF7E05"/>
    <w:rsid w:val="00FF7EBB"/>
  </w:rsids>
  <m:mathPr>
    <m:mathFont m:val="Cambria Math"/>
    <m:brkBin m:val="before"/>
    <m:brkBinSub m:val="--"/>
    <m:smallFrac m:val="0"/>
    <m:dispDef/>
    <m:lMargin m:val="0"/>
    <m:rMargin m:val="0"/>
    <m:defJc m:val="centerGroup"/>
    <m:wrapIndent m:val="1440"/>
    <m:intLim m:val="subSup"/>
    <m:naryLim m:val="undOvr"/>
  </m:mathPr>
  <w:themeFontLang w:val="en-AU" w:bidi="ar-SA"/>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25DE15F8"/>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4" w:qFormat="1"/>
    <w:lsdException w:name="heading 2" w:semiHidden="1" w:uiPriority="4" w:unhideWhenUsed="1" w:qFormat="1"/>
    <w:lsdException w:name="heading 3" w:semiHidden="1" w:uiPriority="4" w:unhideWhenUsed="1" w:qFormat="1"/>
    <w:lsdException w:name="heading 4" w:semiHidden="1" w:uiPriority="4" w:qFormat="1"/>
    <w:lsdException w:name="heading 5" w:semiHidden="1" w:uiPriority="18" w:qFormat="1"/>
    <w:lsdException w:name="heading 6" w:semiHidden="1" w:uiPriority="18" w:qFormat="1"/>
    <w:lsdException w:name="heading 7" w:semiHidden="1" w:uiPriority="18" w:qFormat="1"/>
    <w:lsdException w:name="heading 8" w:semiHidden="1" w:uiPriority="18" w:qFormat="1"/>
    <w:lsdException w:name="heading 9" w:semiHidden="1" w:uiPriority="18"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7"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6" w:unhideWhenUsed="1"/>
    <w:lsdException w:name="List Number" w:semiHidden="1" w:uiPriority="1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9"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9"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17" w:qFormat="1"/>
    <w:lsdException w:name="Emphasis" w:semiHidden="1"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uiPriority="18" w:qFormat="1"/>
    <w:lsdException w:name="Intense Quote" w:semiHidden="1"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qFormat="1"/>
    <w:lsdException w:name="Intense Emphasis" w:semiHidden="1" w:uiPriority="21" w:qFormat="1"/>
    <w:lsdException w:name="Subtle Reference" w:semiHidden="1" w:uiPriority="31" w:qFormat="1"/>
    <w:lsdException w:name="Intense Reference" w:semiHidden="1" w:uiPriority="32" w:qFormat="1"/>
    <w:lsdException w:name="Book Title" w:semiHidden="1"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F5EE2"/>
    <w:pPr>
      <w:spacing w:after="240"/>
    </w:pPr>
  </w:style>
  <w:style w:type="paragraph" w:styleId="Heading1">
    <w:name w:val="heading 1"/>
    <w:basedOn w:val="Normal"/>
    <w:next w:val="Normal"/>
    <w:link w:val="Heading1Char"/>
    <w:autoRedefine/>
    <w:uiPriority w:val="4"/>
    <w:qFormat/>
    <w:rsid w:val="00CA0141"/>
    <w:pPr>
      <w:framePr w:wrap="around" w:hAnchor="text" w:yAlign="bottom"/>
      <w:numPr>
        <w:numId w:val="2"/>
      </w:numPr>
      <w:pBdr>
        <w:bottom w:val="single" w:sz="6" w:space="1" w:color="FFFFFF" w:themeColor="background2"/>
      </w:pBdr>
      <w:tabs>
        <w:tab w:val="left" w:pos="680"/>
      </w:tabs>
      <w:spacing w:after="160" w:line="960" w:lineRule="exact"/>
      <w:ind w:right="6"/>
      <w:outlineLvl w:val="0"/>
    </w:pPr>
    <w:rPr>
      <w:caps/>
      <w:color w:val="FFFFFF" w:themeColor="background2"/>
      <w:sz w:val="96"/>
    </w:rPr>
  </w:style>
  <w:style w:type="paragraph" w:styleId="Heading2">
    <w:name w:val="heading 2"/>
    <w:basedOn w:val="Normal"/>
    <w:next w:val="Normal"/>
    <w:link w:val="Heading2Char"/>
    <w:autoRedefine/>
    <w:uiPriority w:val="4"/>
    <w:qFormat/>
    <w:rsid w:val="00CA0141"/>
    <w:pPr>
      <w:keepNext/>
      <w:numPr>
        <w:ilvl w:val="1"/>
        <w:numId w:val="2"/>
      </w:numPr>
      <w:spacing w:before="240"/>
      <w:ind w:left="680"/>
      <w:outlineLvl w:val="1"/>
    </w:pPr>
    <w:rPr>
      <w:caps/>
      <w:color w:val="0067A0" w:themeColor="accent1"/>
      <w:sz w:val="29"/>
      <w:szCs w:val="24"/>
    </w:rPr>
  </w:style>
  <w:style w:type="paragraph" w:styleId="Heading3">
    <w:name w:val="heading 3"/>
    <w:basedOn w:val="Heading2"/>
    <w:next w:val="Normal"/>
    <w:link w:val="Heading3Char"/>
    <w:uiPriority w:val="4"/>
    <w:qFormat/>
    <w:rsid w:val="00CA0141"/>
    <w:pPr>
      <w:keepLines/>
      <w:numPr>
        <w:ilvl w:val="2"/>
      </w:numPr>
      <w:ind w:left="680"/>
      <w:outlineLvl w:val="2"/>
    </w:pPr>
    <w:rPr>
      <w:rFonts w:eastAsiaTheme="majorEastAsia" w:cstheme="majorBidi"/>
      <w:sz w:val="26"/>
    </w:rPr>
  </w:style>
  <w:style w:type="paragraph" w:styleId="Heading4">
    <w:name w:val="heading 4"/>
    <w:basedOn w:val="Heading3"/>
    <w:next w:val="Normal"/>
    <w:link w:val="Heading4Char"/>
    <w:autoRedefine/>
    <w:uiPriority w:val="4"/>
    <w:qFormat/>
    <w:rsid w:val="007E6CAF"/>
    <w:pPr>
      <w:numPr>
        <w:ilvl w:val="3"/>
      </w:numPr>
      <w:spacing w:after="160"/>
      <w:ind w:left="851" w:right="261" w:hanging="851"/>
      <w:outlineLvl w:val="3"/>
    </w:pPr>
    <w:rPr>
      <w:iCs/>
      <w:sz w:val="22"/>
    </w:rPr>
  </w:style>
  <w:style w:type="paragraph" w:styleId="Heading5">
    <w:name w:val="heading 5"/>
    <w:basedOn w:val="Normal"/>
    <w:next w:val="Normal"/>
    <w:link w:val="Heading5Char"/>
    <w:uiPriority w:val="18"/>
    <w:semiHidden/>
    <w:qFormat/>
    <w:rsid w:val="007F5AC4"/>
    <w:pPr>
      <w:keepNext/>
      <w:keepLines/>
      <w:numPr>
        <w:ilvl w:val="4"/>
        <w:numId w:val="2"/>
      </w:numPr>
      <w:spacing w:before="40" w:after="0"/>
      <w:outlineLvl w:val="4"/>
    </w:pPr>
    <w:rPr>
      <w:rFonts w:asciiTheme="majorHAnsi" w:eastAsiaTheme="majorEastAsia" w:hAnsiTheme="majorHAnsi" w:cstheme="majorBidi"/>
      <w:color w:val="004C77" w:themeColor="accent1" w:themeShade="BF"/>
    </w:rPr>
  </w:style>
  <w:style w:type="paragraph" w:styleId="Heading6">
    <w:name w:val="heading 6"/>
    <w:basedOn w:val="Normal"/>
    <w:next w:val="Normal"/>
    <w:link w:val="Heading6Char"/>
    <w:uiPriority w:val="18"/>
    <w:semiHidden/>
    <w:qFormat/>
    <w:rsid w:val="007F5AC4"/>
    <w:pPr>
      <w:keepNext/>
      <w:keepLines/>
      <w:numPr>
        <w:ilvl w:val="5"/>
        <w:numId w:val="2"/>
      </w:numPr>
      <w:spacing w:before="40" w:after="0"/>
      <w:outlineLvl w:val="5"/>
    </w:pPr>
    <w:rPr>
      <w:rFonts w:asciiTheme="majorHAnsi" w:eastAsiaTheme="majorEastAsia" w:hAnsiTheme="majorHAnsi" w:cstheme="majorBidi"/>
      <w:color w:val="00334F" w:themeColor="accent1" w:themeShade="7F"/>
    </w:rPr>
  </w:style>
  <w:style w:type="paragraph" w:styleId="Heading7">
    <w:name w:val="heading 7"/>
    <w:basedOn w:val="Normal"/>
    <w:next w:val="Normal"/>
    <w:link w:val="Heading7Char"/>
    <w:uiPriority w:val="18"/>
    <w:semiHidden/>
    <w:qFormat/>
    <w:rsid w:val="007F5AC4"/>
    <w:pPr>
      <w:keepNext/>
      <w:keepLines/>
      <w:numPr>
        <w:ilvl w:val="6"/>
        <w:numId w:val="2"/>
      </w:numPr>
      <w:spacing w:before="40" w:after="0"/>
      <w:outlineLvl w:val="6"/>
    </w:pPr>
    <w:rPr>
      <w:rFonts w:asciiTheme="majorHAnsi" w:eastAsiaTheme="majorEastAsia" w:hAnsiTheme="majorHAnsi" w:cstheme="majorBidi"/>
      <w:i/>
      <w:iCs/>
      <w:color w:val="00334F" w:themeColor="accent1" w:themeShade="7F"/>
    </w:rPr>
  </w:style>
  <w:style w:type="paragraph" w:styleId="Heading8">
    <w:name w:val="heading 8"/>
    <w:basedOn w:val="Normal"/>
    <w:next w:val="Normal"/>
    <w:link w:val="Heading8Char"/>
    <w:uiPriority w:val="18"/>
    <w:semiHidden/>
    <w:qFormat/>
    <w:rsid w:val="007F5AC4"/>
    <w:pPr>
      <w:keepNext/>
      <w:keepLines/>
      <w:numPr>
        <w:ilvl w:val="7"/>
        <w:numId w:val="2"/>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18"/>
    <w:semiHidden/>
    <w:qFormat/>
    <w:rsid w:val="007F5AC4"/>
    <w:pPr>
      <w:keepNext/>
      <w:keepLines/>
      <w:numPr>
        <w:ilvl w:val="8"/>
        <w:numId w:val="2"/>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4"/>
    <w:rsid w:val="00CA0141"/>
    <w:rPr>
      <w:caps/>
      <w:color w:val="FFFFFF" w:themeColor="background2"/>
      <w:sz w:val="96"/>
    </w:rPr>
  </w:style>
  <w:style w:type="character" w:customStyle="1" w:styleId="Heading2Char">
    <w:name w:val="Heading 2 Char"/>
    <w:basedOn w:val="DefaultParagraphFont"/>
    <w:link w:val="Heading2"/>
    <w:uiPriority w:val="4"/>
    <w:rsid w:val="00CA0141"/>
    <w:rPr>
      <w:caps/>
      <w:color w:val="0067A0" w:themeColor="accent1"/>
      <w:sz w:val="29"/>
      <w:szCs w:val="24"/>
    </w:rPr>
  </w:style>
  <w:style w:type="character" w:customStyle="1" w:styleId="Heading3Char">
    <w:name w:val="Heading 3 Char"/>
    <w:basedOn w:val="DefaultParagraphFont"/>
    <w:link w:val="Heading3"/>
    <w:uiPriority w:val="4"/>
    <w:rsid w:val="00CA0141"/>
    <w:rPr>
      <w:rFonts w:eastAsiaTheme="majorEastAsia" w:cstheme="majorBidi"/>
      <w:caps/>
      <w:color w:val="0067A0" w:themeColor="accent1"/>
      <w:sz w:val="26"/>
      <w:szCs w:val="24"/>
    </w:rPr>
  </w:style>
  <w:style w:type="character" w:customStyle="1" w:styleId="Heading4Char">
    <w:name w:val="Heading 4 Char"/>
    <w:basedOn w:val="DefaultParagraphFont"/>
    <w:link w:val="Heading4"/>
    <w:uiPriority w:val="4"/>
    <w:rsid w:val="007E6CAF"/>
    <w:rPr>
      <w:rFonts w:eastAsiaTheme="majorEastAsia" w:cstheme="majorBidi"/>
      <w:iCs/>
      <w:caps/>
      <w:color w:val="0067A0" w:themeColor="accent1"/>
      <w:szCs w:val="24"/>
    </w:rPr>
  </w:style>
  <w:style w:type="character" w:customStyle="1" w:styleId="Heading5Char">
    <w:name w:val="Heading 5 Char"/>
    <w:basedOn w:val="DefaultParagraphFont"/>
    <w:link w:val="Heading5"/>
    <w:uiPriority w:val="18"/>
    <w:semiHidden/>
    <w:rsid w:val="00C86D1C"/>
    <w:rPr>
      <w:rFonts w:asciiTheme="majorHAnsi" w:eastAsiaTheme="majorEastAsia" w:hAnsiTheme="majorHAnsi" w:cstheme="majorBidi"/>
      <w:color w:val="004C77" w:themeColor="accent1" w:themeShade="BF"/>
    </w:rPr>
  </w:style>
  <w:style w:type="character" w:customStyle="1" w:styleId="Heading6Char">
    <w:name w:val="Heading 6 Char"/>
    <w:basedOn w:val="DefaultParagraphFont"/>
    <w:link w:val="Heading6"/>
    <w:uiPriority w:val="18"/>
    <w:semiHidden/>
    <w:rsid w:val="00C86D1C"/>
    <w:rPr>
      <w:rFonts w:asciiTheme="majorHAnsi" w:eastAsiaTheme="majorEastAsia" w:hAnsiTheme="majorHAnsi" w:cstheme="majorBidi"/>
      <w:color w:val="00334F" w:themeColor="accent1" w:themeShade="7F"/>
    </w:rPr>
  </w:style>
  <w:style w:type="character" w:customStyle="1" w:styleId="Heading7Char">
    <w:name w:val="Heading 7 Char"/>
    <w:basedOn w:val="DefaultParagraphFont"/>
    <w:link w:val="Heading7"/>
    <w:uiPriority w:val="18"/>
    <w:semiHidden/>
    <w:rsid w:val="00C86D1C"/>
    <w:rPr>
      <w:rFonts w:asciiTheme="majorHAnsi" w:eastAsiaTheme="majorEastAsia" w:hAnsiTheme="majorHAnsi" w:cstheme="majorBidi"/>
      <w:i/>
      <w:iCs/>
      <w:color w:val="00334F" w:themeColor="accent1" w:themeShade="7F"/>
    </w:rPr>
  </w:style>
  <w:style w:type="character" w:customStyle="1" w:styleId="Heading8Char">
    <w:name w:val="Heading 8 Char"/>
    <w:basedOn w:val="DefaultParagraphFont"/>
    <w:link w:val="Heading8"/>
    <w:uiPriority w:val="18"/>
    <w:semiHidden/>
    <w:rsid w:val="00C86D1C"/>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18"/>
    <w:semiHidden/>
    <w:rsid w:val="00C86D1C"/>
    <w:rPr>
      <w:rFonts w:asciiTheme="majorHAnsi" w:eastAsiaTheme="majorEastAsia" w:hAnsiTheme="majorHAnsi" w:cstheme="majorBidi"/>
      <w:i/>
      <w:iCs/>
      <w:color w:val="272727" w:themeColor="text1" w:themeTint="D8"/>
      <w:sz w:val="21"/>
      <w:szCs w:val="21"/>
    </w:rPr>
  </w:style>
  <w:style w:type="paragraph" w:styleId="Header">
    <w:name w:val="header"/>
    <w:basedOn w:val="Normal"/>
    <w:link w:val="HeaderChar"/>
    <w:uiPriority w:val="99"/>
    <w:semiHidden/>
    <w:rsid w:val="002C42A1"/>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74613E"/>
    <w:rPr>
      <w:sz w:val="20"/>
    </w:rPr>
  </w:style>
  <w:style w:type="paragraph" w:styleId="Footer">
    <w:name w:val="footer"/>
    <w:basedOn w:val="Normal"/>
    <w:link w:val="FooterChar"/>
    <w:uiPriority w:val="99"/>
    <w:unhideWhenUsed/>
    <w:rsid w:val="0078331E"/>
    <w:pPr>
      <w:tabs>
        <w:tab w:val="center" w:pos="4513"/>
        <w:tab w:val="right" w:pos="9026"/>
      </w:tabs>
      <w:spacing w:after="0" w:line="240" w:lineRule="auto"/>
    </w:pPr>
    <w:rPr>
      <w:sz w:val="16"/>
    </w:rPr>
  </w:style>
  <w:style w:type="character" w:customStyle="1" w:styleId="FooterChar">
    <w:name w:val="Footer Char"/>
    <w:basedOn w:val="DefaultParagraphFont"/>
    <w:link w:val="Footer"/>
    <w:uiPriority w:val="99"/>
    <w:rsid w:val="003D1AA5"/>
    <w:rPr>
      <w:sz w:val="16"/>
    </w:rPr>
  </w:style>
  <w:style w:type="character" w:styleId="PageNumber">
    <w:name w:val="page number"/>
    <w:basedOn w:val="DefaultParagraphFont"/>
    <w:uiPriority w:val="99"/>
    <w:semiHidden/>
    <w:unhideWhenUsed/>
    <w:rsid w:val="002C42A1"/>
  </w:style>
  <w:style w:type="paragraph" w:styleId="ListNumber5">
    <w:name w:val="List Number 5"/>
    <w:basedOn w:val="Normal"/>
    <w:uiPriority w:val="99"/>
    <w:semiHidden/>
    <w:unhideWhenUsed/>
    <w:rsid w:val="00187B86"/>
    <w:pPr>
      <w:widowControl w:val="0"/>
      <w:numPr>
        <w:numId w:val="1"/>
      </w:numPr>
      <w:adjustRightInd w:val="0"/>
      <w:snapToGrid w:val="0"/>
      <w:spacing w:after="200" w:line="260" w:lineRule="atLeast"/>
      <w:contextualSpacing/>
    </w:pPr>
    <w:rPr>
      <w:rFonts w:ascii="Gotham Book" w:eastAsia="Source Sans Pro Light" w:hAnsi="Gotham Book" w:cs="Source Sans Pro Light"/>
    </w:rPr>
  </w:style>
  <w:style w:type="paragraph" w:styleId="ListBullet">
    <w:name w:val="List Bullet"/>
    <w:basedOn w:val="Normal"/>
    <w:uiPriority w:val="8"/>
    <w:rsid w:val="00593D70"/>
    <w:pPr>
      <w:numPr>
        <w:numId w:val="15"/>
      </w:numPr>
      <w:spacing w:after="160"/>
    </w:pPr>
    <w:rPr>
      <w:rFonts w:ascii="Gotham Book" w:hAnsi="Gotham Book"/>
    </w:rPr>
  </w:style>
  <w:style w:type="table" w:styleId="TableGrid">
    <w:name w:val="Table Grid"/>
    <w:basedOn w:val="TableNormal"/>
    <w:uiPriority w:val="59"/>
    <w:rsid w:val="00E114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Light">
    <w:name w:val="Grid Table Light"/>
    <w:basedOn w:val="TableNormal"/>
    <w:uiPriority w:val="40"/>
    <w:rsid w:val="00E114E5"/>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styleId="PlainTable3">
    <w:name w:val="Plain Table 3"/>
    <w:basedOn w:val="TableNormal"/>
    <w:uiPriority w:val="43"/>
    <w:rsid w:val="00E114E5"/>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customStyle="1" w:styleId="LECCCEOtable">
    <w:name w:val="LECC CEO table"/>
    <w:basedOn w:val="TableNormal"/>
    <w:uiPriority w:val="99"/>
    <w:rsid w:val="001A04F6"/>
    <w:pPr>
      <w:spacing w:after="120" w:line="264" w:lineRule="auto"/>
    </w:pPr>
    <w:rPr>
      <w:sz w:val="20"/>
    </w:rPr>
    <w:tblPr>
      <w:tblCellMar>
        <w:left w:w="0" w:type="dxa"/>
        <w:right w:w="0" w:type="dxa"/>
      </w:tblCellMar>
    </w:tblPr>
  </w:style>
  <w:style w:type="paragraph" w:styleId="TOC1">
    <w:name w:val="toc 1"/>
    <w:basedOn w:val="Normal"/>
    <w:next w:val="Normal"/>
    <w:autoRedefine/>
    <w:uiPriority w:val="39"/>
    <w:rsid w:val="0088007D"/>
    <w:pPr>
      <w:tabs>
        <w:tab w:val="left" w:pos="312"/>
        <w:tab w:val="right" w:leader="dot" w:pos="10466"/>
      </w:tabs>
      <w:spacing w:before="160" w:after="100"/>
      <w:ind w:left="312" w:hanging="312"/>
    </w:pPr>
    <w:rPr>
      <w:caps/>
      <w:noProof/>
      <w:color w:val="0067A0" w:themeColor="accent1"/>
    </w:rPr>
  </w:style>
  <w:style w:type="paragraph" w:styleId="TOC2">
    <w:name w:val="toc 2"/>
    <w:basedOn w:val="Normal"/>
    <w:next w:val="Normal"/>
    <w:autoRedefine/>
    <w:uiPriority w:val="39"/>
    <w:rsid w:val="00C71179"/>
    <w:pPr>
      <w:tabs>
        <w:tab w:val="left" w:pos="1843"/>
        <w:tab w:val="right" w:leader="dot" w:pos="10467"/>
      </w:tabs>
      <w:spacing w:after="100"/>
      <w:ind w:left="879" w:hanging="567"/>
    </w:pPr>
    <w:rPr>
      <w:noProof/>
    </w:rPr>
  </w:style>
  <w:style w:type="paragraph" w:customStyle="1" w:styleId="NonNumberHeading1">
    <w:name w:val="Non Number Heading 1"/>
    <w:basedOn w:val="Normal"/>
    <w:next w:val="Normal"/>
    <w:uiPriority w:val="5"/>
    <w:semiHidden/>
    <w:qFormat/>
    <w:rsid w:val="00150EDE"/>
    <w:pPr>
      <w:pageBreakBefore/>
      <w:spacing w:after="360" w:line="240" w:lineRule="auto"/>
      <w:outlineLvl w:val="0"/>
    </w:pPr>
    <w:rPr>
      <w:caps/>
      <w:color w:val="0067A0" w:themeColor="accent1"/>
      <w:sz w:val="48"/>
      <w:szCs w:val="66"/>
    </w:rPr>
  </w:style>
  <w:style w:type="paragraph" w:customStyle="1" w:styleId="CEOLetterHeading">
    <w:name w:val="CEO Letter Heading"/>
    <w:basedOn w:val="Normal"/>
    <w:next w:val="Normal"/>
    <w:uiPriority w:val="5"/>
    <w:qFormat/>
    <w:rsid w:val="00BA62FD"/>
    <w:pPr>
      <w:framePr w:hSpace="180" w:wrap="around" w:vAnchor="text" w:hAnchor="margin" w:y="-227"/>
      <w:spacing w:after="0" w:line="440" w:lineRule="exact"/>
      <w:outlineLvl w:val="0"/>
    </w:pPr>
    <w:rPr>
      <w:caps/>
      <w:color w:val="0067A0" w:themeColor="accent1"/>
      <w:sz w:val="40"/>
      <w:szCs w:val="66"/>
    </w:rPr>
  </w:style>
  <w:style w:type="character" w:styleId="Hyperlink">
    <w:name w:val="Hyperlink"/>
    <w:basedOn w:val="DefaultParagraphFont"/>
    <w:uiPriority w:val="99"/>
    <w:rsid w:val="00146FD7"/>
    <w:rPr>
      <w:color w:val="722257" w:themeColor="hyperlink"/>
      <w:u w:val="single"/>
    </w:rPr>
  </w:style>
  <w:style w:type="character" w:customStyle="1" w:styleId="UnresolvedMention1">
    <w:name w:val="Unresolved Mention1"/>
    <w:basedOn w:val="DefaultParagraphFont"/>
    <w:uiPriority w:val="99"/>
    <w:semiHidden/>
    <w:unhideWhenUsed/>
    <w:rsid w:val="00146FD7"/>
    <w:rPr>
      <w:color w:val="808080"/>
      <w:shd w:val="clear" w:color="auto" w:fill="E6E6E6"/>
    </w:rPr>
  </w:style>
  <w:style w:type="table" w:styleId="ListTable4-Accent1">
    <w:name w:val="List Table 4 Accent 1"/>
    <w:basedOn w:val="TableNormal"/>
    <w:uiPriority w:val="49"/>
    <w:rsid w:val="00787F16"/>
    <w:pPr>
      <w:spacing w:after="0" w:line="240" w:lineRule="auto"/>
    </w:pPr>
    <w:tblPr>
      <w:tblStyleRowBandSize w:val="1"/>
      <w:tblStyleColBandSize w:val="1"/>
      <w:tblBorders>
        <w:top w:val="single" w:sz="4" w:space="0" w:color="2DB4FF" w:themeColor="accent1" w:themeTint="99"/>
        <w:left w:val="single" w:sz="4" w:space="0" w:color="2DB4FF" w:themeColor="accent1" w:themeTint="99"/>
        <w:bottom w:val="single" w:sz="4" w:space="0" w:color="2DB4FF" w:themeColor="accent1" w:themeTint="99"/>
        <w:right w:val="single" w:sz="4" w:space="0" w:color="2DB4FF" w:themeColor="accent1" w:themeTint="99"/>
        <w:insideH w:val="single" w:sz="4" w:space="0" w:color="2DB4FF" w:themeColor="accent1" w:themeTint="99"/>
      </w:tblBorders>
    </w:tblPr>
    <w:tblStylePr w:type="firstRow">
      <w:rPr>
        <w:b/>
        <w:bCs/>
        <w:color w:val="FFFFFF" w:themeColor="background1"/>
      </w:rPr>
      <w:tblPr/>
      <w:tcPr>
        <w:tcBorders>
          <w:top w:val="single" w:sz="4" w:space="0" w:color="0067A0" w:themeColor="accent1"/>
          <w:left w:val="single" w:sz="4" w:space="0" w:color="0067A0" w:themeColor="accent1"/>
          <w:bottom w:val="single" w:sz="4" w:space="0" w:color="0067A0" w:themeColor="accent1"/>
          <w:right w:val="single" w:sz="4" w:space="0" w:color="0067A0" w:themeColor="accent1"/>
          <w:insideH w:val="nil"/>
        </w:tcBorders>
        <w:shd w:val="clear" w:color="auto" w:fill="0067A0" w:themeFill="accent1"/>
      </w:tcPr>
    </w:tblStylePr>
    <w:tblStylePr w:type="lastRow">
      <w:rPr>
        <w:b/>
        <w:bCs/>
      </w:rPr>
      <w:tblPr/>
      <w:tcPr>
        <w:tcBorders>
          <w:top w:val="double" w:sz="4" w:space="0" w:color="2DB4FF" w:themeColor="accent1" w:themeTint="99"/>
        </w:tcBorders>
      </w:tcPr>
    </w:tblStylePr>
    <w:tblStylePr w:type="firstCol">
      <w:rPr>
        <w:b/>
        <w:bCs/>
      </w:rPr>
    </w:tblStylePr>
    <w:tblStylePr w:type="lastCol">
      <w:rPr>
        <w:b/>
        <w:bCs/>
      </w:rPr>
    </w:tblStylePr>
    <w:tblStylePr w:type="band1Vert">
      <w:tblPr/>
      <w:tcPr>
        <w:shd w:val="clear" w:color="auto" w:fill="B9E6FF" w:themeFill="accent1" w:themeFillTint="33"/>
      </w:tcPr>
    </w:tblStylePr>
    <w:tblStylePr w:type="band1Horz">
      <w:tblPr/>
      <w:tcPr>
        <w:shd w:val="clear" w:color="auto" w:fill="B9E6FF" w:themeFill="accent1" w:themeFillTint="33"/>
      </w:tcPr>
    </w:tblStylePr>
  </w:style>
  <w:style w:type="paragraph" w:customStyle="1" w:styleId="Quotesmall1cm">
    <w:name w:val="Quote small 1cm"/>
    <w:basedOn w:val="Normal"/>
    <w:next w:val="Heading1"/>
    <w:uiPriority w:val="11"/>
    <w:qFormat/>
    <w:rsid w:val="003A0C5F"/>
    <w:pPr>
      <w:spacing w:after="160"/>
      <w:ind w:left="567" w:right="-2"/>
    </w:pPr>
    <w:rPr>
      <w:rFonts w:ascii="Gotham Book" w:hAnsi="Gotham Book"/>
      <w:sz w:val="20"/>
      <w:szCs w:val="20"/>
    </w:rPr>
  </w:style>
  <w:style w:type="paragraph" w:styleId="Caption">
    <w:name w:val="caption"/>
    <w:basedOn w:val="Normal"/>
    <w:next w:val="Normal"/>
    <w:uiPriority w:val="17"/>
    <w:qFormat/>
    <w:rsid w:val="009B2DC7"/>
    <w:rPr>
      <w:sz w:val="18"/>
      <w:szCs w:val="18"/>
    </w:rPr>
  </w:style>
  <w:style w:type="table" w:styleId="ListTable3-Accent6">
    <w:name w:val="List Table 3 Accent 6"/>
    <w:basedOn w:val="TableNormal"/>
    <w:uiPriority w:val="48"/>
    <w:rsid w:val="00787F16"/>
    <w:pPr>
      <w:spacing w:after="0" w:line="240" w:lineRule="auto"/>
    </w:pPr>
    <w:tblPr>
      <w:tblStyleRowBandSize w:val="1"/>
      <w:tblStyleColBandSize w:val="1"/>
      <w:tblBorders>
        <w:top w:val="single" w:sz="4" w:space="0" w:color="A57FB2" w:themeColor="accent6"/>
        <w:left w:val="single" w:sz="4" w:space="0" w:color="A57FB2" w:themeColor="accent6"/>
        <w:bottom w:val="single" w:sz="4" w:space="0" w:color="A57FB2" w:themeColor="accent6"/>
        <w:right w:val="single" w:sz="4" w:space="0" w:color="A57FB2" w:themeColor="accent6"/>
      </w:tblBorders>
    </w:tblPr>
    <w:tblStylePr w:type="firstRow">
      <w:rPr>
        <w:b/>
        <w:bCs/>
        <w:color w:val="FFFFFF" w:themeColor="background1"/>
      </w:rPr>
      <w:tblPr/>
      <w:tcPr>
        <w:shd w:val="clear" w:color="auto" w:fill="A57FB2" w:themeFill="accent6"/>
      </w:tcPr>
    </w:tblStylePr>
    <w:tblStylePr w:type="lastRow">
      <w:rPr>
        <w:b/>
        <w:bCs/>
      </w:rPr>
      <w:tblPr/>
      <w:tcPr>
        <w:tcBorders>
          <w:top w:val="double" w:sz="4" w:space="0" w:color="A57FB2"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A57FB2" w:themeColor="accent6"/>
          <w:right w:val="single" w:sz="4" w:space="0" w:color="A57FB2" w:themeColor="accent6"/>
        </w:tcBorders>
      </w:tcPr>
    </w:tblStylePr>
    <w:tblStylePr w:type="band1Horz">
      <w:tblPr/>
      <w:tcPr>
        <w:tcBorders>
          <w:top w:val="single" w:sz="4" w:space="0" w:color="A57FB2" w:themeColor="accent6"/>
          <w:bottom w:val="single" w:sz="4" w:space="0" w:color="A57FB2"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A57FB2" w:themeColor="accent6"/>
          <w:left w:val="nil"/>
        </w:tcBorders>
      </w:tcPr>
    </w:tblStylePr>
    <w:tblStylePr w:type="swCell">
      <w:tblPr/>
      <w:tcPr>
        <w:tcBorders>
          <w:top w:val="double" w:sz="4" w:space="0" w:color="A57FB2" w:themeColor="accent6"/>
          <w:right w:val="nil"/>
        </w:tcBorders>
      </w:tcPr>
    </w:tblStylePr>
  </w:style>
  <w:style w:type="table" w:styleId="ListTable4">
    <w:name w:val="List Table 4"/>
    <w:basedOn w:val="TableNormal"/>
    <w:uiPriority w:val="49"/>
    <w:rsid w:val="00787F16"/>
    <w:pPr>
      <w:spacing w:after="0" w:line="240" w:lineRule="auto"/>
    </w:p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paragraph" w:customStyle="1" w:styleId="NoParagraphStyle">
    <w:name w:val="[No Paragraph Style]"/>
    <w:uiPriority w:val="19"/>
    <w:semiHidden/>
    <w:rsid w:val="00787F16"/>
    <w:pPr>
      <w:autoSpaceDE w:val="0"/>
      <w:autoSpaceDN w:val="0"/>
      <w:adjustRightInd w:val="0"/>
      <w:spacing w:after="0" w:line="288" w:lineRule="auto"/>
      <w:textAlignment w:val="center"/>
    </w:pPr>
    <w:rPr>
      <w:rFonts w:ascii="Gotham Medium" w:hAnsi="Gotham Medium"/>
      <w:color w:val="000000"/>
      <w:sz w:val="24"/>
      <w:szCs w:val="24"/>
      <w:lang w:val="en-US"/>
    </w:rPr>
  </w:style>
  <w:style w:type="table" w:customStyle="1" w:styleId="LECCMainTableBlue">
    <w:name w:val="LECC Main Table – Blue"/>
    <w:basedOn w:val="TableNormal"/>
    <w:uiPriority w:val="99"/>
    <w:rsid w:val="00CB07D0"/>
    <w:pPr>
      <w:spacing w:after="0" w:line="240" w:lineRule="auto"/>
    </w:pPr>
    <w:rPr>
      <w:sz w:val="20"/>
    </w:rPr>
    <w:tblPr>
      <w:tblStyleRowBandSize w:val="1"/>
      <w:tblStyleColBandSize w:val="1"/>
      <w:tblBorders>
        <w:bottom w:val="single" w:sz="6" w:space="0" w:color="0067A0" w:themeColor="accent1"/>
      </w:tblBorders>
      <w:tblCellMar>
        <w:top w:w="85" w:type="dxa"/>
        <w:bottom w:w="85" w:type="dxa"/>
      </w:tblCellMar>
    </w:tblPr>
    <w:tblStylePr w:type="firstRow">
      <w:pPr>
        <w:wordWrap/>
        <w:spacing w:line="240" w:lineRule="auto"/>
      </w:pPr>
      <w:rPr>
        <w:caps/>
        <w:smallCaps w:val="0"/>
        <w:color w:val="FFFFFF" w:themeColor="background1"/>
        <w:sz w:val="20"/>
      </w:rPr>
      <w:tblPr/>
      <w:tcPr>
        <w:tcBorders>
          <w:top w:val="nil"/>
          <w:left w:val="nil"/>
          <w:bottom w:val="nil"/>
          <w:right w:val="nil"/>
          <w:insideH w:val="nil"/>
          <w:insideV w:val="nil"/>
          <w:tl2br w:val="nil"/>
          <w:tr2bl w:val="nil"/>
        </w:tcBorders>
        <w:shd w:val="clear" w:color="auto" w:fill="0067A0" w:themeFill="accent1"/>
      </w:tcPr>
    </w:tblStylePr>
    <w:tblStylePr w:type="lastRow">
      <w:rPr>
        <w:rFonts w:asciiTheme="minorHAnsi" w:hAnsiTheme="minorHAnsi"/>
        <w:b/>
        <w:i w:val="0"/>
        <w:caps/>
        <w:smallCaps w:val="0"/>
        <w:color w:val="0067A0" w:themeColor="accent1"/>
      </w:rPr>
    </w:tblStylePr>
    <w:tblStylePr w:type="band1Vert">
      <w:tblPr/>
      <w:tcPr>
        <w:shd w:val="clear" w:color="auto" w:fill="E6F0F6"/>
      </w:tcPr>
    </w:tblStylePr>
    <w:tblStylePr w:type="band1Horz">
      <w:tblPr/>
      <w:tcPr>
        <w:shd w:val="clear" w:color="auto" w:fill="E6F0F6"/>
      </w:tcPr>
    </w:tblStylePr>
  </w:style>
  <w:style w:type="paragraph" w:customStyle="1" w:styleId="COVER1Title">
    <w:name w:val="COVER 1 Title"/>
    <w:basedOn w:val="Normal"/>
    <w:next w:val="COVER1Subtitle"/>
    <w:qFormat/>
    <w:rsid w:val="00282424"/>
    <w:pPr>
      <w:pBdr>
        <w:top w:val="single" w:sz="12" w:space="16" w:color="FFFFFF" w:themeColor="background1"/>
      </w:pBdr>
      <w:spacing w:after="120" w:line="240" w:lineRule="auto"/>
      <w:ind w:left="624" w:right="669"/>
    </w:pPr>
    <w:rPr>
      <w:b/>
      <w:caps/>
      <w:color w:val="FFFFFF" w:themeColor="background2"/>
      <w:sz w:val="96"/>
      <w:szCs w:val="96"/>
    </w:rPr>
  </w:style>
  <w:style w:type="character" w:styleId="Strong">
    <w:name w:val="Strong"/>
    <w:basedOn w:val="DefaultParagraphFont"/>
    <w:uiPriority w:val="17"/>
    <w:semiHidden/>
    <w:qFormat/>
    <w:rsid w:val="00D13F0C"/>
    <w:rPr>
      <w:b/>
      <w:bCs/>
    </w:rPr>
  </w:style>
  <w:style w:type="character" w:customStyle="1" w:styleId="Bold">
    <w:name w:val="Bold"/>
    <w:basedOn w:val="Strong"/>
    <w:uiPriority w:val="7"/>
    <w:qFormat/>
    <w:rsid w:val="009B2DC7"/>
    <w:rPr>
      <w:rFonts w:asciiTheme="minorHAnsi" w:hAnsiTheme="minorHAnsi"/>
      <w:b/>
      <w:bCs/>
    </w:rPr>
  </w:style>
  <w:style w:type="paragraph" w:customStyle="1" w:styleId="PersonsNames">
    <w:name w:val="Persons Names"/>
    <w:basedOn w:val="Normal"/>
    <w:next w:val="Normal"/>
    <w:uiPriority w:val="18"/>
    <w:qFormat/>
    <w:rsid w:val="009B2DC7"/>
    <w:pPr>
      <w:spacing w:after="0" w:line="264" w:lineRule="auto"/>
    </w:pPr>
    <w:rPr>
      <w:b/>
      <w:noProof/>
      <w:color w:val="0067A0" w:themeColor="accent1"/>
    </w:rPr>
  </w:style>
  <w:style w:type="paragraph" w:customStyle="1" w:styleId="Contactdetails">
    <w:name w:val="Contact details"/>
    <w:basedOn w:val="Normal"/>
    <w:next w:val="Normal"/>
    <w:uiPriority w:val="18"/>
    <w:qFormat/>
    <w:rsid w:val="00AE58C8"/>
    <w:pPr>
      <w:spacing w:after="120" w:line="220" w:lineRule="atLeast"/>
    </w:pPr>
    <w:rPr>
      <w:sz w:val="18"/>
    </w:rPr>
  </w:style>
  <w:style w:type="paragraph" w:customStyle="1" w:styleId="BODY">
    <w:name w:val="BODY"/>
    <w:basedOn w:val="NoParagraphStyle"/>
    <w:uiPriority w:val="99"/>
    <w:semiHidden/>
    <w:rsid w:val="00970D98"/>
    <w:pPr>
      <w:suppressAutoHyphens/>
      <w:spacing w:after="170" w:line="240" w:lineRule="atLeast"/>
    </w:pPr>
    <w:rPr>
      <w:rFonts w:ascii="Gotham Book" w:hAnsi="Gotham Book" w:cs="Gotham Book"/>
      <w:sz w:val="20"/>
      <w:szCs w:val="20"/>
    </w:rPr>
  </w:style>
  <w:style w:type="paragraph" w:customStyle="1" w:styleId="Tableheadings">
    <w:name w:val="Table headings"/>
    <w:basedOn w:val="Normal"/>
    <w:next w:val="Normal"/>
    <w:uiPriority w:val="17"/>
    <w:qFormat/>
    <w:rsid w:val="009B2DC7"/>
    <w:pPr>
      <w:spacing w:after="0" w:line="240" w:lineRule="auto"/>
    </w:pPr>
    <w:rPr>
      <w:b/>
      <w:color w:val="FFFFFF" w:themeColor="background1"/>
    </w:rPr>
  </w:style>
  <w:style w:type="paragraph" w:styleId="FootnoteText">
    <w:name w:val="footnote text"/>
    <w:basedOn w:val="Normal"/>
    <w:link w:val="FootnoteTextChar"/>
    <w:uiPriority w:val="99"/>
    <w:unhideWhenUsed/>
    <w:rsid w:val="00CA0141"/>
    <w:pPr>
      <w:spacing w:after="40" w:line="240" w:lineRule="auto"/>
    </w:pPr>
    <w:rPr>
      <w:sz w:val="20"/>
      <w:szCs w:val="20"/>
    </w:rPr>
  </w:style>
  <w:style w:type="character" w:customStyle="1" w:styleId="FootnoteTextChar">
    <w:name w:val="Footnote Text Char"/>
    <w:basedOn w:val="DefaultParagraphFont"/>
    <w:link w:val="FootnoteText"/>
    <w:uiPriority w:val="99"/>
    <w:rsid w:val="00CA0141"/>
    <w:rPr>
      <w:sz w:val="20"/>
      <w:szCs w:val="20"/>
    </w:rPr>
  </w:style>
  <w:style w:type="paragraph" w:customStyle="1" w:styleId="TableText">
    <w:name w:val="Table Text"/>
    <w:basedOn w:val="Normal"/>
    <w:uiPriority w:val="17"/>
    <w:qFormat/>
    <w:rsid w:val="004A6EA3"/>
    <w:pPr>
      <w:spacing w:after="0" w:line="240" w:lineRule="auto"/>
    </w:pPr>
  </w:style>
  <w:style w:type="table" w:customStyle="1" w:styleId="LECCMainTablePurple">
    <w:name w:val="LECC Main Table – Purple"/>
    <w:basedOn w:val="LECCMainTableBlue"/>
    <w:uiPriority w:val="99"/>
    <w:rsid w:val="00CB07D0"/>
    <w:tblPr>
      <w:tblBorders>
        <w:bottom w:val="single" w:sz="6" w:space="0" w:color="722257" w:themeColor="accent3"/>
      </w:tblBorders>
    </w:tblPr>
    <w:tblStylePr w:type="firstRow">
      <w:pPr>
        <w:wordWrap/>
        <w:spacing w:line="240" w:lineRule="auto"/>
      </w:pPr>
      <w:rPr>
        <w:caps/>
        <w:smallCaps w:val="0"/>
        <w:color w:val="FFFFFF" w:themeColor="background1"/>
        <w:sz w:val="20"/>
      </w:rPr>
      <w:tblPr/>
      <w:tcPr>
        <w:tcBorders>
          <w:top w:val="nil"/>
          <w:left w:val="nil"/>
          <w:bottom w:val="single" w:sz="4" w:space="0" w:color="FFFFFF" w:themeColor="background2"/>
          <w:right w:val="nil"/>
          <w:insideH w:val="nil"/>
          <w:insideV w:val="nil"/>
          <w:tl2br w:val="nil"/>
          <w:tr2bl w:val="nil"/>
        </w:tcBorders>
        <w:shd w:val="clear" w:color="auto" w:fill="722257" w:themeFill="accent3"/>
      </w:tcPr>
    </w:tblStylePr>
    <w:tblStylePr w:type="lastRow">
      <w:rPr>
        <w:rFonts w:asciiTheme="minorHAnsi" w:hAnsiTheme="minorHAnsi"/>
        <w:b/>
        <w:i w:val="0"/>
        <w:caps/>
        <w:smallCaps w:val="0"/>
        <w:color w:val="722257" w:themeColor="accent3"/>
      </w:rPr>
    </w:tblStylePr>
    <w:tblStylePr w:type="band1Vert">
      <w:tblPr/>
      <w:tcPr>
        <w:shd w:val="clear" w:color="auto" w:fill="F1E9EE"/>
      </w:tcPr>
    </w:tblStylePr>
    <w:tblStylePr w:type="band1Horz">
      <w:tblPr/>
      <w:tcPr>
        <w:shd w:val="clear" w:color="auto" w:fill="F1E9EE"/>
      </w:tcPr>
    </w:tblStylePr>
  </w:style>
  <w:style w:type="table" w:customStyle="1" w:styleId="LECCMainTableGreen">
    <w:name w:val="LECC Main Table – Green"/>
    <w:basedOn w:val="LECCMainTableBlue"/>
    <w:uiPriority w:val="99"/>
    <w:rsid w:val="00CB07D0"/>
    <w:tblPr>
      <w:tblBorders>
        <w:bottom w:val="single" w:sz="6" w:space="0" w:color="008C95" w:themeColor="accent5"/>
      </w:tblBorders>
    </w:tblPr>
    <w:tblStylePr w:type="firstRow">
      <w:pPr>
        <w:wordWrap/>
        <w:spacing w:line="240" w:lineRule="auto"/>
      </w:pPr>
      <w:rPr>
        <w:caps/>
        <w:smallCaps w:val="0"/>
        <w:color w:val="FFFFFF" w:themeColor="background1"/>
        <w:sz w:val="20"/>
      </w:rPr>
      <w:tblPr/>
      <w:tcPr>
        <w:tcBorders>
          <w:top w:val="nil"/>
          <w:left w:val="nil"/>
          <w:bottom w:val="single" w:sz="4" w:space="0" w:color="FFFFFF" w:themeColor="background2"/>
          <w:right w:val="nil"/>
          <w:insideH w:val="nil"/>
          <w:insideV w:val="nil"/>
          <w:tl2br w:val="nil"/>
          <w:tr2bl w:val="nil"/>
        </w:tcBorders>
        <w:shd w:val="clear" w:color="auto" w:fill="008C95" w:themeFill="accent5"/>
      </w:tcPr>
    </w:tblStylePr>
    <w:tblStylePr w:type="lastRow">
      <w:rPr>
        <w:rFonts w:asciiTheme="minorHAnsi" w:hAnsiTheme="minorHAnsi"/>
        <w:b/>
        <w:i w:val="0"/>
        <w:caps/>
        <w:smallCaps w:val="0"/>
        <w:color w:val="008C95" w:themeColor="accent5"/>
      </w:rPr>
    </w:tblStylePr>
    <w:tblStylePr w:type="band1Vert">
      <w:tblPr/>
      <w:tcPr>
        <w:shd w:val="clear" w:color="auto" w:fill="E6F0F6"/>
      </w:tcPr>
    </w:tblStylePr>
    <w:tblStylePr w:type="band2Vert">
      <w:tblPr/>
      <w:tcPr>
        <w:shd w:val="clear" w:color="auto" w:fill="E6F4F4"/>
      </w:tcPr>
    </w:tblStylePr>
    <w:tblStylePr w:type="band1Horz">
      <w:tblPr/>
      <w:tcPr>
        <w:shd w:val="clear" w:color="auto" w:fill="E6F4F4"/>
      </w:tcPr>
    </w:tblStylePr>
  </w:style>
  <w:style w:type="paragraph" w:styleId="Revision">
    <w:name w:val="Revision"/>
    <w:hidden/>
    <w:uiPriority w:val="99"/>
    <w:semiHidden/>
    <w:rsid w:val="000B29A5"/>
    <w:pPr>
      <w:spacing w:after="0" w:line="240" w:lineRule="auto"/>
    </w:pPr>
    <w:rPr>
      <w:sz w:val="20"/>
    </w:rPr>
  </w:style>
  <w:style w:type="paragraph" w:styleId="Quote">
    <w:name w:val="Quote"/>
    <w:basedOn w:val="Normal"/>
    <w:next w:val="Normal"/>
    <w:link w:val="QuoteChar"/>
    <w:uiPriority w:val="18"/>
    <w:semiHidden/>
    <w:qFormat/>
    <w:rsid w:val="00DB592C"/>
    <w:pPr>
      <w:spacing w:before="240"/>
      <w:ind w:left="363" w:right="363"/>
    </w:pPr>
  </w:style>
  <w:style w:type="character" w:customStyle="1" w:styleId="QuoteChar">
    <w:name w:val="Quote Char"/>
    <w:basedOn w:val="DefaultParagraphFont"/>
    <w:link w:val="Quote"/>
    <w:uiPriority w:val="18"/>
    <w:semiHidden/>
    <w:rsid w:val="00DB592C"/>
    <w:rPr>
      <w:sz w:val="20"/>
    </w:rPr>
  </w:style>
  <w:style w:type="paragraph" w:customStyle="1" w:styleId="COVER1Date">
    <w:name w:val="COVER 1 Date"/>
    <w:basedOn w:val="COVER1Title"/>
    <w:next w:val="Normal"/>
    <w:qFormat/>
    <w:rsid w:val="00282424"/>
    <w:rPr>
      <w:sz w:val="72"/>
      <w:szCs w:val="72"/>
    </w:rPr>
  </w:style>
  <w:style w:type="paragraph" w:customStyle="1" w:styleId="COVER1Subtitle">
    <w:name w:val="COVER 1 Subtitle"/>
    <w:basedOn w:val="COVER1Title"/>
    <w:next w:val="COVER1Date"/>
    <w:qFormat/>
    <w:rsid w:val="00282424"/>
    <w:rPr>
      <w:sz w:val="72"/>
      <w:szCs w:val="72"/>
    </w:rPr>
  </w:style>
  <w:style w:type="paragraph" w:customStyle="1" w:styleId="Footnote">
    <w:name w:val="Footnote"/>
    <w:basedOn w:val="Normal"/>
    <w:next w:val="Normal"/>
    <w:uiPriority w:val="17"/>
    <w:qFormat/>
    <w:rsid w:val="00A55C9C"/>
    <w:pPr>
      <w:spacing w:before="60" w:after="60" w:line="240" w:lineRule="auto"/>
    </w:pPr>
    <w:rPr>
      <w:sz w:val="20"/>
    </w:rPr>
  </w:style>
  <w:style w:type="paragraph" w:customStyle="1" w:styleId="RecommendationHeadings">
    <w:name w:val="Recommendation Headings"/>
    <w:basedOn w:val="Normal"/>
    <w:next w:val="Normal"/>
    <w:uiPriority w:val="16"/>
    <w:qFormat/>
    <w:rsid w:val="00E13BE0"/>
    <w:pPr>
      <w:numPr>
        <w:numId w:val="6"/>
      </w:numPr>
      <w:tabs>
        <w:tab w:val="left" w:pos="2835"/>
      </w:tabs>
    </w:pPr>
  </w:style>
  <w:style w:type="paragraph" w:styleId="Index1">
    <w:name w:val="index 1"/>
    <w:basedOn w:val="Normal"/>
    <w:next w:val="Normal"/>
    <w:autoRedefine/>
    <w:uiPriority w:val="99"/>
    <w:semiHidden/>
    <w:rsid w:val="00E01F1F"/>
    <w:pPr>
      <w:spacing w:after="0"/>
      <w:ind w:left="200" w:hanging="200"/>
    </w:pPr>
    <w:rPr>
      <w:rFonts w:cs="Times New Roman"/>
      <w:szCs w:val="24"/>
    </w:rPr>
  </w:style>
  <w:style w:type="paragraph" w:styleId="Index2">
    <w:name w:val="index 2"/>
    <w:basedOn w:val="Normal"/>
    <w:next w:val="Normal"/>
    <w:autoRedefine/>
    <w:uiPriority w:val="99"/>
    <w:semiHidden/>
    <w:rsid w:val="00E01F1F"/>
    <w:pPr>
      <w:spacing w:after="0"/>
      <w:ind w:left="400" w:hanging="200"/>
    </w:pPr>
    <w:rPr>
      <w:rFonts w:cs="Times New Roman"/>
      <w:szCs w:val="24"/>
    </w:rPr>
  </w:style>
  <w:style w:type="paragraph" w:styleId="Index3">
    <w:name w:val="index 3"/>
    <w:basedOn w:val="Normal"/>
    <w:next w:val="Normal"/>
    <w:autoRedefine/>
    <w:uiPriority w:val="99"/>
    <w:semiHidden/>
    <w:rsid w:val="00E01F1F"/>
    <w:pPr>
      <w:spacing w:after="0"/>
      <w:ind w:left="600" w:hanging="200"/>
    </w:pPr>
    <w:rPr>
      <w:rFonts w:cs="Times New Roman"/>
      <w:szCs w:val="24"/>
    </w:rPr>
  </w:style>
  <w:style w:type="paragraph" w:styleId="Index4">
    <w:name w:val="index 4"/>
    <w:basedOn w:val="Normal"/>
    <w:next w:val="Normal"/>
    <w:autoRedefine/>
    <w:uiPriority w:val="99"/>
    <w:semiHidden/>
    <w:rsid w:val="00E01F1F"/>
    <w:pPr>
      <w:spacing w:after="0"/>
      <w:ind w:left="800" w:hanging="200"/>
    </w:pPr>
    <w:rPr>
      <w:rFonts w:cs="Times New Roman"/>
      <w:szCs w:val="24"/>
    </w:rPr>
  </w:style>
  <w:style w:type="paragraph" w:styleId="Index5">
    <w:name w:val="index 5"/>
    <w:basedOn w:val="Normal"/>
    <w:next w:val="Normal"/>
    <w:autoRedefine/>
    <w:uiPriority w:val="99"/>
    <w:semiHidden/>
    <w:rsid w:val="00E01F1F"/>
    <w:pPr>
      <w:spacing w:after="0"/>
      <w:ind w:left="1000" w:hanging="200"/>
    </w:pPr>
    <w:rPr>
      <w:rFonts w:cs="Times New Roman"/>
      <w:szCs w:val="24"/>
    </w:rPr>
  </w:style>
  <w:style w:type="paragraph" w:styleId="Index6">
    <w:name w:val="index 6"/>
    <w:basedOn w:val="Normal"/>
    <w:next w:val="Normal"/>
    <w:autoRedefine/>
    <w:uiPriority w:val="99"/>
    <w:semiHidden/>
    <w:rsid w:val="00E01F1F"/>
    <w:pPr>
      <w:spacing w:after="0"/>
      <w:ind w:left="1200" w:hanging="200"/>
    </w:pPr>
    <w:rPr>
      <w:rFonts w:cs="Times New Roman"/>
      <w:szCs w:val="24"/>
    </w:rPr>
  </w:style>
  <w:style w:type="paragraph" w:styleId="Index7">
    <w:name w:val="index 7"/>
    <w:basedOn w:val="Normal"/>
    <w:next w:val="Normal"/>
    <w:autoRedefine/>
    <w:uiPriority w:val="99"/>
    <w:semiHidden/>
    <w:rsid w:val="00E01F1F"/>
    <w:pPr>
      <w:spacing w:after="0"/>
      <w:ind w:left="1400" w:hanging="200"/>
    </w:pPr>
    <w:rPr>
      <w:rFonts w:cs="Times New Roman"/>
      <w:szCs w:val="24"/>
    </w:rPr>
  </w:style>
  <w:style w:type="paragraph" w:styleId="Index8">
    <w:name w:val="index 8"/>
    <w:basedOn w:val="Normal"/>
    <w:next w:val="Normal"/>
    <w:autoRedefine/>
    <w:uiPriority w:val="99"/>
    <w:semiHidden/>
    <w:rsid w:val="00E01F1F"/>
    <w:pPr>
      <w:spacing w:after="0"/>
      <w:ind w:left="1600" w:hanging="200"/>
    </w:pPr>
    <w:rPr>
      <w:rFonts w:cs="Times New Roman"/>
      <w:szCs w:val="24"/>
    </w:rPr>
  </w:style>
  <w:style w:type="paragraph" w:styleId="Index9">
    <w:name w:val="index 9"/>
    <w:basedOn w:val="Normal"/>
    <w:next w:val="Normal"/>
    <w:autoRedefine/>
    <w:uiPriority w:val="99"/>
    <w:semiHidden/>
    <w:rsid w:val="00E01F1F"/>
    <w:pPr>
      <w:spacing w:after="0"/>
      <w:ind w:left="1800" w:hanging="200"/>
    </w:pPr>
    <w:rPr>
      <w:rFonts w:cs="Times New Roman"/>
      <w:szCs w:val="24"/>
    </w:rPr>
  </w:style>
  <w:style w:type="paragraph" w:styleId="IndexHeading">
    <w:name w:val="index heading"/>
    <w:basedOn w:val="Normal"/>
    <w:next w:val="Index1"/>
    <w:uiPriority w:val="99"/>
    <w:semiHidden/>
    <w:rsid w:val="00E01F1F"/>
    <w:pPr>
      <w:spacing w:after="0"/>
    </w:pPr>
    <w:rPr>
      <w:rFonts w:cs="Times New Roman"/>
      <w:szCs w:val="24"/>
    </w:rPr>
  </w:style>
  <w:style w:type="table" w:customStyle="1" w:styleId="Style1">
    <w:name w:val="Style1"/>
    <w:basedOn w:val="TableNormal"/>
    <w:uiPriority w:val="99"/>
    <w:rsid w:val="00DB61D1"/>
    <w:pPr>
      <w:spacing w:after="120" w:line="240" w:lineRule="auto"/>
    </w:pPr>
    <w:tblPr>
      <w:tblBorders>
        <w:top w:val="single" w:sz="6" w:space="0" w:color="0067A0" w:themeColor="accent1"/>
        <w:left w:val="single" w:sz="6" w:space="0" w:color="0067A0" w:themeColor="accent1"/>
        <w:bottom w:val="single" w:sz="6" w:space="0" w:color="0067A0" w:themeColor="accent1"/>
        <w:right w:val="single" w:sz="6" w:space="0" w:color="0067A0" w:themeColor="accent1"/>
      </w:tblBorders>
      <w:tblCellMar>
        <w:top w:w="113" w:type="dxa"/>
      </w:tblCellMar>
    </w:tblPr>
    <w:tcPr>
      <w:shd w:val="clear" w:color="auto" w:fill="E6F0F6"/>
    </w:tcPr>
  </w:style>
  <w:style w:type="paragraph" w:customStyle="1" w:styleId="CaseStudyHeading">
    <w:name w:val="Case Study Heading"/>
    <w:basedOn w:val="Normal"/>
    <w:next w:val="CaseStudyText"/>
    <w:uiPriority w:val="15"/>
    <w:qFormat/>
    <w:rsid w:val="00E13BE0"/>
    <w:pPr>
      <w:keepNext/>
      <w:numPr>
        <w:numId w:val="4"/>
      </w:numPr>
      <w:pBdr>
        <w:bottom w:val="single" w:sz="4" w:space="3" w:color="auto"/>
      </w:pBdr>
      <w:tabs>
        <w:tab w:val="left" w:pos="2268"/>
      </w:tabs>
      <w:spacing w:before="360" w:after="120" w:line="240" w:lineRule="auto"/>
      <w:ind w:left="357"/>
      <w:outlineLvl w:val="3"/>
    </w:pPr>
    <w:rPr>
      <w:b/>
    </w:rPr>
  </w:style>
  <w:style w:type="paragraph" w:customStyle="1" w:styleId="CaseStudyText">
    <w:name w:val="Case Study Text"/>
    <w:basedOn w:val="Normal"/>
    <w:uiPriority w:val="15"/>
    <w:qFormat/>
    <w:rsid w:val="005A02BA"/>
    <w:pPr>
      <w:ind w:left="357"/>
    </w:pPr>
  </w:style>
  <w:style w:type="paragraph" w:customStyle="1" w:styleId="FindingsHeading">
    <w:name w:val="Findings Heading"/>
    <w:basedOn w:val="Normal"/>
    <w:next w:val="Normal"/>
    <w:uiPriority w:val="16"/>
    <w:qFormat/>
    <w:rsid w:val="00E13BE0"/>
    <w:pPr>
      <w:numPr>
        <w:numId w:val="3"/>
      </w:numPr>
      <w:tabs>
        <w:tab w:val="left" w:pos="1474"/>
      </w:tabs>
      <w:spacing w:before="240" w:after="120" w:line="240" w:lineRule="auto"/>
      <w:ind w:left="0"/>
      <w:outlineLvl w:val="3"/>
    </w:pPr>
    <w:rPr>
      <w:b/>
    </w:rPr>
  </w:style>
  <w:style w:type="paragraph" w:styleId="TOC4">
    <w:name w:val="toc 4"/>
    <w:aliases w:val="Recommendation"/>
    <w:basedOn w:val="TOC1"/>
    <w:next w:val="Normal"/>
    <w:autoRedefine/>
    <w:uiPriority w:val="39"/>
    <w:rsid w:val="00802DCA"/>
    <w:pPr>
      <w:tabs>
        <w:tab w:val="clear" w:pos="312"/>
        <w:tab w:val="clear" w:pos="10466"/>
        <w:tab w:val="left" w:pos="567"/>
        <w:tab w:val="left" w:pos="2552"/>
        <w:tab w:val="right" w:leader="dot" w:pos="9356"/>
      </w:tabs>
      <w:ind w:left="0" w:firstLine="0"/>
    </w:pPr>
    <w:rPr>
      <w:color w:val="auto"/>
    </w:rPr>
  </w:style>
  <w:style w:type="character" w:customStyle="1" w:styleId="Italic">
    <w:name w:val="Italic"/>
    <w:basedOn w:val="DefaultParagraphFont"/>
    <w:uiPriority w:val="7"/>
    <w:qFormat/>
    <w:rsid w:val="00DA4ACF"/>
    <w:rPr>
      <w:i/>
      <w:color w:val="auto"/>
    </w:rPr>
  </w:style>
  <w:style w:type="paragraph" w:styleId="TOC5">
    <w:name w:val="toc 5"/>
    <w:aliases w:val="Case Study"/>
    <w:basedOn w:val="TOC1"/>
    <w:next w:val="Normal"/>
    <w:autoRedefine/>
    <w:uiPriority w:val="39"/>
    <w:rsid w:val="00902D5A"/>
    <w:pPr>
      <w:tabs>
        <w:tab w:val="clear" w:pos="312"/>
        <w:tab w:val="clear" w:pos="10466"/>
        <w:tab w:val="left" w:pos="1985"/>
        <w:tab w:val="right" w:leader="dot" w:pos="9356"/>
      </w:tabs>
      <w:spacing w:after="120"/>
      <w:ind w:left="1985" w:hanging="1985"/>
    </w:pPr>
    <w:rPr>
      <w:caps w:val="0"/>
      <w:color w:val="auto"/>
    </w:rPr>
  </w:style>
  <w:style w:type="paragraph" w:styleId="TOC6">
    <w:name w:val="toc 6"/>
    <w:aliases w:val="Findings"/>
    <w:basedOn w:val="TOC1"/>
    <w:next w:val="Normal"/>
    <w:autoRedefine/>
    <w:uiPriority w:val="39"/>
    <w:rsid w:val="00B9479E"/>
    <w:pPr>
      <w:tabs>
        <w:tab w:val="clear" w:pos="312"/>
        <w:tab w:val="clear" w:pos="10466"/>
        <w:tab w:val="left" w:pos="284"/>
        <w:tab w:val="left" w:pos="1276"/>
        <w:tab w:val="right" w:leader="dot" w:pos="9356"/>
      </w:tabs>
      <w:ind w:left="0" w:firstLine="0"/>
    </w:pPr>
    <w:rPr>
      <w:color w:val="auto"/>
    </w:rPr>
  </w:style>
  <w:style w:type="paragraph" w:styleId="TOC3">
    <w:name w:val="toc 3"/>
    <w:basedOn w:val="Normal"/>
    <w:next w:val="Normal"/>
    <w:autoRedefine/>
    <w:uiPriority w:val="39"/>
    <w:rsid w:val="00B82381"/>
    <w:pPr>
      <w:tabs>
        <w:tab w:val="left" w:pos="1588"/>
        <w:tab w:val="right" w:leader="dot" w:pos="10467"/>
      </w:tabs>
      <w:spacing w:after="100"/>
      <w:ind w:left="1588" w:hanging="709"/>
    </w:pPr>
  </w:style>
  <w:style w:type="paragraph" w:customStyle="1" w:styleId="NonNumberHeading2">
    <w:name w:val="Non Number Heading 2"/>
    <w:basedOn w:val="NonNumberHeading1"/>
    <w:next w:val="Normal"/>
    <w:uiPriority w:val="5"/>
    <w:qFormat/>
    <w:rsid w:val="00150EDE"/>
    <w:pPr>
      <w:spacing w:before="360"/>
      <w:outlineLvl w:val="1"/>
    </w:pPr>
    <w:rPr>
      <w:sz w:val="32"/>
      <w:szCs w:val="30"/>
    </w:rPr>
  </w:style>
  <w:style w:type="paragraph" w:styleId="TOC7">
    <w:name w:val="toc 7"/>
    <w:basedOn w:val="TOC8"/>
    <w:next w:val="Normal"/>
    <w:autoRedefine/>
    <w:uiPriority w:val="39"/>
    <w:rsid w:val="00C71179"/>
    <w:pPr>
      <w:ind w:left="357" w:hanging="357"/>
    </w:pPr>
  </w:style>
  <w:style w:type="paragraph" w:styleId="ListParagraph">
    <w:name w:val="List Paragraph"/>
    <w:basedOn w:val="Normal"/>
    <w:uiPriority w:val="34"/>
    <w:qFormat/>
    <w:rsid w:val="006B721E"/>
    <w:pPr>
      <w:spacing w:before="120"/>
      <w:ind w:left="720"/>
      <w:contextualSpacing/>
    </w:pPr>
  </w:style>
  <w:style w:type="paragraph" w:styleId="ListBullet2">
    <w:name w:val="List Bullet 2"/>
    <w:basedOn w:val="ListParagraph"/>
    <w:uiPriority w:val="99"/>
    <w:semiHidden/>
    <w:rsid w:val="001B01D2"/>
    <w:pPr>
      <w:numPr>
        <w:numId w:val="5"/>
      </w:numPr>
      <w:ind w:left="726" w:hanging="363"/>
      <w:contextualSpacing w:val="0"/>
    </w:pPr>
  </w:style>
  <w:style w:type="character" w:styleId="FootnoteReference">
    <w:name w:val="footnote reference"/>
    <w:basedOn w:val="DefaultParagraphFont"/>
    <w:uiPriority w:val="99"/>
    <w:semiHidden/>
    <w:unhideWhenUsed/>
    <w:rsid w:val="00777B1C"/>
    <w:rPr>
      <w:vertAlign w:val="superscript"/>
    </w:rPr>
  </w:style>
  <w:style w:type="paragraph" w:styleId="Bibliography">
    <w:name w:val="Bibliography"/>
    <w:basedOn w:val="Normal"/>
    <w:next w:val="Normal"/>
    <w:uiPriority w:val="37"/>
    <w:semiHidden/>
    <w:unhideWhenUsed/>
    <w:rsid w:val="001A5FC4"/>
  </w:style>
  <w:style w:type="paragraph" w:customStyle="1" w:styleId="NonTOCHeading1">
    <w:name w:val="Non TOC Heading 1"/>
    <w:basedOn w:val="NonNumberHeading1"/>
    <w:next w:val="Normal"/>
    <w:uiPriority w:val="5"/>
    <w:qFormat/>
    <w:rsid w:val="00310EC2"/>
    <w:pPr>
      <w:outlineLvl w:val="9"/>
    </w:pPr>
  </w:style>
  <w:style w:type="paragraph" w:customStyle="1" w:styleId="Multilist">
    <w:name w:val="Multilist"/>
    <w:basedOn w:val="ListParagraph"/>
    <w:uiPriority w:val="11"/>
    <w:qFormat/>
    <w:rsid w:val="005442E2"/>
    <w:pPr>
      <w:numPr>
        <w:numId w:val="25"/>
      </w:numPr>
      <w:spacing w:before="0" w:after="160"/>
      <w:ind w:left="924" w:hanging="567"/>
      <w:contextualSpacing w:val="0"/>
    </w:pPr>
    <w:rPr>
      <w:sz w:val="20"/>
      <w:szCs w:val="20"/>
    </w:rPr>
  </w:style>
  <w:style w:type="paragraph" w:customStyle="1" w:styleId="AppendixHeading1Nonumber">
    <w:name w:val="Appendix Heading 1 (No number)"/>
    <w:basedOn w:val="Heading1"/>
    <w:next w:val="Normal"/>
    <w:uiPriority w:val="6"/>
    <w:qFormat/>
    <w:rsid w:val="00690B05"/>
    <w:pPr>
      <w:framePr w:wrap="around"/>
      <w:numPr>
        <w:numId w:val="0"/>
      </w:numPr>
    </w:pPr>
  </w:style>
  <w:style w:type="paragraph" w:styleId="BalloonText">
    <w:name w:val="Balloon Text"/>
    <w:basedOn w:val="Normal"/>
    <w:link w:val="BalloonTextChar"/>
    <w:uiPriority w:val="99"/>
    <w:semiHidden/>
    <w:unhideWhenUsed/>
    <w:rsid w:val="00FD38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D389B"/>
    <w:rPr>
      <w:rFonts w:ascii="Segoe UI" w:hAnsi="Segoe UI" w:cs="Segoe UI"/>
      <w:sz w:val="18"/>
      <w:szCs w:val="18"/>
    </w:rPr>
  </w:style>
  <w:style w:type="character" w:styleId="CommentReference">
    <w:name w:val="annotation reference"/>
    <w:basedOn w:val="DefaultParagraphFont"/>
    <w:uiPriority w:val="99"/>
    <w:semiHidden/>
    <w:unhideWhenUsed/>
    <w:rsid w:val="00D26583"/>
    <w:rPr>
      <w:sz w:val="16"/>
      <w:szCs w:val="16"/>
    </w:rPr>
  </w:style>
  <w:style w:type="paragraph" w:styleId="CommentText">
    <w:name w:val="annotation text"/>
    <w:basedOn w:val="Normal"/>
    <w:link w:val="CommentTextChar"/>
    <w:uiPriority w:val="99"/>
    <w:semiHidden/>
    <w:rsid w:val="00D26583"/>
    <w:pPr>
      <w:spacing w:after="0" w:line="240" w:lineRule="auto"/>
    </w:pPr>
    <w:rPr>
      <w:rFonts w:ascii="Arial" w:eastAsia="Times New Roman" w:hAnsi="Arial" w:cstheme="majorBidi"/>
      <w:sz w:val="20"/>
      <w:szCs w:val="20"/>
      <w:lang w:eastAsia="en-AU"/>
    </w:rPr>
  </w:style>
  <w:style w:type="character" w:customStyle="1" w:styleId="CommentTextChar">
    <w:name w:val="Comment Text Char"/>
    <w:basedOn w:val="DefaultParagraphFont"/>
    <w:link w:val="CommentText"/>
    <w:uiPriority w:val="99"/>
    <w:semiHidden/>
    <w:rsid w:val="003D1AA5"/>
    <w:rPr>
      <w:rFonts w:ascii="Arial" w:eastAsia="Times New Roman" w:hAnsi="Arial" w:cstheme="majorBidi"/>
      <w:sz w:val="20"/>
      <w:szCs w:val="20"/>
      <w:lang w:eastAsia="en-AU"/>
    </w:rPr>
  </w:style>
  <w:style w:type="character" w:customStyle="1" w:styleId="UnresolvedMention2">
    <w:name w:val="Unresolved Mention2"/>
    <w:basedOn w:val="DefaultParagraphFont"/>
    <w:uiPriority w:val="99"/>
    <w:semiHidden/>
    <w:unhideWhenUsed/>
    <w:rsid w:val="0045704D"/>
    <w:rPr>
      <w:color w:val="605E5C"/>
      <w:shd w:val="clear" w:color="auto" w:fill="E1DFDD"/>
    </w:rPr>
  </w:style>
  <w:style w:type="paragraph" w:styleId="ListNumber">
    <w:name w:val="List Number"/>
    <w:basedOn w:val="Normal"/>
    <w:uiPriority w:val="10"/>
    <w:rsid w:val="00C710C5"/>
    <w:pPr>
      <w:numPr>
        <w:numId w:val="17"/>
      </w:numPr>
      <w:spacing w:after="160"/>
    </w:pPr>
  </w:style>
  <w:style w:type="paragraph" w:customStyle="1" w:styleId="Heading1nonumber">
    <w:name w:val="Heading 1 (no number)"/>
    <w:basedOn w:val="Normal"/>
    <w:next w:val="Normal"/>
    <w:uiPriority w:val="3"/>
    <w:qFormat/>
    <w:rsid w:val="00282424"/>
    <w:pPr>
      <w:framePr w:wrap="around" w:hAnchor="text" w:yAlign="bottom"/>
      <w:pBdr>
        <w:bottom w:val="single" w:sz="8" w:space="15" w:color="FFFFFF" w:themeColor="background1"/>
      </w:pBdr>
      <w:spacing w:after="0" w:line="960" w:lineRule="exact"/>
    </w:pPr>
    <w:rPr>
      <w:caps/>
      <w:color w:val="FFFFFF" w:themeColor="background1"/>
      <w:sz w:val="96"/>
      <w:szCs w:val="100"/>
    </w:rPr>
  </w:style>
  <w:style w:type="paragraph" w:customStyle="1" w:styleId="Quotesmall2cm">
    <w:name w:val="Quote small 2cm"/>
    <w:basedOn w:val="Quotesmall1cm"/>
    <w:next w:val="Normal"/>
    <w:uiPriority w:val="11"/>
    <w:qFormat/>
    <w:rsid w:val="00EA7DE4"/>
    <w:pPr>
      <w:ind w:left="1134"/>
    </w:pPr>
  </w:style>
  <w:style w:type="paragraph" w:styleId="CommentSubject">
    <w:name w:val="annotation subject"/>
    <w:basedOn w:val="CommentText"/>
    <w:next w:val="CommentText"/>
    <w:link w:val="CommentSubjectChar"/>
    <w:uiPriority w:val="99"/>
    <w:semiHidden/>
    <w:unhideWhenUsed/>
    <w:rsid w:val="00B60055"/>
    <w:pPr>
      <w:spacing w:after="240"/>
    </w:pPr>
    <w:rPr>
      <w:rFonts w:asciiTheme="minorHAnsi" w:eastAsiaTheme="minorHAnsi" w:hAnsiTheme="minorHAnsi" w:cstheme="minorBidi"/>
      <w:b/>
      <w:bCs/>
      <w:lang w:eastAsia="en-US"/>
    </w:rPr>
  </w:style>
  <w:style w:type="character" w:customStyle="1" w:styleId="CommentSubjectChar">
    <w:name w:val="Comment Subject Char"/>
    <w:basedOn w:val="CommentTextChar"/>
    <w:link w:val="CommentSubject"/>
    <w:uiPriority w:val="99"/>
    <w:semiHidden/>
    <w:rsid w:val="00B60055"/>
    <w:rPr>
      <w:rFonts w:ascii="Arial" w:eastAsia="Times New Roman" w:hAnsi="Arial" w:cstheme="majorBidi"/>
      <w:b/>
      <w:bCs/>
      <w:sz w:val="20"/>
      <w:szCs w:val="20"/>
      <w:lang w:eastAsia="en-AU"/>
    </w:rPr>
  </w:style>
  <w:style w:type="paragraph" w:customStyle="1" w:styleId="Quotelarge">
    <w:name w:val="Quote large"/>
    <w:basedOn w:val="PersonsNames"/>
    <w:next w:val="QuotelargeAuthor"/>
    <w:uiPriority w:val="11"/>
    <w:qFormat/>
    <w:rsid w:val="006A1E39"/>
    <w:pPr>
      <w:spacing w:after="160" w:line="259" w:lineRule="auto"/>
      <w:ind w:right="-2"/>
    </w:pPr>
    <w:rPr>
      <w:b w:val="0"/>
      <w:i/>
      <w:sz w:val="24"/>
      <w:szCs w:val="24"/>
    </w:rPr>
  </w:style>
  <w:style w:type="character" w:styleId="FollowedHyperlink">
    <w:name w:val="FollowedHyperlink"/>
    <w:basedOn w:val="DefaultParagraphFont"/>
    <w:uiPriority w:val="99"/>
    <w:semiHidden/>
    <w:unhideWhenUsed/>
    <w:rsid w:val="00D35211"/>
    <w:rPr>
      <w:color w:val="333F48" w:themeColor="followedHyperlink"/>
      <w:u w:val="single"/>
    </w:rPr>
  </w:style>
  <w:style w:type="numbering" w:customStyle="1" w:styleId="AppendixHeading10">
    <w:name w:val="Appendix Heading 1"/>
    <w:uiPriority w:val="99"/>
    <w:rsid w:val="00E17259"/>
    <w:pPr>
      <w:numPr>
        <w:numId w:val="12"/>
      </w:numPr>
    </w:pPr>
  </w:style>
  <w:style w:type="paragraph" w:customStyle="1" w:styleId="AppendixHeading1">
    <w:name w:val="AppendixHeading1"/>
    <w:basedOn w:val="NonNumberHeading2"/>
    <w:next w:val="Normal"/>
    <w:uiPriority w:val="6"/>
    <w:qFormat/>
    <w:rsid w:val="00F84ADE"/>
    <w:pPr>
      <w:keepNext/>
      <w:pageBreakBefore w:val="0"/>
      <w:numPr>
        <w:numId w:val="13"/>
      </w:numPr>
      <w:spacing w:after="240"/>
    </w:pPr>
  </w:style>
  <w:style w:type="paragraph" w:customStyle="1" w:styleId="AppendixHeading2">
    <w:name w:val="AppendixHeading2"/>
    <w:basedOn w:val="AppendixHeading1"/>
    <w:next w:val="Normal"/>
    <w:uiPriority w:val="6"/>
    <w:qFormat/>
    <w:rsid w:val="00712E48"/>
    <w:pPr>
      <w:numPr>
        <w:ilvl w:val="1"/>
      </w:numPr>
    </w:pPr>
    <w:rPr>
      <w:sz w:val="29"/>
    </w:rPr>
  </w:style>
  <w:style w:type="paragraph" w:customStyle="1" w:styleId="AppendixHeading3">
    <w:name w:val="AppendixHeading3"/>
    <w:basedOn w:val="AppendixHeading2"/>
    <w:next w:val="Normal"/>
    <w:uiPriority w:val="6"/>
    <w:qFormat/>
    <w:rsid w:val="00712E48"/>
    <w:pPr>
      <w:numPr>
        <w:ilvl w:val="2"/>
      </w:numPr>
    </w:pPr>
    <w:rPr>
      <w:sz w:val="26"/>
    </w:rPr>
  </w:style>
  <w:style w:type="paragraph" w:styleId="TOC8">
    <w:name w:val="toc 8"/>
    <w:basedOn w:val="TOC9"/>
    <w:next w:val="Normal"/>
    <w:autoRedefine/>
    <w:uiPriority w:val="39"/>
    <w:rsid w:val="0003777C"/>
    <w:pPr>
      <w:tabs>
        <w:tab w:val="left" w:pos="1588"/>
      </w:tabs>
      <w:ind w:left="924" w:hanging="567"/>
    </w:pPr>
  </w:style>
  <w:style w:type="paragraph" w:styleId="TOC9">
    <w:name w:val="toc 9"/>
    <w:basedOn w:val="Normal"/>
    <w:next w:val="Normal"/>
    <w:autoRedefine/>
    <w:uiPriority w:val="39"/>
    <w:rsid w:val="00C71179"/>
    <w:pPr>
      <w:tabs>
        <w:tab w:val="right" w:leader="dot" w:pos="9356"/>
      </w:tabs>
      <w:spacing w:after="100"/>
      <w:ind w:left="1588" w:hanging="709"/>
    </w:pPr>
    <w:rPr>
      <w:rFonts w:eastAsiaTheme="minorEastAsia"/>
      <w:noProof/>
      <w:lang w:eastAsia="en-AU"/>
    </w:rPr>
  </w:style>
  <w:style w:type="paragraph" w:styleId="ListBullet5">
    <w:name w:val="List Bullet 5"/>
    <w:basedOn w:val="Normal"/>
    <w:uiPriority w:val="99"/>
    <w:semiHidden/>
    <w:unhideWhenUsed/>
    <w:rsid w:val="00346EC2"/>
    <w:pPr>
      <w:widowControl w:val="0"/>
      <w:tabs>
        <w:tab w:val="num" w:pos="1492"/>
      </w:tabs>
      <w:adjustRightInd w:val="0"/>
      <w:snapToGrid w:val="0"/>
      <w:spacing w:after="0" w:line="280" w:lineRule="atLeast"/>
      <w:ind w:left="360" w:hanging="360"/>
      <w:contextualSpacing/>
    </w:pPr>
    <w:rPr>
      <w:rFonts w:ascii="Gotham Book" w:eastAsia="Source Sans Pro Light" w:hAnsi="Gotham Book" w:cs="Source Sans Pro Light"/>
      <w:color w:val="000000" w:themeColor="text2"/>
    </w:rPr>
  </w:style>
  <w:style w:type="paragraph" w:customStyle="1" w:styleId="QuotelargeAuthor">
    <w:name w:val="Quote large – Author"/>
    <w:basedOn w:val="Quotesmall1cm"/>
    <w:next w:val="Normal"/>
    <w:uiPriority w:val="11"/>
    <w:qFormat/>
    <w:rsid w:val="006A1E39"/>
    <w:pPr>
      <w:spacing w:after="560"/>
      <w:ind w:left="0" w:right="0"/>
      <w:jc w:val="right"/>
    </w:pPr>
  </w:style>
  <w:style w:type="paragraph" w:styleId="NormalWeb">
    <w:name w:val="Normal (Web)"/>
    <w:basedOn w:val="Normal"/>
    <w:uiPriority w:val="99"/>
    <w:semiHidden/>
    <w:unhideWhenUsed/>
    <w:rsid w:val="000957A2"/>
    <w:pPr>
      <w:spacing w:before="100" w:beforeAutospacing="1" w:after="100" w:afterAutospacing="1" w:line="240" w:lineRule="auto"/>
    </w:pPr>
    <w:rPr>
      <w:rFonts w:ascii="Times New Roman" w:eastAsia="Times New Roman" w:hAnsi="Times New Roman" w:cs="Times New Roman"/>
      <w:sz w:val="24"/>
      <w:szCs w:val="24"/>
      <w:lang w:eastAsia="en-AU"/>
    </w:rPr>
  </w:style>
  <w:style w:type="paragraph" w:customStyle="1" w:styleId="CaseStudyQuotesmall15cm">
    <w:name w:val="Case Study Quote small 1.5cm"/>
    <w:basedOn w:val="CaseStudyText"/>
    <w:next w:val="CaseStudyText"/>
    <w:uiPriority w:val="16"/>
    <w:qFormat/>
    <w:rsid w:val="00344C05"/>
    <w:pPr>
      <w:spacing w:after="160"/>
      <w:ind w:left="851" w:right="-2"/>
    </w:pPr>
    <w:rPr>
      <w:sz w:val="20"/>
      <w:szCs w:val="20"/>
    </w:rPr>
  </w:style>
  <w:style w:type="paragraph" w:styleId="ListNumber2">
    <w:name w:val="List Number 2"/>
    <w:aliases w:val="List Number 2 - 10pt"/>
    <w:basedOn w:val="ListParagraph"/>
    <w:uiPriority w:val="10"/>
    <w:rsid w:val="00343006"/>
    <w:pPr>
      <w:numPr>
        <w:numId w:val="14"/>
      </w:numPr>
      <w:shd w:val="clear" w:color="auto" w:fill="FFFFFF"/>
      <w:spacing w:before="0" w:after="160"/>
      <w:ind w:right="-2"/>
      <w:contextualSpacing w:val="0"/>
    </w:pPr>
    <w:rPr>
      <w:rFonts w:eastAsia="Times New Roman" w:cs="Arial"/>
      <w:sz w:val="20"/>
      <w:szCs w:val="20"/>
      <w:lang w:val="en" w:eastAsia="en-AU"/>
    </w:rPr>
  </w:style>
  <w:style w:type="paragraph" w:customStyle="1" w:styleId="ExampleHeading">
    <w:name w:val="Example Heading"/>
    <w:basedOn w:val="CaseStudyHeading"/>
    <w:uiPriority w:val="16"/>
    <w:qFormat/>
    <w:rsid w:val="008F34A3"/>
    <w:pPr>
      <w:numPr>
        <w:numId w:val="0"/>
      </w:numPr>
      <w:spacing w:after="160" w:line="259" w:lineRule="auto"/>
      <w:ind w:left="357" w:right="-2"/>
    </w:pPr>
    <w:rPr>
      <w:b w:val="0"/>
    </w:rPr>
  </w:style>
  <w:style w:type="paragraph" w:styleId="ListNumber3">
    <w:name w:val="List Number 3"/>
    <w:basedOn w:val="ListParagraph"/>
    <w:uiPriority w:val="10"/>
    <w:rsid w:val="00C710C5"/>
    <w:pPr>
      <w:widowControl w:val="0"/>
      <w:numPr>
        <w:numId w:val="19"/>
      </w:numPr>
      <w:adjustRightInd w:val="0"/>
      <w:snapToGrid w:val="0"/>
      <w:spacing w:before="0" w:after="160"/>
      <w:ind w:left="924" w:hanging="567"/>
      <w:contextualSpacing w:val="0"/>
    </w:pPr>
  </w:style>
  <w:style w:type="paragraph" w:customStyle="1" w:styleId="NonAppendixNumberHeading1">
    <w:name w:val="Non Appendix Number Heading 1"/>
    <w:basedOn w:val="NonNumberHeading1"/>
    <w:next w:val="Normal"/>
    <w:uiPriority w:val="6"/>
    <w:qFormat/>
    <w:rsid w:val="00F84ADE"/>
    <w:pPr>
      <w:spacing w:after="160"/>
    </w:pPr>
    <w:rPr>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161341">
      <w:bodyDiv w:val="1"/>
      <w:marLeft w:val="0"/>
      <w:marRight w:val="0"/>
      <w:marTop w:val="0"/>
      <w:marBottom w:val="0"/>
      <w:divBdr>
        <w:top w:val="none" w:sz="0" w:space="0" w:color="auto"/>
        <w:left w:val="none" w:sz="0" w:space="0" w:color="auto"/>
        <w:bottom w:val="none" w:sz="0" w:space="0" w:color="auto"/>
        <w:right w:val="none" w:sz="0" w:space="0" w:color="auto"/>
      </w:divBdr>
    </w:div>
    <w:div w:id="97219361">
      <w:bodyDiv w:val="1"/>
      <w:marLeft w:val="0"/>
      <w:marRight w:val="0"/>
      <w:marTop w:val="0"/>
      <w:marBottom w:val="0"/>
      <w:divBdr>
        <w:top w:val="none" w:sz="0" w:space="0" w:color="auto"/>
        <w:left w:val="none" w:sz="0" w:space="0" w:color="auto"/>
        <w:bottom w:val="none" w:sz="0" w:space="0" w:color="auto"/>
        <w:right w:val="none" w:sz="0" w:space="0" w:color="auto"/>
      </w:divBdr>
    </w:div>
    <w:div w:id="200167539">
      <w:bodyDiv w:val="1"/>
      <w:marLeft w:val="0"/>
      <w:marRight w:val="0"/>
      <w:marTop w:val="0"/>
      <w:marBottom w:val="0"/>
      <w:divBdr>
        <w:top w:val="none" w:sz="0" w:space="0" w:color="auto"/>
        <w:left w:val="none" w:sz="0" w:space="0" w:color="auto"/>
        <w:bottom w:val="none" w:sz="0" w:space="0" w:color="auto"/>
        <w:right w:val="none" w:sz="0" w:space="0" w:color="auto"/>
      </w:divBdr>
    </w:div>
    <w:div w:id="218789341">
      <w:bodyDiv w:val="1"/>
      <w:marLeft w:val="0"/>
      <w:marRight w:val="0"/>
      <w:marTop w:val="0"/>
      <w:marBottom w:val="0"/>
      <w:divBdr>
        <w:top w:val="none" w:sz="0" w:space="0" w:color="auto"/>
        <w:left w:val="none" w:sz="0" w:space="0" w:color="auto"/>
        <w:bottom w:val="none" w:sz="0" w:space="0" w:color="auto"/>
        <w:right w:val="none" w:sz="0" w:space="0" w:color="auto"/>
      </w:divBdr>
    </w:div>
    <w:div w:id="338895671">
      <w:bodyDiv w:val="1"/>
      <w:marLeft w:val="0"/>
      <w:marRight w:val="0"/>
      <w:marTop w:val="0"/>
      <w:marBottom w:val="0"/>
      <w:divBdr>
        <w:top w:val="none" w:sz="0" w:space="0" w:color="auto"/>
        <w:left w:val="none" w:sz="0" w:space="0" w:color="auto"/>
        <w:bottom w:val="none" w:sz="0" w:space="0" w:color="auto"/>
        <w:right w:val="none" w:sz="0" w:space="0" w:color="auto"/>
      </w:divBdr>
    </w:div>
    <w:div w:id="371851710">
      <w:bodyDiv w:val="1"/>
      <w:marLeft w:val="0"/>
      <w:marRight w:val="0"/>
      <w:marTop w:val="0"/>
      <w:marBottom w:val="0"/>
      <w:divBdr>
        <w:top w:val="none" w:sz="0" w:space="0" w:color="auto"/>
        <w:left w:val="none" w:sz="0" w:space="0" w:color="auto"/>
        <w:bottom w:val="none" w:sz="0" w:space="0" w:color="auto"/>
        <w:right w:val="none" w:sz="0" w:space="0" w:color="auto"/>
      </w:divBdr>
    </w:div>
    <w:div w:id="911815783">
      <w:bodyDiv w:val="1"/>
      <w:marLeft w:val="0"/>
      <w:marRight w:val="0"/>
      <w:marTop w:val="0"/>
      <w:marBottom w:val="0"/>
      <w:divBdr>
        <w:top w:val="none" w:sz="0" w:space="0" w:color="auto"/>
        <w:left w:val="none" w:sz="0" w:space="0" w:color="auto"/>
        <w:bottom w:val="none" w:sz="0" w:space="0" w:color="auto"/>
        <w:right w:val="none" w:sz="0" w:space="0" w:color="auto"/>
      </w:divBdr>
    </w:div>
    <w:div w:id="1072002126">
      <w:bodyDiv w:val="1"/>
      <w:marLeft w:val="0"/>
      <w:marRight w:val="0"/>
      <w:marTop w:val="0"/>
      <w:marBottom w:val="0"/>
      <w:divBdr>
        <w:top w:val="none" w:sz="0" w:space="0" w:color="auto"/>
        <w:left w:val="none" w:sz="0" w:space="0" w:color="auto"/>
        <w:bottom w:val="none" w:sz="0" w:space="0" w:color="auto"/>
        <w:right w:val="none" w:sz="0" w:space="0" w:color="auto"/>
      </w:divBdr>
      <w:divsChild>
        <w:div w:id="1951012580">
          <w:marLeft w:val="0"/>
          <w:marRight w:val="0"/>
          <w:marTop w:val="0"/>
          <w:marBottom w:val="0"/>
          <w:divBdr>
            <w:top w:val="none" w:sz="0" w:space="0" w:color="auto"/>
            <w:left w:val="none" w:sz="0" w:space="0" w:color="auto"/>
            <w:bottom w:val="none" w:sz="0" w:space="0" w:color="auto"/>
            <w:right w:val="none" w:sz="0" w:space="0" w:color="auto"/>
          </w:divBdr>
          <w:divsChild>
            <w:div w:id="900944695">
              <w:marLeft w:val="0"/>
              <w:marRight w:val="0"/>
              <w:marTop w:val="300"/>
              <w:marBottom w:val="300"/>
              <w:divBdr>
                <w:top w:val="none" w:sz="0" w:space="0" w:color="auto"/>
                <w:left w:val="none" w:sz="0" w:space="0" w:color="auto"/>
                <w:bottom w:val="none" w:sz="0" w:space="0" w:color="auto"/>
                <w:right w:val="none" w:sz="0" w:space="0" w:color="auto"/>
              </w:divBdr>
              <w:divsChild>
                <w:div w:id="1508322859">
                  <w:marLeft w:val="0"/>
                  <w:marRight w:val="0"/>
                  <w:marTop w:val="0"/>
                  <w:marBottom w:val="0"/>
                  <w:divBdr>
                    <w:top w:val="none" w:sz="0" w:space="0" w:color="auto"/>
                    <w:left w:val="none" w:sz="0" w:space="0" w:color="auto"/>
                    <w:bottom w:val="none" w:sz="0" w:space="0" w:color="auto"/>
                    <w:right w:val="none" w:sz="0" w:space="0" w:color="auto"/>
                  </w:divBdr>
                  <w:divsChild>
                    <w:div w:id="244533876">
                      <w:marLeft w:val="0"/>
                      <w:marRight w:val="0"/>
                      <w:marTop w:val="0"/>
                      <w:marBottom w:val="0"/>
                      <w:divBdr>
                        <w:top w:val="none" w:sz="0" w:space="0" w:color="auto"/>
                        <w:left w:val="none" w:sz="0" w:space="0" w:color="auto"/>
                        <w:bottom w:val="none" w:sz="0" w:space="0" w:color="auto"/>
                        <w:right w:val="none" w:sz="0" w:space="0" w:color="auto"/>
                      </w:divBdr>
                      <w:divsChild>
                        <w:div w:id="1037513725">
                          <w:marLeft w:val="0"/>
                          <w:marRight w:val="0"/>
                          <w:marTop w:val="0"/>
                          <w:marBottom w:val="0"/>
                          <w:divBdr>
                            <w:top w:val="none" w:sz="0" w:space="0" w:color="auto"/>
                            <w:left w:val="none" w:sz="0" w:space="0" w:color="auto"/>
                            <w:bottom w:val="none" w:sz="0" w:space="0" w:color="auto"/>
                            <w:right w:val="none" w:sz="0" w:space="0" w:color="auto"/>
                          </w:divBdr>
                          <w:divsChild>
                            <w:div w:id="1978949947">
                              <w:marLeft w:val="375"/>
                              <w:marRight w:val="300"/>
                              <w:marTop w:val="450"/>
                              <w:marBottom w:val="0"/>
                              <w:divBdr>
                                <w:top w:val="none" w:sz="0" w:space="0" w:color="auto"/>
                                <w:left w:val="none" w:sz="0" w:space="0" w:color="auto"/>
                                <w:bottom w:val="none" w:sz="0" w:space="0" w:color="auto"/>
                                <w:right w:val="none" w:sz="0" w:space="0" w:color="auto"/>
                              </w:divBdr>
                              <w:divsChild>
                                <w:div w:id="1253705645">
                                  <w:marLeft w:val="0"/>
                                  <w:marRight w:val="3900"/>
                                  <w:marTop w:val="0"/>
                                  <w:marBottom w:val="0"/>
                                  <w:divBdr>
                                    <w:top w:val="none" w:sz="0" w:space="0" w:color="auto"/>
                                    <w:left w:val="none" w:sz="0" w:space="0" w:color="auto"/>
                                    <w:bottom w:val="none" w:sz="0" w:space="0" w:color="auto"/>
                                    <w:right w:val="none" w:sz="0" w:space="0" w:color="auto"/>
                                  </w:divBdr>
                                  <w:divsChild>
                                    <w:div w:id="183523092">
                                      <w:marLeft w:val="0"/>
                                      <w:marRight w:val="0"/>
                                      <w:marTop w:val="0"/>
                                      <w:marBottom w:val="0"/>
                                      <w:divBdr>
                                        <w:top w:val="none" w:sz="0" w:space="0" w:color="auto"/>
                                        <w:left w:val="none" w:sz="0" w:space="0" w:color="auto"/>
                                        <w:bottom w:val="none" w:sz="0" w:space="0" w:color="auto"/>
                                        <w:right w:val="none" w:sz="0" w:space="0" w:color="auto"/>
                                      </w:divBdr>
                                      <w:divsChild>
                                        <w:div w:id="2009550363">
                                          <w:marLeft w:val="0"/>
                                          <w:marRight w:val="0"/>
                                          <w:marTop w:val="0"/>
                                          <w:marBottom w:val="0"/>
                                          <w:divBdr>
                                            <w:top w:val="none" w:sz="0" w:space="0" w:color="auto"/>
                                            <w:left w:val="none" w:sz="0" w:space="0" w:color="auto"/>
                                            <w:bottom w:val="none" w:sz="0" w:space="0" w:color="auto"/>
                                            <w:right w:val="none" w:sz="0" w:space="0" w:color="auto"/>
                                          </w:divBdr>
                                          <w:divsChild>
                                            <w:div w:id="1664166214">
                                              <w:marLeft w:val="0"/>
                                              <w:marRight w:val="0"/>
                                              <w:marTop w:val="0"/>
                                              <w:marBottom w:val="0"/>
                                              <w:divBdr>
                                                <w:top w:val="none" w:sz="0" w:space="0" w:color="auto"/>
                                                <w:left w:val="none" w:sz="0" w:space="0" w:color="auto"/>
                                                <w:bottom w:val="none" w:sz="0" w:space="0" w:color="auto"/>
                                                <w:right w:val="none" w:sz="0" w:space="0" w:color="auto"/>
                                              </w:divBdr>
                                              <w:divsChild>
                                                <w:div w:id="336083541">
                                                  <w:marLeft w:val="0"/>
                                                  <w:marRight w:val="0"/>
                                                  <w:marTop w:val="0"/>
                                                  <w:marBottom w:val="0"/>
                                                  <w:divBdr>
                                                    <w:top w:val="none" w:sz="0" w:space="0" w:color="auto"/>
                                                    <w:left w:val="none" w:sz="0" w:space="0" w:color="auto"/>
                                                    <w:bottom w:val="none" w:sz="0" w:space="0" w:color="auto"/>
                                                    <w:right w:val="none" w:sz="0" w:space="0" w:color="auto"/>
                                                  </w:divBdr>
                                                  <w:divsChild>
                                                    <w:div w:id="1274554159">
                                                      <w:blockQuote w:val="1"/>
                                                      <w:marLeft w:val="720"/>
                                                      <w:marRight w:val="720"/>
                                                      <w:marTop w:val="100"/>
                                                      <w:marBottom w:val="100"/>
                                                      <w:divBdr>
                                                        <w:top w:val="none" w:sz="0" w:space="0" w:color="auto"/>
                                                        <w:left w:val="none" w:sz="0" w:space="0" w:color="auto"/>
                                                        <w:bottom w:val="none" w:sz="0" w:space="0" w:color="auto"/>
                                                        <w:right w:val="none" w:sz="0" w:space="0" w:color="auto"/>
                                                      </w:divBdr>
                                                    </w:div>
                                                    <w:div w:id="133525752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7986478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342780855">
                                                      <w:blockQuote w:val="1"/>
                                                      <w:marLeft w:val="720"/>
                                                      <w:marRight w:val="720"/>
                                                      <w:marTop w:val="100"/>
                                                      <w:marBottom w:val="100"/>
                                                      <w:divBdr>
                                                        <w:top w:val="none" w:sz="0" w:space="0" w:color="auto"/>
                                                        <w:left w:val="none" w:sz="0" w:space="0" w:color="auto"/>
                                                        <w:bottom w:val="none" w:sz="0" w:space="0" w:color="auto"/>
                                                        <w:right w:val="none" w:sz="0" w:space="0" w:color="auto"/>
                                                      </w:divBdr>
                                                    </w:div>
                                                    <w:div w:id="1402633591">
                                                      <w:blockQuote w:val="1"/>
                                                      <w:marLeft w:val="720"/>
                                                      <w:marRight w:val="720"/>
                                                      <w:marTop w:val="100"/>
                                                      <w:marBottom w:val="100"/>
                                                      <w:divBdr>
                                                        <w:top w:val="none" w:sz="0" w:space="0" w:color="auto"/>
                                                        <w:left w:val="none" w:sz="0" w:space="0" w:color="auto"/>
                                                        <w:bottom w:val="none" w:sz="0" w:space="0" w:color="auto"/>
                                                        <w:right w:val="none" w:sz="0" w:space="0" w:color="auto"/>
                                                      </w:divBdr>
                                                    </w:div>
                                                    <w:div w:id="1459832739">
                                                      <w:blockQuote w:val="1"/>
                                                      <w:marLeft w:val="720"/>
                                                      <w:marRight w:val="720"/>
                                                      <w:marTop w:val="100"/>
                                                      <w:marBottom w:val="100"/>
                                                      <w:divBdr>
                                                        <w:top w:val="none" w:sz="0" w:space="0" w:color="auto"/>
                                                        <w:left w:val="none" w:sz="0" w:space="0" w:color="auto"/>
                                                        <w:bottom w:val="none" w:sz="0" w:space="0" w:color="auto"/>
                                                        <w:right w:val="none" w:sz="0" w:space="0" w:color="auto"/>
                                                      </w:divBdr>
                                                    </w:div>
                                                    <w:div w:id="1780836663">
                                                      <w:blockQuote w:val="1"/>
                                                      <w:marLeft w:val="720"/>
                                                      <w:marRight w:val="720"/>
                                                      <w:marTop w:val="100"/>
                                                      <w:marBottom w:val="100"/>
                                                      <w:divBdr>
                                                        <w:top w:val="none" w:sz="0" w:space="0" w:color="auto"/>
                                                        <w:left w:val="none" w:sz="0" w:space="0" w:color="auto"/>
                                                        <w:bottom w:val="none" w:sz="0" w:space="0" w:color="auto"/>
                                                        <w:right w:val="none" w:sz="0" w:space="0" w:color="auto"/>
                                                      </w:divBdr>
                                                    </w:div>
                                                    <w:div w:id="1908757382">
                                                      <w:blockQuote w:val="1"/>
                                                      <w:marLeft w:val="720"/>
                                                      <w:marRight w:val="720"/>
                                                      <w:marTop w:val="100"/>
                                                      <w:marBottom w:val="100"/>
                                                      <w:divBdr>
                                                        <w:top w:val="none" w:sz="0" w:space="0" w:color="auto"/>
                                                        <w:left w:val="none" w:sz="0" w:space="0" w:color="auto"/>
                                                        <w:bottom w:val="none" w:sz="0" w:space="0" w:color="auto"/>
                                                        <w:right w:val="none" w:sz="0" w:space="0" w:color="auto"/>
                                                      </w:divBdr>
                                                    </w:div>
                                                    <w:div w:id="1919899770">
                                                      <w:blockQuote w:val="1"/>
                                                      <w:marLeft w:val="720"/>
                                                      <w:marRight w:val="720"/>
                                                      <w:marTop w:val="100"/>
                                                      <w:marBottom w:val="100"/>
                                                      <w:divBdr>
                                                        <w:top w:val="none" w:sz="0" w:space="0" w:color="auto"/>
                                                        <w:left w:val="none" w:sz="0" w:space="0" w:color="auto"/>
                                                        <w:bottom w:val="none" w:sz="0" w:space="0" w:color="auto"/>
                                                        <w:right w:val="none" w:sz="0" w:space="0" w:color="auto"/>
                                                      </w:divBdr>
                                                    </w:div>
                                                    <w:div w:id="21058344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2063168990">
                                              <w:marLeft w:val="0"/>
                                              <w:marRight w:val="0"/>
                                              <w:marTop w:val="0"/>
                                              <w:marBottom w:val="0"/>
                                              <w:divBdr>
                                                <w:top w:val="none" w:sz="0" w:space="0" w:color="auto"/>
                                                <w:left w:val="none" w:sz="0" w:space="0" w:color="auto"/>
                                                <w:bottom w:val="none" w:sz="0" w:space="0" w:color="auto"/>
                                                <w:right w:val="none" w:sz="0" w:space="0" w:color="auto"/>
                                              </w:divBdr>
                                              <w:divsChild>
                                                <w:div w:id="1263680452">
                                                  <w:marLeft w:val="0"/>
                                                  <w:marRight w:val="0"/>
                                                  <w:marTop w:val="0"/>
                                                  <w:marBottom w:val="0"/>
                                                  <w:divBdr>
                                                    <w:top w:val="none" w:sz="0" w:space="0" w:color="auto"/>
                                                    <w:left w:val="none" w:sz="0" w:space="0" w:color="auto"/>
                                                    <w:bottom w:val="none" w:sz="0" w:space="0" w:color="auto"/>
                                                    <w:right w:val="none" w:sz="0" w:space="0" w:color="auto"/>
                                                  </w:divBdr>
                                                  <w:divsChild>
                                                    <w:div w:id="84352446">
                                                      <w:blockQuote w:val="1"/>
                                                      <w:marLeft w:val="720"/>
                                                      <w:marRight w:val="720"/>
                                                      <w:marTop w:val="100"/>
                                                      <w:marBottom w:val="100"/>
                                                      <w:divBdr>
                                                        <w:top w:val="none" w:sz="0" w:space="0" w:color="auto"/>
                                                        <w:left w:val="none" w:sz="0" w:space="0" w:color="auto"/>
                                                        <w:bottom w:val="none" w:sz="0" w:space="0" w:color="auto"/>
                                                        <w:right w:val="none" w:sz="0" w:space="0" w:color="auto"/>
                                                      </w:divBdr>
                                                    </w:div>
                                                    <w:div w:id="111556030">
                                                      <w:blockQuote w:val="1"/>
                                                      <w:marLeft w:val="720"/>
                                                      <w:marRight w:val="720"/>
                                                      <w:marTop w:val="100"/>
                                                      <w:marBottom w:val="100"/>
                                                      <w:divBdr>
                                                        <w:top w:val="none" w:sz="0" w:space="0" w:color="auto"/>
                                                        <w:left w:val="none" w:sz="0" w:space="0" w:color="auto"/>
                                                        <w:bottom w:val="none" w:sz="0" w:space="0" w:color="auto"/>
                                                        <w:right w:val="none" w:sz="0" w:space="0" w:color="auto"/>
                                                      </w:divBdr>
                                                    </w:div>
                                                    <w:div w:id="337075483">
                                                      <w:blockQuote w:val="1"/>
                                                      <w:marLeft w:val="720"/>
                                                      <w:marRight w:val="720"/>
                                                      <w:marTop w:val="100"/>
                                                      <w:marBottom w:val="100"/>
                                                      <w:divBdr>
                                                        <w:top w:val="none" w:sz="0" w:space="0" w:color="auto"/>
                                                        <w:left w:val="none" w:sz="0" w:space="0" w:color="auto"/>
                                                        <w:bottom w:val="none" w:sz="0" w:space="0" w:color="auto"/>
                                                        <w:right w:val="none" w:sz="0" w:space="0" w:color="auto"/>
                                                      </w:divBdr>
                                                    </w:div>
                                                    <w:div w:id="368142175">
                                                      <w:blockQuote w:val="1"/>
                                                      <w:marLeft w:val="720"/>
                                                      <w:marRight w:val="720"/>
                                                      <w:marTop w:val="100"/>
                                                      <w:marBottom w:val="100"/>
                                                      <w:divBdr>
                                                        <w:top w:val="none" w:sz="0" w:space="0" w:color="auto"/>
                                                        <w:left w:val="none" w:sz="0" w:space="0" w:color="auto"/>
                                                        <w:bottom w:val="none" w:sz="0" w:space="0" w:color="auto"/>
                                                        <w:right w:val="none" w:sz="0" w:space="0" w:color="auto"/>
                                                      </w:divBdr>
                                                    </w:div>
                                                    <w:div w:id="581060833">
                                                      <w:blockQuote w:val="1"/>
                                                      <w:marLeft w:val="720"/>
                                                      <w:marRight w:val="720"/>
                                                      <w:marTop w:val="100"/>
                                                      <w:marBottom w:val="100"/>
                                                      <w:divBdr>
                                                        <w:top w:val="none" w:sz="0" w:space="0" w:color="auto"/>
                                                        <w:left w:val="none" w:sz="0" w:space="0" w:color="auto"/>
                                                        <w:bottom w:val="none" w:sz="0" w:space="0" w:color="auto"/>
                                                        <w:right w:val="none" w:sz="0" w:space="0" w:color="auto"/>
                                                      </w:divBdr>
                                                    </w:div>
                                                    <w:div w:id="626854697">
                                                      <w:blockQuote w:val="1"/>
                                                      <w:marLeft w:val="720"/>
                                                      <w:marRight w:val="720"/>
                                                      <w:marTop w:val="100"/>
                                                      <w:marBottom w:val="100"/>
                                                      <w:divBdr>
                                                        <w:top w:val="none" w:sz="0" w:space="0" w:color="auto"/>
                                                        <w:left w:val="none" w:sz="0" w:space="0" w:color="auto"/>
                                                        <w:bottom w:val="none" w:sz="0" w:space="0" w:color="auto"/>
                                                        <w:right w:val="none" w:sz="0" w:space="0" w:color="auto"/>
                                                      </w:divBdr>
                                                    </w:div>
                                                    <w:div w:id="966814875">
                                                      <w:blockQuote w:val="1"/>
                                                      <w:marLeft w:val="720"/>
                                                      <w:marRight w:val="720"/>
                                                      <w:marTop w:val="100"/>
                                                      <w:marBottom w:val="100"/>
                                                      <w:divBdr>
                                                        <w:top w:val="none" w:sz="0" w:space="0" w:color="auto"/>
                                                        <w:left w:val="none" w:sz="0" w:space="0" w:color="auto"/>
                                                        <w:bottom w:val="none" w:sz="0" w:space="0" w:color="auto"/>
                                                        <w:right w:val="none" w:sz="0" w:space="0" w:color="auto"/>
                                                      </w:divBdr>
                                                    </w:div>
                                                    <w:div w:id="1374846295">
                                                      <w:blockQuote w:val="1"/>
                                                      <w:marLeft w:val="720"/>
                                                      <w:marRight w:val="720"/>
                                                      <w:marTop w:val="100"/>
                                                      <w:marBottom w:val="100"/>
                                                      <w:divBdr>
                                                        <w:top w:val="none" w:sz="0" w:space="0" w:color="auto"/>
                                                        <w:left w:val="none" w:sz="0" w:space="0" w:color="auto"/>
                                                        <w:bottom w:val="none" w:sz="0" w:space="0" w:color="auto"/>
                                                        <w:right w:val="none" w:sz="0" w:space="0" w:color="auto"/>
                                                      </w:divBdr>
                                                    </w:div>
                                                    <w:div w:id="1496798444">
                                                      <w:blockQuote w:val="1"/>
                                                      <w:marLeft w:val="720"/>
                                                      <w:marRight w:val="720"/>
                                                      <w:marTop w:val="100"/>
                                                      <w:marBottom w:val="100"/>
                                                      <w:divBdr>
                                                        <w:top w:val="none" w:sz="0" w:space="0" w:color="auto"/>
                                                        <w:left w:val="none" w:sz="0" w:space="0" w:color="auto"/>
                                                        <w:bottom w:val="none" w:sz="0" w:space="0" w:color="auto"/>
                                                        <w:right w:val="none" w:sz="0" w:space="0" w:color="auto"/>
                                                      </w:divBdr>
                                                    </w:div>
                                                    <w:div w:id="1988242482">
                                                      <w:blockQuote w:val="1"/>
                                                      <w:marLeft w:val="720"/>
                                                      <w:marRight w:val="720"/>
                                                      <w:marTop w:val="100"/>
                                                      <w:marBottom w:val="100"/>
                                                      <w:divBdr>
                                                        <w:top w:val="none" w:sz="0" w:space="0" w:color="auto"/>
                                                        <w:left w:val="none" w:sz="0" w:space="0" w:color="auto"/>
                                                        <w:bottom w:val="none" w:sz="0" w:space="0" w:color="auto"/>
                                                        <w:right w:val="none" w:sz="0" w:space="0" w:color="auto"/>
                                                      </w:divBdr>
                                                    </w:div>
                                                    <w:div w:id="204898894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4335102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269502917">
      <w:bodyDiv w:val="1"/>
      <w:marLeft w:val="0"/>
      <w:marRight w:val="0"/>
      <w:marTop w:val="0"/>
      <w:marBottom w:val="0"/>
      <w:divBdr>
        <w:top w:val="none" w:sz="0" w:space="0" w:color="auto"/>
        <w:left w:val="none" w:sz="0" w:space="0" w:color="auto"/>
        <w:bottom w:val="none" w:sz="0" w:space="0" w:color="auto"/>
        <w:right w:val="none" w:sz="0" w:space="0" w:color="auto"/>
      </w:divBdr>
    </w:div>
    <w:div w:id="1610156925">
      <w:bodyDiv w:val="1"/>
      <w:marLeft w:val="0"/>
      <w:marRight w:val="0"/>
      <w:marTop w:val="0"/>
      <w:marBottom w:val="0"/>
      <w:divBdr>
        <w:top w:val="none" w:sz="0" w:space="0" w:color="auto"/>
        <w:left w:val="none" w:sz="0" w:space="0" w:color="auto"/>
        <w:bottom w:val="none" w:sz="0" w:space="0" w:color="auto"/>
        <w:right w:val="none" w:sz="0" w:space="0" w:color="auto"/>
      </w:divBdr>
      <w:divsChild>
        <w:div w:id="1185941223">
          <w:marLeft w:val="0"/>
          <w:marRight w:val="0"/>
          <w:marTop w:val="0"/>
          <w:marBottom w:val="0"/>
          <w:divBdr>
            <w:top w:val="none" w:sz="0" w:space="0" w:color="auto"/>
            <w:left w:val="none" w:sz="0" w:space="0" w:color="auto"/>
            <w:bottom w:val="none" w:sz="0" w:space="0" w:color="auto"/>
            <w:right w:val="none" w:sz="0" w:space="0" w:color="auto"/>
          </w:divBdr>
          <w:divsChild>
            <w:div w:id="1631856423">
              <w:marLeft w:val="0"/>
              <w:marRight w:val="0"/>
              <w:marTop w:val="300"/>
              <w:marBottom w:val="300"/>
              <w:divBdr>
                <w:top w:val="none" w:sz="0" w:space="0" w:color="auto"/>
                <w:left w:val="none" w:sz="0" w:space="0" w:color="auto"/>
                <w:bottom w:val="none" w:sz="0" w:space="0" w:color="auto"/>
                <w:right w:val="none" w:sz="0" w:space="0" w:color="auto"/>
              </w:divBdr>
              <w:divsChild>
                <w:div w:id="2071347854">
                  <w:marLeft w:val="0"/>
                  <w:marRight w:val="0"/>
                  <w:marTop w:val="0"/>
                  <w:marBottom w:val="0"/>
                  <w:divBdr>
                    <w:top w:val="none" w:sz="0" w:space="0" w:color="auto"/>
                    <w:left w:val="none" w:sz="0" w:space="0" w:color="auto"/>
                    <w:bottom w:val="none" w:sz="0" w:space="0" w:color="auto"/>
                    <w:right w:val="none" w:sz="0" w:space="0" w:color="auto"/>
                  </w:divBdr>
                  <w:divsChild>
                    <w:div w:id="1885210047">
                      <w:marLeft w:val="0"/>
                      <w:marRight w:val="0"/>
                      <w:marTop w:val="0"/>
                      <w:marBottom w:val="0"/>
                      <w:divBdr>
                        <w:top w:val="none" w:sz="0" w:space="0" w:color="auto"/>
                        <w:left w:val="none" w:sz="0" w:space="0" w:color="auto"/>
                        <w:bottom w:val="none" w:sz="0" w:space="0" w:color="auto"/>
                        <w:right w:val="none" w:sz="0" w:space="0" w:color="auto"/>
                      </w:divBdr>
                      <w:divsChild>
                        <w:div w:id="1196429032">
                          <w:marLeft w:val="0"/>
                          <w:marRight w:val="0"/>
                          <w:marTop w:val="0"/>
                          <w:marBottom w:val="0"/>
                          <w:divBdr>
                            <w:top w:val="none" w:sz="0" w:space="0" w:color="auto"/>
                            <w:left w:val="none" w:sz="0" w:space="0" w:color="auto"/>
                            <w:bottom w:val="none" w:sz="0" w:space="0" w:color="auto"/>
                            <w:right w:val="none" w:sz="0" w:space="0" w:color="auto"/>
                          </w:divBdr>
                          <w:divsChild>
                            <w:div w:id="2015719217">
                              <w:marLeft w:val="375"/>
                              <w:marRight w:val="300"/>
                              <w:marTop w:val="450"/>
                              <w:marBottom w:val="0"/>
                              <w:divBdr>
                                <w:top w:val="none" w:sz="0" w:space="0" w:color="auto"/>
                                <w:left w:val="none" w:sz="0" w:space="0" w:color="auto"/>
                                <w:bottom w:val="none" w:sz="0" w:space="0" w:color="auto"/>
                                <w:right w:val="none" w:sz="0" w:space="0" w:color="auto"/>
                              </w:divBdr>
                              <w:divsChild>
                                <w:div w:id="133302979">
                                  <w:marLeft w:val="0"/>
                                  <w:marRight w:val="3900"/>
                                  <w:marTop w:val="0"/>
                                  <w:marBottom w:val="0"/>
                                  <w:divBdr>
                                    <w:top w:val="none" w:sz="0" w:space="0" w:color="auto"/>
                                    <w:left w:val="none" w:sz="0" w:space="0" w:color="auto"/>
                                    <w:bottom w:val="none" w:sz="0" w:space="0" w:color="auto"/>
                                    <w:right w:val="none" w:sz="0" w:space="0" w:color="auto"/>
                                  </w:divBdr>
                                  <w:divsChild>
                                    <w:div w:id="1940062718">
                                      <w:marLeft w:val="0"/>
                                      <w:marRight w:val="0"/>
                                      <w:marTop w:val="0"/>
                                      <w:marBottom w:val="0"/>
                                      <w:divBdr>
                                        <w:top w:val="none" w:sz="0" w:space="0" w:color="auto"/>
                                        <w:left w:val="none" w:sz="0" w:space="0" w:color="auto"/>
                                        <w:bottom w:val="none" w:sz="0" w:space="0" w:color="auto"/>
                                        <w:right w:val="none" w:sz="0" w:space="0" w:color="auto"/>
                                      </w:divBdr>
                                      <w:divsChild>
                                        <w:div w:id="937982691">
                                          <w:marLeft w:val="0"/>
                                          <w:marRight w:val="0"/>
                                          <w:marTop w:val="0"/>
                                          <w:marBottom w:val="0"/>
                                          <w:divBdr>
                                            <w:top w:val="none" w:sz="0" w:space="0" w:color="auto"/>
                                            <w:left w:val="none" w:sz="0" w:space="0" w:color="auto"/>
                                            <w:bottom w:val="none" w:sz="0" w:space="0" w:color="auto"/>
                                            <w:right w:val="none" w:sz="0" w:space="0" w:color="auto"/>
                                          </w:divBdr>
                                          <w:divsChild>
                                            <w:div w:id="636227830">
                                              <w:marLeft w:val="0"/>
                                              <w:marRight w:val="0"/>
                                              <w:marTop w:val="0"/>
                                              <w:marBottom w:val="0"/>
                                              <w:divBdr>
                                                <w:top w:val="none" w:sz="0" w:space="0" w:color="auto"/>
                                                <w:left w:val="none" w:sz="0" w:space="0" w:color="auto"/>
                                                <w:bottom w:val="none" w:sz="0" w:space="0" w:color="auto"/>
                                                <w:right w:val="none" w:sz="0" w:space="0" w:color="auto"/>
                                              </w:divBdr>
                                              <w:divsChild>
                                                <w:div w:id="1783568907">
                                                  <w:marLeft w:val="0"/>
                                                  <w:marRight w:val="0"/>
                                                  <w:marTop w:val="0"/>
                                                  <w:marBottom w:val="0"/>
                                                  <w:divBdr>
                                                    <w:top w:val="none" w:sz="0" w:space="0" w:color="auto"/>
                                                    <w:left w:val="none" w:sz="0" w:space="0" w:color="auto"/>
                                                    <w:bottom w:val="none" w:sz="0" w:space="0" w:color="auto"/>
                                                    <w:right w:val="none" w:sz="0" w:space="0" w:color="auto"/>
                                                  </w:divBdr>
                                                  <w:divsChild>
                                                    <w:div w:id="12761370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797406024">
      <w:bodyDiv w:val="1"/>
      <w:marLeft w:val="0"/>
      <w:marRight w:val="0"/>
      <w:marTop w:val="0"/>
      <w:marBottom w:val="0"/>
      <w:divBdr>
        <w:top w:val="none" w:sz="0" w:space="0" w:color="auto"/>
        <w:left w:val="none" w:sz="0" w:space="0" w:color="auto"/>
        <w:bottom w:val="none" w:sz="0" w:space="0" w:color="auto"/>
        <w:right w:val="none" w:sz="0" w:space="0" w:color="auto"/>
      </w:divBdr>
    </w:div>
    <w:div w:id="1853035061">
      <w:bodyDiv w:val="1"/>
      <w:marLeft w:val="0"/>
      <w:marRight w:val="0"/>
      <w:marTop w:val="0"/>
      <w:marBottom w:val="0"/>
      <w:divBdr>
        <w:top w:val="none" w:sz="0" w:space="0" w:color="auto"/>
        <w:left w:val="none" w:sz="0" w:space="0" w:color="auto"/>
        <w:bottom w:val="none" w:sz="0" w:space="0" w:color="auto"/>
        <w:right w:val="none" w:sz="0" w:space="0" w:color="auto"/>
      </w:divBdr>
    </w:div>
    <w:div w:id="18561938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eader" Target="header1.xml"/><Relationship Id="rId18" Type="http://schemas.openxmlformats.org/officeDocument/2006/relationships/header" Target="header3.xml"/><Relationship Id="rId26" Type="http://schemas.openxmlformats.org/officeDocument/2006/relationships/header" Target="header8.xml"/><Relationship Id="rId39" Type="http://schemas.openxmlformats.org/officeDocument/2006/relationships/header" Target="header18.xml"/><Relationship Id="rId21" Type="http://schemas.openxmlformats.org/officeDocument/2006/relationships/header" Target="header5.xml"/><Relationship Id="rId34" Type="http://schemas.openxmlformats.org/officeDocument/2006/relationships/header" Target="header14.xml"/><Relationship Id="rId42" Type="http://schemas.openxmlformats.org/officeDocument/2006/relationships/header" Target="header20.xml"/><Relationship Id="rId47" Type="http://schemas.openxmlformats.org/officeDocument/2006/relationships/header" Target="header22.xml"/><Relationship Id="rId50" Type="http://schemas.openxmlformats.org/officeDocument/2006/relationships/chart" Target="charts/chart2.xml"/><Relationship Id="rId55" Type="http://schemas.openxmlformats.org/officeDocument/2006/relationships/header" Target="header27.xml"/><Relationship Id="rId63" Type="http://schemas.openxmlformats.org/officeDocument/2006/relationships/header" Target="header35.xml"/><Relationship Id="rId68" Type="http://schemas.openxmlformats.org/officeDocument/2006/relationships/header" Target="header40.xml"/><Relationship Id="rId76" Type="http://schemas.openxmlformats.org/officeDocument/2006/relationships/header" Target="header45.xml"/><Relationship Id="rId84" Type="http://schemas.openxmlformats.org/officeDocument/2006/relationships/fontTable" Target="fontTable.xml"/><Relationship Id="rId7" Type="http://schemas.openxmlformats.org/officeDocument/2006/relationships/numbering" Target="numbering.xml"/><Relationship Id="rId71" Type="http://schemas.openxmlformats.org/officeDocument/2006/relationships/header" Target="header43.xml"/><Relationship Id="rId2" Type="http://schemas.openxmlformats.org/officeDocument/2006/relationships/customXml" Target="../customXml/item2.xml"/><Relationship Id="rId16" Type="http://schemas.openxmlformats.org/officeDocument/2006/relationships/header" Target="header2.xml"/><Relationship Id="rId29" Type="http://schemas.openxmlformats.org/officeDocument/2006/relationships/header" Target="header10.xml"/><Relationship Id="rId11" Type="http://schemas.openxmlformats.org/officeDocument/2006/relationships/footnotes" Target="footnotes.xml"/><Relationship Id="rId24" Type="http://schemas.openxmlformats.org/officeDocument/2006/relationships/footer" Target="footer6.xml"/><Relationship Id="rId32" Type="http://schemas.openxmlformats.org/officeDocument/2006/relationships/footer" Target="footer8.xml"/><Relationship Id="rId37" Type="http://schemas.openxmlformats.org/officeDocument/2006/relationships/header" Target="header16.xml"/><Relationship Id="rId40" Type="http://schemas.openxmlformats.org/officeDocument/2006/relationships/footer" Target="footer10.xml"/><Relationship Id="rId45" Type="http://schemas.openxmlformats.org/officeDocument/2006/relationships/footer" Target="footer12.xml"/><Relationship Id="rId53" Type="http://schemas.openxmlformats.org/officeDocument/2006/relationships/header" Target="header25.xml"/><Relationship Id="rId58" Type="http://schemas.openxmlformats.org/officeDocument/2006/relationships/header" Target="header30.xml"/><Relationship Id="rId66" Type="http://schemas.openxmlformats.org/officeDocument/2006/relationships/header" Target="header38.xml"/><Relationship Id="rId74" Type="http://schemas.openxmlformats.org/officeDocument/2006/relationships/hyperlink" Target="mailto:media@lecc.nsw.gov.au" TargetMode="External"/><Relationship Id="rId5" Type="http://schemas.openxmlformats.org/officeDocument/2006/relationships/customXml" Target="../customXml/item5.xml"/><Relationship Id="rId61" Type="http://schemas.openxmlformats.org/officeDocument/2006/relationships/header" Target="header33.xml"/><Relationship Id="rId82" Type="http://schemas.openxmlformats.org/officeDocument/2006/relationships/header" Target="header47.xml"/><Relationship Id="rId10" Type="http://schemas.openxmlformats.org/officeDocument/2006/relationships/webSettings" Target="webSettings.xml"/><Relationship Id="rId19" Type="http://schemas.openxmlformats.org/officeDocument/2006/relationships/footer" Target="footer4.xml"/><Relationship Id="rId31" Type="http://schemas.openxmlformats.org/officeDocument/2006/relationships/header" Target="header12.xml"/><Relationship Id="rId44" Type="http://schemas.openxmlformats.org/officeDocument/2006/relationships/header" Target="header21.xml"/><Relationship Id="rId52" Type="http://schemas.openxmlformats.org/officeDocument/2006/relationships/header" Target="header24.xml"/><Relationship Id="rId60" Type="http://schemas.openxmlformats.org/officeDocument/2006/relationships/header" Target="header32.xml"/><Relationship Id="rId65" Type="http://schemas.openxmlformats.org/officeDocument/2006/relationships/header" Target="header37.xml"/><Relationship Id="rId73" Type="http://schemas.openxmlformats.org/officeDocument/2006/relationships/hyperlink" Target="http://www.lecc.nsw.gov.au" TargetMode="External"/><Relationship Id="rId78" Type="http://schemas.openxmlformats.org/officeDocument/2006/relationships/image" Target="media/image1.png"/><Relationship Id="rId81" Type="http://schemas.openxmlformats.org/officeDocument/2006/relationships/image" Target="media/image20.png"/><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 Id="rId22" Type="http://schemas.openxmlformats.org/officeDocument/2006/relationships/footer" Target="footer5.xml"/><Relationship Id="rId27" Type="http://schemas.openxmlformats.org/officeDocument/2006/relationships/header" Target="header9.xml"/><Relationship Id="rId30" Type="http://schemas.openxmlformats.org/officeDocument/2006/relationships/header" Target="header11.xml"/><Relationship Id="rId35" Type="http://schemas.openxmlformats.org/officeDocument/2006/relationships/header" Target="header15.xml"/><Relationship Id="rId43" Type="http://schemas.openxmlformats.org/officeDocument/2006/relationships/footer" Target="footer11.xml"/><Relationship Id="rId48" Type="http://schemas.openxmlformats.org/officeDocument/2006/relationships/footer" Target="footer14.xml"/><Relationship Id="rId56" Type="http://schemas.openxmlformats.org/officeDocument/2006/relationships/header" Target="header28.xml"/><Relationship Id="rId64" Type="http://schemas.openxmlformats.org/officeDocument/2006/relationships/header" Target="header36.xml"/><Relationship Id="rId69" Type="http://schemas.openxmlformats.org/officeDocument/2006/relationships/header" Target="header41.xml"/><Relationship Id="rId77" Type="http://schemas.openxmlformats.org/officeDocument/2006/relationships/header" Target="header46.xml"/><Relationship Id="rId8" Type="http://schemas.openxmlformats.org/officeDocument/2006/relationships/styles" Target="styles.xml"/><Relationship Id="rId51" Type="http://schemas.openxmlformats.org/officeDocument/2006/relationships/header" Target="header23.xml"/><Relationship Id="rId72" Type="http://schemas.openxmlformats.org/officeDocument/2006/relationships/hyperlink" Target="mailto:contactus@lecc.nsw.gov.au" TargetMode="External"/><Relationship Id="rId85"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endnotes" Target="endnotes.xml"/><Relationship Id="rId17" Type="http://schemas.openxmlformats.org/officeDocument/2006/relationships/footer" Target="footer3.xml"/><Relationship Id="rId25" Type="http://schemas.openxmlformats.org/officeDocument/2006/relationships/header" Target="header7.xml"/><Relationship Id="rId33" Type="http://schemas.openxmlformats.org/officeDocument/2006/relationships/header" Target="header13.xml"/><Relationship Id="rId38" Type="http://schemas.openxmlformats.org/officeDocument/2006/relationships/header" Target="header17.xml"/><Relationship Id="rId46" Type="http://schemas.openxmlformats.org/officeDocument/2006/relationships/footer" Target="footer13.xml"/><Relationship Id="rId59" Type="http://schemas.openxmlformats.org/officeDocument/2006/relationships/header" Target="header31.xml"/><Relationship Id="rId67" Type="http://schemas.openxmlformats.org/officeDocument/2006/relationships/header" Target="header39.xml"/><Relationship Id="rId20" Type="http://schemas.openxmlformats.org/officeDocument/2006/relationships/header" Target="header4.xml"/><Relationship Id="rId41" Type="http://schemas.openxmlformats.org/officeDocument/2006/relationships/header" Target="header19.xml"/><Relationship Id="rId54" Type="http://schemas.openxmlformats.org/officeDocument/2006/relationships/header" Target="header26.xml"/><Relationship Id="rId62" Type="http://schemas.openxmlformats.org/officeDocument/2006/relationships/header" Target="header34.xml"/><Relationship Id="rId70" Type="http://schemas.openxmlformats.org/officeDocument/2006/relationships/header" Target="header42.xml"/><Relationship Id="rId75" Type="http://schemas.openxmlformats.org/officeDocument/2006/relationships/header" Target="header44.xml"/><Relationship Id="rId83" Type="http://schemas.openxmlformats.org/officeDocument/2006/relationships/footer" Target="footer15.xml"/><Relationship Id="rId1" Type="http://schemas.openxmlformats.org/officeDocument/2006/relationships/customXml" Target="../customXml/item1.xml"/><Relationship Id="rId6" Type="http://schemas.openxmlformats.org/officeDocument/2006/relationships/customXml" Target="../customXml/item6.xml"/><Relationship Id="rId15" Type="http://schemas.openxmlformats.org/officeDocument/2006/relationships/footer" Target="footer2.xml"/><Relationship Id="rId23" Type="http://schemas.openxmlformats.org/officeDocument/2006/relationships/header" Target="header6.xml"/><Relationship Id="rId28" Type="http://schemas.openxmlformats.org/officeDocument/2006/relationships/footer" Target="footer7.xml"/><Relationship Id="rId36" Type="http://schemas.openxmlformats.org/officeDocument/2006/relationships/footer" Target="footer9.xml"/><Relationship Id="rId49" Type="http://schemas.openxmlformats.org/officeDocument/2006/relationships/chart" Target="charts/chart1.xml"/><Relationship Id="rId57" Type="http://schemas.openxmlformats.org/officeDocument/2006/relationships/header" Target="header29.xml"/></Relationships>
</file>

<file path=word/_rels/footnotes.xml.rels><?xml version="1.0" encoding="UTF-8" standalone="yes"?>
<Relationships xmlns="http://schemas.openxmlformats.org/package/2006/relationships"><Relationship Id="rId8" Type="http://schemas.openxmlformats.org/officeDocument/2006/relationships/hyperlink" Target="https://www.police.nsw.gov.au/__data/assets/pdf_file/0020/250148/2011-12_NSW_Police_Force_Annual_Report.pdf" TargetMode="External"/><Relationship Id="rId3" Type="http://schemas.openxmlformats.org/officeDocument/2006/relationships/hyperlink" Target="https://www.police.nsw.gov.au/__data/assets/pdf_file/0020/250148/2011-12_NSW_Police_Force_Annual_Report.pdf" TargetMode="External"/><Relationship Id="rId7" Type="http://schemas.openxmlformats.org/officeDocument/2006/relationships/hyperlink" Target="%20https://www.police.nsw.gov.au/__data/assets/pdf_file/0008/474830/Corporate_Plan_A3_18_August_2017.pdf" TargetMode="External"/><Relationship Id="rId2" Type="http://schemas.openxmlformats.org/officeDocument/2006/relationships/hyperlink" Target="https://www.acic.gov.au/our-services/child-protection/national-child-offender-system" TargetMode="External"/><Relationship Id="rId1" Type="http://schemas.openxmlformats.org/officeDocument/2006/relationships/hyperlink" Target="https://www.acic.gov.au/our-services/child-protection/national-child-offender-system" TargetMode="External"/><Relationship Id="rId6" Type="http://schemas.openxmlformats.org/officeDocument/2006/relationships/hyperlink" Target="https://www.justice.nsw.gov.au/legal-services-coordination/Pages/info-for-govt-agencies/model-litigant-policy.aspx" TargetMode="External"/><Relationship Id="rId5" Type="http://schemas.openxmlformats.org/officeDocument/2006/relationships/hyperlink" Target="https://www.justice.nsw.gov.au/legal-services-coordination/Pages/info-for-govt-agencies/model-litigant-policy.aspx" TargetMode="External"/><Relationship Id="rId4" Type="http://schemas.openxmlformats.org/officeDocument/2006/relationships/hyperlink" Target="https://www.police.nsw.gov.au/about_us/organisational_structure/units/legal"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0.png"/><Relationship Id="rId1" Type="http://schemas.openxmlformats.org/officeDocument/2006/relationships/image" Target="media/image1.png"/></Relationships>
</file>

<file path=word/charts/_rels/chart1.xml.rels><?xml version="1.0" encoding="UTF-8" standalone="yes"?>
<Relationships xmlns="http://schemas.openxmlformats.org/package/2006/relationships"><Relationship Id="rId3" Type="http://schemas.openxmlformats.org/officeDocument/2006/relationships/oleObject" Target="file:///\\picfile\DatafromPdrive\Prevention\Tusket\Graph%201%20final%20report%20Tusket%20-%20number%20of%20registered%20persons.xlsx" TargetMode="External"/><Relationship Id="rId2" Type="http://schemas.microsoft.com/office/2011/relationships/chartColorStyle" Target="colors1.xml"/><Relationship Id="rId1" Type="http://schemas.microsoft.com/office/2011/relationships/chartStyle" Target="style1.xml"/></Relationships>
</file>

<file path=word/charts/_rels/chart2.xml.rels><?xml version="1.0" encoding="UTF-8" standalone="yes"?>
<Relationships xmlns="http://schemas.openxmlformats.org/package/2006/relationships"><Relationship Id="rId3" Type="http://schemas.openxmlformats.org/officeDocument/2006/relationships/oleObject" Target="file:///\\picfile\DatafromPdrive\Prevention\Tusket\BOCSAR%2018-16994%20Graph%20of%20charges%20proven%20and%20defendants%20with%20proven%20charge%202019.xlsx" TargetMode="External"/><Relationship Id="rId2" Type="http://schemas.microsoft.com/office/2011/relationships/chartColorStyle" Target="colors2.xml"/><Relationship Id="rId1" Type="http://schemas.microsoft.com/office/2011/relationships/chartStyle" Target="style2.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200" b="0" i="0" u="none" strike="noStrike" kern="1200" spc="0" baseline="0">
                <a:solidFill>
                  <a:schemeClr val="tx1">
                    <a:lumMod val="65000"/>
                    <a:lumOff val="35000"/>
                  </a:schemeClr>
                </a:solidFill>
                <a:latin typeface="Gotham Book" pitchFamily="50" charset="0"/>
                <a:ea typeface="+mn-ea"/>
                <a:cs typeface="+mn-cs"/>
              </a:defRPr>
            </a:pPr>
            <a:r>
              <a:rPr lang="en-US" sz="1200" b="1"/>
              <a:t>Number of 'currently registered' persons in New South Wales from 2009 to 2019</a:t>
            </a:r>
          </a:p>
        </c:rich>
      </c:tx>
      <c:layout>
        <c:manualLayout>
          <c:xMode val="edge"/>
          <c:yMode val="edge"/>
          <c:x val="0.15894655793633575"/>
          <c:y val="2.6810690917156481E-2"/>
        </c:manualLayout>
      </c:layout>
      <c:overlay val="0"/>
      <c:spPr>
        <a:noFill/>
        <a:ln>
          <a:noFill/>
        </a:ln>
        <a:effectLst/>
      </c:spPr>
      <c:txPr>
        <a:bodyPr rot="0" spcFirstLastPara="1" vertOverflow="ellipsis" vert="horz" wrap="square" anchor="ctr" anchorCtr="1"/>
        <a:lstStyle/>
        <a:p>
          <a:pPr>
            <a:defRPr sz="1200" b="0" i="0" u="none" strike="noStrike" kern="1200" spc="0" baseline="0">
              <a:solidFill>
                <a:schemeClr val="tx1">
                  <a:lumMod val="65000"/>
                  <a:lumOff val="35000"/>
                </a:schemeClr>
              </a:solidFill>
              <a:latin typeface="Gotham Book" pitchFamily="50" charset="0"/>
              <a:ea typeface="+mn-ea"/>
              <a:cs typeface="+mn-cs"/>
            </a:defRPr>
          </a:pPr>
          <a:endParaRPr lang="en-US"/>
        </a:p>
      </c:txPr>
    </c:title>
    <c:autoTitleDeleted val="0"/>
    <c:plotArea>
      <c:layout/>
      <c:barChart>
        <c:barDir val="col"/>
        <c:grouping val="clustered"/>
        <c:varyColors val="0"/>
        <c:ser>
          <c:idx val="0"/>
          <c:order val="0"/>
          <c:tx>
            <c:strRef>
              <c:f>Sheet1!$A$2</c:f>
              <c:strCache>
                <c:ptCount val="1"/>
                <c:pt idx="0">
                  <c:v>Number of 'currently registered' persons</c:v>
                </c:pt>
              </c:strCache>
            </c:strRef>
          </c:tx>
          <c:spPr>
            <a:solidFill>
              <a:schemeClr val="accent1"/>
            </a:solidFill>
            <a:ln>
              <a:noFill/>
            </a:ln>
            <a:effectLst/>
          </c:spPr>
          <c:invertIfNegative val="0"/>
          <c:dLbls>
            <c:spPr>
              <a:noFill/>
              <a:ln>
                <a:noFill/>
              </a:ln>
              <a:effectLst/>
            </c:spPr>
            <c:txPr>
              <a:bodyPr rot="0" spcFirstLastPara="1" vertOverflow="ellipsis" vert="horz" wrap="square" lIns="38100" tIns="19050" rIns="38100" bIns="19050" anchor="ctr" anchorCtr="1">
                <a:spAutoFit/>
              </a:bodyPr>
              <a:lstStyle/>
              <a:p>
                <a:pPr>
                  <a:defRPr sz="1100" b="0" i="0" u="none" strike="noStrike" kern="1200" baseline="0">
                    <a:solidFill>
                      <a:schemeClr val="tx1">
                        <a:lumMod val="75000"/>
                        <a:lumOff val="25000"/>
                      </a:schemeClr>
                    </a:solidFill>
                    <a:latin typeface="Gotham Book" pitchFamily="50" charset="0"/>
                    <a:ea typeface="+mn-ea"/>
                    <a:cs typeface="+mn-cs"/>
                  </a:defRPr>
                </a:pPr>
                <a:endParaRPr lang="en-US"/>
              </a:p>
            </c:txPr>
            <c:dLblPos val="outEnd"/>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layout/>
                <c15:showLeaderLines val="1"/>
                <c15:leaderLines>
                  <c:spPr>
                    <a:ln w="9525" cap="flat" cmpd="sng" algn="ctr">
                      <a:solidFill>
                        <a:schemeClr val="tx1">
                          <a:lumMod val="35000"/>
                          <a:lumOff val="65000"/>
                        </a:schemeClr>
                      </a:solidFill>
                      <a:round/>
                    </a:ln>
                    <a:effectLst/>
                  </c:spPr>
                </c15:leaderLines>
              </c:ext>
            </c:extLst>
          </c:dLbls>
          <c:trendline>
            <c:spPr>
              <a:ln w="19050" cap="rnd">
                <a:solidFill>
                  <a:schemeClr val="accent1"/>
                </a:solidFill>
                <a:prstDash val="sysDot"/>
              </a:ln>
              <a:effectLst/>
            </c:spPr>
            <c:trendlineType val="linear"/>
            <c:dispRSqr val="0"/>
            <c:dispEq val="0"/>
          </c:trendline>
          <c:cat>
            <c:strRef>
              <c:f>Sheet1!$B$1:$L$1</c:f>
              <c:strCache>
                <c:ptCount val="11"/>
                <c:pt idx="0">
                  <c:v>2009</c:v>
                </c:pt>
                <c:pt idx="1">
                  <c:v>2010</c:v>
                </c:pt>
                <c:pt idx="2">
                  <c:v>2011</c:v>
                </c:pt>
                <c:pt idx="3">
                  <c:v>2012</c:v>
                </c:pt>
                <c:pt idx="4">
                  <c:v>2013</c:v>
                </c:pt>
                <c:pt idx="5">
                  <c:v>2014</c:v>
                </c:pt>
                <c:pt idx="6">
                  <c:v>2015</c:v>
                </c:pt>
                <c:pt idx="7">
                  <c:v>2016</c:v>
                </c:pt>
                <c:pt idx="8">
                  <c:v>2017</c:v>
                </c:pt>
                <c:pt idx="9">
                  <c:v>2018</c:v>
                </c:pt>
                <c:pt idx="10">
                  <c:v>2019*</c:v>
                </c:pt>
              </c:strCache>
            </c:strRef>
          </c:cat>
          <c:val>
            <c:numRef>
              <c:f>Sheet1!$B$2:$L$2</c:f>
              <c:numCache>
                <c:formatCode>General</c:formatCode>
                <c:ptCount val="11"/>
                <c:pt idx="0">
                  <c:v>2376</c:v>
                </c:pt>
                <c:pt idx="1">
                  <c:v>2686</c:v>
                </c:pt>
                <c:pt idx="2">
                  <c:v>2870</c:v>
                </c:pt>
                <c:pt idx="3">
                  <c:v>3133</c:v>
                </c:pt>
                <c:pt idx="4">
                  <c:v>3249</c:v>
                </c:pt>
                <c:pt idx="5">
                  <c:v>3470</c:v>
                </c:pt>
                <c:pt idx="6">
                  <c:v>3578</c:v>
                </c:pt>
                <c:pt idx="7">
                  <c:v>3668</c:v>
                </c:pt>
                <c:pt idx="8">
                  <c:v>3906</c:v>
                </c:pt>
                <c:pt idx="9">
                  <c:v>4160</c:v>
                </c:pt>
                <c:pt idx="10">
                  <c:v>4344</c:v>
                </c:pt>
              </c:numCache>
            </c:numRef>
          </c:val>
          <c:extLst xmlns:c16r2="http://schemas.microsoft.com/office/drawing/2015/06/chart">
            <c:ext xmlns:c16="http://schemas.microsoft.com/office/drawing/2014/chart" uri="{C3380CC4-5D6E-409C-BE32-E72D297353CC}">
              <c16:uniqueId val="{00000001-A546-CF48-BA4A-937E74B1AA17}"/>
            </c:ext>
          </c:extLst>
        </c:ser>
        <c:dLbls>
          <c:dLblPos val="outEnd"/>
          <c:showLegendKey val="0"/>
          <c:showVal val="1"/>
          <c:showCatName val="0"/>
          <c:showSerName val="0"/>
          <c:showPercent val="0"/>
          <c:showBubbleSize val="0"/>
        </c:dLbls>
        <c:gapWidth val="219"/>
        <c:overlap val="-27"/>
        <c:axId val="306577048"/>
        <c:axId val="306577832"/>
      </c:barChart>
      <c:catAx>
        <c:axId val="306577048"/>
        <c:scaling>
          <c:orientation val="minMax"/>
        </c:scaling>
        <c:delete val="0"/>
        <c:axPos val="b"/>
        <c:title>
          <c:tx>
            <c:rich>
              <a:bodyPr rot="0" spcFirstLastPara="1" vertOverflow="ellipsis" vert="horz" wrap="square" anchor="ctr" anchorCtr="1"/>
              <a:lstStyle/>
              <a:p>
                <a:pPr>
                  <a:defRPr sz="1100" b="0" i="0" u="none" strike="noStrike" kern="1200" baseline="0">
                    <a:solidFill>
                      <a:schemeClr val="tx1">
                        <a:lumMod val="65000"/>
                        <a:lumOff val="35000"/>
                      </a:schemeClr>
                    </a:solidFill>
                    <a:latin typeface="Gotham Book" pitchFamily="50" charset="0"/>
                    <a:ea typeface="+mn-ea"/>
                    <a:cs typeface="+mn-cs"/>
                  </a:defRPr>
                </a:pPr>
                <a:r>
                  <a:rPr lang="en-AU" sz="1100"/>
                  <a:t>Year</a:t>
                </a:r>
              </a:p>
            </c:rich>
          </c:tx>
          <c:layout/>
          <c:overlay val="0"/>
          <c:spPr>
            <a:noFill/>
            <a:ln>
              <a:noFill/>
            </a:ln>
            <a:effectLst/>
          </c:spPr>
          <c:txPr>
            <a:bodyPr rot="0" spcFirstLastPara="1" vertOverflow="ellipsis" vert="horz" wrap="square" anchor="ctr" anchorCtr="1"/>
            <a:lstStyle/>
            <a:p>
              <a:pPr>
                <a:defRPr sz="1100" b="0" i="0" u="none" strike="noStrike" kern="1200" baseline="0">
                  <a:solidFill>
                    <a:schemeClr val="tx1">
                      <a:lumMod val="65000"/>
                      <a:lumOff val="35000"/>
                    </a:schemeClr>
                  </a:solidFill>
                  <a:latin typeface="Gotham Book" pitchFamily="50"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Gotham Book" pitchFamily="50" charset="0"/>
                <a:ea typeface="+mn-ea"/>
                <a:cs typeface="+mn-cs"/>
              </a:defRPr>
            </a:pPr>
            <a:endParaRPr lang="en-US"/>
          </a:p>
        </c:txPr>
        <c:crossAx val="306577832"/>
        <c:crosses val="autoZero"/>
        <c:auto val="1"/>
        <c:lblAlgn val="ctr"/>
        <c:lblOffset val="100"/>
        <c:noMultiLvlLbl val="0"/>
      </c:catAx>
      <c:valAx>
        <c:axId val="306577832"/>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otham Book" pitchFamily="50" charset="0"/>
                    <a:ea typeface="+mn-ea"/>
                    <a:cs typeface="+mn-cs"/>
                  </a:defRPr>
                </a:pPr>
                <a:r>
                  <a:rPr lang="en-AU"/>
                  <a:t> Number</a:t>
                </a:r>
                <a:r>
                  <a:rPr lang="en-AU" baseline="0"/>
                  <a:t> of 'currently registered' persons</a:t>
                </a:r>
                <a:endParaRPr lang="en-AU"/>
              </a:p>
            </c:rich>
          </c:tx>
          <c:layout>
            <c:manualLayout>
              <c:xMode val="edge"/>
              <c:yMode val="edge"/>
              <c:x val="2.3770934629929769E-2"/>
              <c:y val="0.12920187793427229"/>
            </c:manualLayout>
          </c:layout>
          <c:overlay val="0"/>
          <c:spPr>
            <a:noFill/>
            <a:ln>
              <a:noFill/>
            </a:ln>
            <a:effectLst/>
          </c:spPr>
          <c:txPr>
            <a:bodyPr rot="-5400000" spcFirstLastPara="1" vertOverflow="ellipsis" vert="horz" wrap="square" anchor="ctr" anchorCtr="1"/>
            <a:lstStyle/>
            <a:p>
              <a:pPr>
                <a:defRPr sz="1000" b="0" i="0" u="none" strike="noStrike" kern="1200" baseline="0">
                  <a:solidFill>
                    <a:schemeClr val="tx1">
                      <a:lumMod val="65000"/>
                      <a:lumOff val="35000"/>
                    </a:schemeClr>
                  </a:solidFill>
                  <a:latin typeface="Gotham Book" pitchFamily="50"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100" b="0" i="0" u="none" strike="noStrike" kern="1200" baseline="0">
                <a:solidFill>
                  <a:schemeClr val="tx1">
                    <a:lumMod val="65000"/>
                    <a:lumOff val="35000"/>
                  </a:schemeClr>
                </a:solidFill>
                <a:latin typeface="Gotham Book" pitchFamily="50" charset="0"/>
                <a:ea typeface="+mn-ea"/>
                <a:cs typeface="+mn-cs"/>
              </a:defRPr>
            </a:pPr>
            <a:endParaRPr lang="en-US"/>
          </a:p>
        </c:txPr>
        <c:crossAx val="306577048"/>
        <c:crosses val="autoZero"/>
        <c:crossBetween val="between"/>
      </c:valAx>
      <c:spPr>
        <a:noFill/>
        <a:ln>
          <a:noFill/>
        </a:ln>
        <a:effectLst/>
      </c:spPr>
    </c:plotArea>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Gotham Book" pitchFamily="50" charset="0"/>
        </a:defRPr>
      </a:pPr>
      <a:endParaRPr lang="en-US"/>
    </a:p>
  </c:txPr>
  <c:externalData r:id="rId3">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Gotham Book" pitchFamily="50" charset="0"/>
                <a:ea typeface="+mn-ea"/>
                <a:cs typeface="+mn-cs"/>
              </a:defRPr>
            </a:pPr>
            <a:r>
              <a:rPr lang="en-AU" sz="1200" b="1"/>
              <a:t>Number of defendants convicted of child sex offences in New South Wales each year</a:t>
            </a:r>
            <a:r>
              <a:rPr lang="en-AU" sz="1200" b="1" baseline="0"/>
              <a:t> from</a:t>
            </a:r>
            <a:r>
              <a:rPr lang="en-AU" sz="1200" b="1"/>
              <a:t> 2001 to 2018 </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Gotham Book" pitchFamily="50" charset="0"/>
              <a:ea typeface="+mn-ea"/>
              <a:cs typeface="+mn-cs"/>
            </a:defRPr>
          </a:pPr>
          <a:endParaRPr lang="en-US"/>
        </a:p>
      </c:txPr>
    </c:title>
    <c:autoTitleDeleted val="0"/>
    <c:plotArea>
      <c:layout/>
      <c:lineChart>
        <c:grouping val="standard"/>
        <c:varyColors val="0"/>
        <c:ser>
          <c:idx val="0"/>
          <c:order val="0"/>
          <c:tx>
            <c:strRef>
              <c:f>Sheet4!$A$4</c:f>
              <c:strCache>
                <c:ptCount val="1"/>
                <c:pt idx="0">
                  <c:v>Total number of defendants convicted of child sex offences</c:v>
                </c:pt>
              </c:strCache>
            </c:strRef>
          </c:tx>
          <c:spPr>
            <a:ln w="28575" cap="rnd">
              <a:solidFill>
                <a:schemeClr val="accent1"/>
              </a:solidFill>
              <a:round/>
            </a:ln>
            <a:effectLst/>
          </c:spPr>
          <c:marker>
            <c:symbol val="circle"/>
            <c:size val="5"/>
            <c:spPr>
              <a:solidFill>
                <a:schemeClr val="accent1"/>
              </a:solidFill>
              <a:ln w="9525">
                <a:solidFill>
                  <a:schemeClr val="accent1"/>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Gotham Book" pitchFamily="50" charset="0"/>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Sheet4!$B$1:$S$1</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cat>
          <c:val>
            <c:numRef>
              <c:f>Sheet4!$B$4:$S$4</c:f>
              <c:numCache>
                <c:formatCode>General</c:formatCode>
                <c:ptCount val="18"/>
                <c:pt idx="0">
                  <c:v>315</c:v>
                </c:pt>
                <c:pt idx="1">
                  <c:v>297</c:v>
                </c:pt>
                <c:pt idx="2">
                  <c:v>322</c:v>
                </c:pt>
                <c:pt idx="3">
                  <c:v>326</c:v>
                </c:pt>
                <c:pt idx="4">
                  <c:v>411</c:v>
                </c:pt>
                <c:pt idx="5">
                  <c:v>396</c:v>
                </c:pt>
                <c:pt idx="6">
                  <c:v>391</c:v>
                </c:pt>
                <c:pt idx="7">
                  <c:v>489</c:v>
                </c:pt>
                <c:pt idx="8">
                  <c:v>478</c:v>
                </c:pt>
                <c:pt idx="9">
                  <c:v>418</c:v>
                </c:pt>
                <c:pt idx="10">
                  <c:v>420</c:v>
                </c:pt>
                <c:pt idx="11">
                  <c:v>481</c:v>
                </c:pt>
                <c:pt idx="12">
                  <c:v>555</c:v>
                </c:pt>
                <c:pt idx="13">
                  <c:v>594</c:v>
                </c:pt>
                <c:pt idx="14">
                  <c:v>625</c:v>
                </c:pt>
                <c:pt idx="15">
                  <c:v>759</c:v>
                </c:pt>
                <c:pt idx="16">
                  <c:v>768</c:v>
                </c:pt>
                <c:pt idx="17">
                  <c:v>796</c:v>
                </c:pt>
              </c:numCache>
            </c:numRef>
          </c:val>
          <c:smooth val="0"/>
          <c:extLst xmlns:c16r2="http://schemas.microsoft.com/office/drawing/2015/06/chart">
            <c:ext xmlns:c16="http://schemas.microsoft.com/office/drawing/2014/chart" uri="{C3380CC4-5D6E-409C-BE32-E72D297353CC}">
              <c16:uniqueId val="{00000000-499F-EF43-9B5D-8C3AA135744F}"/>
            </c:ext>
          </c:extLst>
        </c:ser>
        <c:ser>
          <c:idx val="1"/>
          <c:order val="1"/>
          <c:tx>
            <c:strRef>
              <c:f>Sheet4!$A$5</c:f>
              <c:strCache>
                <c:ptCount val="1"/>
                <c:pt idx="0">
                  <c:v>Primary offence was a child abuse material offence </c:v>
                </c:pt>
              </c:strCache>
            </c:strRef>
          </c:tx>
          <c:spPr>
            <a:ln w="28575" cap="rnd">
              <a:solidFill>
                <a:schemeClr val="accent2"/>
              </a:solidFill>
              <a:round/>
            </a:ln>
            <a:effectLst/>
          </c:spPr>
          <c:marker>
            <c:symbol val="circle"/>
            <c:size val="5"/>
            <c:spPr>
              <a:solidFill>
                <a:schemeClr val="accent2"/>
              </a:solidFill>
              <a:ln w="9525">
                <a:solidFill>
                  <a:schemeClr val="accent2"/>
                </a:solidFill>
              </a:ln>
              <a:effectLst/>
            </c:spPr>
          </c:marker>
          <c:dLbls>
            <c:spPr>
              <a:noFill/>
              <a:ln>
                <a:noFill/>
              </a:ln>
              <a:effectLst/>
            </c:spPr>
            <c:txPr>
              <a:bodyPr rot="0" spcFirstLastPara="1" vertOverflow="ellipsis" vert="horz" wrap="square" lIns="38100" tIns="19050" rIns="38100" bIns="19050" anchor="ctr" anchorCtr="1">
                <a:spAutoFit/>
              </a:bodyPr>
              <a:lstStyle/>
              <a:p>
                <a:pPr>
                  <a:defRPr sz="1050" b="0" i="0" u="none" strike="noStrike" kern="1200" baseline="0">
                    <a:solidFill>
                      <a:schemeClr val="tx1">
                        <a:lumMod val="75000"/>
                        <a:lumOff val="25000"/>
                      </a:schemeClr>
                    </a:solidFill>
                    <a:latin typeface="Gotham Book" pitchFamily="50" charset="0"/>
                    <a:ea typeface="+mn-ea"/>
                    <a:cs typeface="+mn-cs"/>
                  </a:defRPr>
                </a:pPr>
                <a:endParaRPr lang="en-US"/>
              </a:p>
            </c:txPr>
            <c:dLblPos val="t"/>
            <c:showLegendKey val="0"/>
            <c:showVal val="1"/>
            <c:showCatName val="0"/>
            <c:showSerName val="0"/>
            <c:showPercent val="0"/>
            <c:showBubbleSize val="0"/>
            <c:showLeaderLines val="0"/>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Sheet4!$B$1:$S$1</c:f>
              <c:numCache>
                <c:formatCode>General</c:formatCode>
                <c:ptCount val="18"/>
                <c:pt idx="0">
                  <c:v>2001</c:v>
                </c:pt>
                <c:pt idx="1">
                  <c:v>2002</c:v>
                </c:pt>
                <c:pt idx="2">
                  <c:v>2003</c:v>
                </c:pt>
                <c:pt idx="3">
                  <c:v>2004</c:v>
                </c:pt>
                <c:pt idx="4">
                  <c:v>2005</c:v>
                </c:pt>
                <c:pt idx="5">
                  <c:v>2006</c:v>
                </c:pt>
                <c:pt idx="6">
                  <c:v>2007</c:v>
                </c:pt>
                <c:pt idx="7">
                  <c:v>2008</c:v>
                </c:pt>
                <c:pt idx="8">
                  <c:v>2009</c:v>
                </c:pt>
                <c:pt idx="9">
                  <c:v>2010</c:v>
                </c:pt>
                <c:pt idx="10">
                  <c:v>2011</c:v>
                </c:pt>
                <c:pt idx="11">
                  <c:v>2012</c:v>
                </c:pt>
                <c:pt idx="12">
                  <c:v>2013</c:v>
                </c:pt>
                <c:pt idx="13">
                  <c:v>2014</c:v>
                </c:pt>
                <c:pt idx="14">
                  <c:v>2015</c:v>
                </c:pt>
                <c:pt idx="15">
                  <c:v>2016</c:v>
                </c:pt>
                <c:pt idx="16">
                  <c:v>2017</c:v>
                </c:pt>
                <c:pt idx="17">
                  <c:v>2018</c:v>
                </c:pt>
              </c:numCache>
            </c:numRef>
          </c:cat>
          <c:val>
            <c:numRef>
              <c:f>Sheet4!$B$5:$S$5</c:f>
              <c:numCache>
                <c:formatCode>General</c:formatCode>
                <c:ptCount val="18"/>
                <c:pt idx="0">
                  <c:v>23</c:v>
                </c:pt>
                <c:pt idx="1">
                  <c:v>19</c:v>
                </c:pt>
                <c:pt idx="2">
                  <c:v>34</c:v>
                </c:pt>
                <c:pt idx="3">
                  <c:v>42</c:v>
                </c:pt>
                <c:pt idx="4">
                  <c:v>111</c:v>
                </c:pt>
                <c:pt idx="5">
                  <c:v>55</c:v>
                </c:pt>
                <c:pt idx="6">
                  <c:v>80</c:v>
                </c:pt>
                <c:pt idx="7">
                  <c:v>131</c:v>
                </c:pt>
                <c:pt idx="8">
                  <c:v>118</c:v>
                </c:pt>
                <c:pt idx="9">
                  <c:v>111</c:v>
                </c:pt>
                <c:pt idx="10">
                  <c:v>94</c:v>
                </c:pt>
                <c:pt idx="11">
                  <c:v>138</c:v>
                </c:pt>
                <c:pt idx="12">
                  <c:v>148</c:v>
                </c:pt>
                <c:pt idx="13">
                  <c:v>154</c:v>
                </c:pt>
                <c:pt idx="14">
                  <c:v>155</c:v>
                </c:pt>
                <c:pt idx="15">
                  <c:v>185</c:v>
                </c:pt>
                <c:pt idx="16">
                  <c:v>191</c:v>
                </c:pt>
                <c:pt idx="17">
                  <c:v>210</c:v>
                </c:pt>
              </c:numCache>
            </c:numRef>
          </c:val>
          <c:smooth val="0"/>
          <c:extLst xmlns:c16r2="http://schemas.microsoft.com/office/drawing/2015/06/chart">
            <c:ext xmlns:c16="http://schemas.microsoft.com/office/drawing/2014/chart" uri="{C3380CC4-5D6E-409C-BE32-E72D297353CC}">
              <c16:uniqueId val="{00000001-499F-EF43-9B5D-8C3AA135744F}"/>
            </c:ext>
          </c:extLst>
        </c:ser>
        <c:dLbls>
          <c:dLblPos val="t"/>
          <c:showLegendKey val="0"/>
          <c:showVal val="1"/>
          <c:showCatName val="0"/>
          <c:showSerName val="0"/>
          <c:showPercent val="0"/>
          <c:showBubbleSize val="0"/>
        </c:dLbls>
        <c:marker val="1"/>
        <c:smooth val="0"/>
        <c:axId val="306573520"/>
        <c:axId val="306580184"/>
      </c:lineChart>
      <c:catAx>
        <c:axId val="306573520"/>
        <c:scaling>
          <c:orientation val="minMax"/>
        </c:scaling>
        <c:delete val="0"/>
        <c:axPos val="b"/>
        <c:title>
          <c:tx>
            <c:rich>
              <a:bodyPr rot="0" spcFirstLastPara="1" vertOverflow="ellipsis" vert="horz" wrap="square" anchor="ctr" anchorCtr="1"/>
              <a:lstStyle/>
              <a:p>
                <a:pPr>
                  <a:defRPr sz="1000" b="0" i="0" u="none" strike="noStrike" kern="1200" baseline="0">
                    <a:solidFill>
                      <a:schemeClr val="tx1">
                        <a:lumMod val="65000"/>
                        <a:lumOff val="35000"/>
                      </a:schemeClr>
                    </a:solidFill>
                    <a:latin typeface="Gotham Book" pitchFamily="50" charset="0"/>
                    <a:ea typeface="+mn-ea"/>
                    <a:cs typeface="+mn-cs"/>
                  </a:defRPr>
                </a:pPr>
                <a:r>
                  <a:rPr lang="en-US"/>
                  <a:t>Year</a:t>
                </a:r>
              </a:p>
            </c:rich>
          </c:tx>
          <c:overlay val="0"/>
          <c:spPr>
            <a:noFill/>
            <a:ln>
              <a:noFill/>
            </a:ln>
            <a:effectLst/>
          </c:spPr>
          <c:txPr>
            <a:bodyPr rot="0" spcFirstLastPara="1" vertOverflow="ellipsis" vert="horz" wrap="square" anchor="ctr" anchorCtr="1"/>
            <a:lstStyle/>
            <a:p>
              <a:pPr>
                <a:defRPr sz="1000" b="0" i="0" u="none" strike="noStrike" kern="1200" baseline="0">
                  <a:solidFill>
                    <a:schemeClr val="tx1">
                      <a:lumMod val="65000"/>
                      <a:lumOff val="35000"/>
                    </a:schemeClr>
                  </a:solidFill>
                  <a:latin typeface="Gotham Book" pitchFamily="50" charset="0"/>
                  <a:ea typeface="+mn-ea"/>
                  <a:cs typeface="+mn-cs"/>
                </a:defRPr>
              </a:pPr>
              <a:endParaRPr lang="en-US"/>
            </a:p>
          </c:txPr>
        </c:title>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Gotham Book" pitchFamily="50" charset="0"/>
                <a:ea typeface="+mn-ea"/>
                <a:cs typeface="+mn-cs"/>
              </a:defRPr>
            </a:pPr>
            <a:endParaRPr lang="en-US"/>
          </a:p>
        </c:txPr>
        <c:crossAx val="306580184"/>
        <c:crosses val="autoZero"/>
        <c:auto val="1"/>
        <c:lblAlgn val="ctr"/>
        <c:lblOffset val="100"/>
        <c:noMultiLvlLbl val="0"/>
      </c:catAx>
      <c:valAx>
        <c:axId val="306580184"/>
        <c:scaling>
          <c:orientation val="minMax"/>
        </c:scaling>
        <c:delete val="0"/>
        <c:axPos val="l"/>
        <c:majorGridlines>
          <c:spPr>
            <a:ln w="9525" cap="flat" cmpd="sng" algn="ctr">
              <a:solidFill>
                <a:schemeClr val="tx1">
                  <a:lumMod val="15000"/>
                  <a:lumOff val="85000"/>
                </a:schemeClr>
              </a:solidFill>
              <a:round/>
            </a:ln>
            <a:effectLst/>
          </c:spPr>
        </c:majorGridlines>
        <c:title>
          <c:tx>
            <c:rich>
              <a:bodyPr rot="-5400000" spcFirstLastPara="1" vertOverflow="ellipsis" vert="horz" wrap="square" anchor="ctr" anchorCtr="1"/>
              <a:lstStyle/>
              <a:p>
                <a:pPr>
                  <a:defRPr sz="1050" b="0" i="0" u="none" strike="noStrike" kern="1200" baseline="0">
                    <a:solidFill>
                      <a:schemeClr val="tx1">
                        <a:lumMod val="65000"/>
                        <a:lumOff val="35000"/>
                      </a:schemeClr>
                    </a:solidFill>
                    <a:latin typeface="Gotham Book" pitchFamily="50" charset="0"/>
                    <a:ea typeface="+mn-ea"/>
                    <a:cs typeface="+mn-cs"/>
                  </a:defRPr>
                </a:pPr>
                <a:r>
                  <a:rPr lang="en-AU" sz="1050"/>
                  <a:t>Number</a:t>
                </a:r>
                <a:r>
                  <a:rPr lang="en-AU" sz="1050" baseline="0"/>
                  <a:t> of defendants convicted of child sex offences in NSW</a:t>
                </a:r>
              </a:p>
            </c:rich>
          </c:tx>
          <c:layout>
            <c:manualLayout>
              <c:xMode val="edge"/>
              <c:yMode val="edge"/>
              <c:x val="1.7104981825956812E-2"/>
              <c:y val="0.10552375058022592"/>
            </c:manualLayout>
          </c:layout>
          <c:overlay val="0"/>
          <c:spPr>
            <a:noFill/>
            <a:ln>
              <a:noFill/>
            </a:ln>
            <a:effectLst/>
          </c:spPr>
          <c:txPr>
            <a:bodyPr rot="-5400000" spcFirstLastPara="1" vertOverflow="ellipsis" vert="horz" wrap="square" anchor="ctr" anchorCtr="1"/>
            <a:lstStyle/>
            <a:p>
              <a:pPr>
                <a:defRPr sz="1050" b="0" i="0" u="none" strike="noStrike" kern="1200" baseline="0">
                  <a:solidFill>
                    <a:schemeClr val="tx1">
                      <a:lumMod val="65000"/>
                      <a:lumOff val="35000"/>
                    </a:schemeClr>
                  </a:solidFill>
                  <a:latin typeface="Gotham Book" pitchFamily="50" charset="0"/>
                  <a:ea typeface="+mn-ea"/>
                  <a:cs typeface="+mn-cs"/>
                </a:defRPr>
              </a:pPr>
              <a:endParaRPr lang="en-US"/>
            </a:p>
          </c:txPr>
        </c:title>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1050" b="0" i="0" u="none" strike="noStrike" kern="1200" baseline="0">
                <a:solidFill>
                  <a:schemeClr val="tx1">
                    <a:lumMod val="65000"/>
                    <a:lumOff val="35000"/>
                  </a:schemeClr>
                </a:solidFill>
                <a:latin typeface="Gotham Book" pitchFamily="50" charset="0"/>
                <a:ea typeface="+mn-ea"/>
                <a:cs typeface="+mn-cs"/>
              </a:defRPr>
            </a:pPr>
            <a:endParaRPr lang="en-US"/>
          </a:p>
        </c:txPr>
        <c:crossAx val="306573520"/>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1050" b="0" i="0" u="none" strike="noStrike" kern="1200" baseline="0">
              <a:solidFill>
                <a:schemeClr val="tx1">
                  <a:lumMod val="65000"/>
                  <a:lumOff val="35000"/>
                </a:schemeClr>
              </a:solidFill>
              <a:latin typeface="Gotham Book" pitchFamily="50" charset="0"/>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latin typeface="Gotham Book" pitchFamily="50" charset="0"/>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colors2.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01">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charts/style2.xml><?xml version="1.0" encoding="utf-8"?>
<cs:chartStyle xmlns:cs="http://schemas.microsoft.com/office/drawing/2012/chartStyle" xmlns:a="http://schemas.openxmlformats.org/drawingml/2006/main" id="332">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LECC2">
      <a:dk1>
        <a:sysClr val="windowText" lastClr="000000"/>
      </a:dk1>
      <a:lt1>
        <a:sysClr val="window" lastClr="FFFFFF"/>
      </a:lt1>
      <a:dk2>
        <a:srgbClr val="000000"/>
      </a:dk2>
      <a:lt2>
        <a:srgbClr val="FFFFFF"/>
      </a:lt2>
      <a:accent1>
        <a:srgbClr val="0067A0"/>
      </a:accent1>
      <a:accent2>
        <a:srgbClr val="333F48"/>
      </a:accent2>
      <a:accent3>
        <a:srgbClr val="722257"/>
      </a:accent3>
      <a:accent4>
        <a:srgbClr val="C63527"/>
      </a:accent4>
      <a:accent5>
        <a:srgbClr val="008C95"/>
      </a:accent5>
      <a:accent6>
        <a:srgbClr val="A57FB2"/>
      </a:accent6>
      <a:hlink>
        <a:srgbClr val="722257"/>
      </a:hlink>
      <a:folHlink>
        <a:srgbClr val="333F48"/>
      </a:folHlink>
    </a:clrScheme>
    <a:fontScheme name="Gotham">
      <a:majorFont>
        <a:latin typeface="Gotham Bold"/>
        <a:ea typeface=""/>
        <a:cs typeface=""/>
      </a:majorFont>
      <a:minorFont>
        <a:latin typeface="Gotham Book"/>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customXsn xmlns="http://schemas.microsoft.com/office/2006/metadata/customXsn">
  <xsnLocation/>
  <cached>True</cached>
  <openByDefault>True</openByDefault>
  <xsnScope/>
</customXsn>
</file>

<file path=customXml/item2.xml><?xml version="1.0" encoding="utf-8"?>
<ct:contentTypeSchema xmlns:ct="http://schemas.microsoft.com/office/2006/metadata/contentType" xmlns:ma="http://schemas.microsoft.com/office/2006/metadata/properties/metaAttributes" ct:_="" ma:_="" ma:contentTypeName="PIC Document" ma:contentTypeID="0x010100C6A2A6F052FE4842868BFF0CF549F8510043D27635D5592F449C523787ED099AD6" ma:contentTypeVersion="18" ma:contentTypeDescription="PIC Document content type" ma:contentTypeScope="" ma:versionID="77786c307c5902ac23b60150179177a2">
  <xsd:schema xmlns:xsd="http://www.w3.org/2001/XMLSchema" xmlns:xs="http://www.w3.org/2001/XMLSchema" xmlns:p="http://schemas.microsoft.com/office/2006/metadata/properties" xmlns:ns2="e618077e-39f8-43bc-9833-8511ed9030d0" xmlns:ns3="27eee2b1-5df0-41b3-81cc-5dd97b0749f6" targetNamespace="http://schemas.microsoft.com/office/2006/metadata/properties" ma:root="true" ma:fieldsID="6d7f7bbeb9b44c4b5b35552f33837509" ns2:_="" ns3:_="">
    <xsd:import namespace="e618077e-39f8-43bc-9833-8511ed9030d0"/>
    <xsd:import namespace="27eee2b1-5df0-41b3-81cc-5dd97b0749f6"/>
    <xsd:element name="properties">
      <xsd:complexType>
        <xsd:sequence>
          <xsd:element name="documentManagement">
            <xsd:complexType>
              <xsd:all>
                <xsd:element ref="ns2:_dlc_DocId" minOccurs="0"/>
                <xsd:element ref="ns2:_dlc_DocIdUrl" minOccurs="0"/>
                <xsd:element ref="ns2:_dlc_DocIdPersistId" minOccurs="0"/>
                <xsd:element ref="ns3:DocumentAuthor" minOccurs="0"/>
                <xsd:element ref="ns3:DateOfDocument" minOccurs="0"/>
                <xsd:element ref="ns3:StartBarcode" minOccurs="0"/>
                <xsd:element ref="ns3:EndBarcode" minOccurs="0"/>
                <xsd:element ref="ns3:DocumentSource" minOccurs="0"/>
                <xsd:element ref="ns3:TI" minOccurs="0"/>
                <xsd:element ref="ns2:TIIWI" minOccurs="0"/>
                <xsd:element ref="ns2:SDPI" minOccurs="0"/>
                <xsd:element ref="ns2:SDWI" minOccurs="0"/>
                <xsd:element ref="ns3:Image" minOccurs="0"/>
                <xsd:element ref="ns3:Reference" minOccurs="0"/>
                <xsd:element ref="ns3:Integration" minOccurs="0"/>
                <xsd:element ref="ns3:DocumentReference" minOccurs="0"/>
                <xsd:element ref="ns3:Comments" minOccurs="0"/>
                <xsd:element ref="ns3:Exhibit" minOccurs="0"/>
                <xsd:element ref="ns3:ExhibitNumber" minOccurs="0"/>
                <xsd:element ref="ns3:StateArchive" minOccurs="0"/>
                <xsd:element ref="ns2:PICCreatedDateCopy" minOccurs="0"/>
                <xsd:element ref="ns2:PICCreatedByCopy" minOccurs="0"/>
                <xsd:element ref="ns2:DLM" minOccurs="0"/>
                <xsd:element ref="ns2:TIEmbedded" minOccurs="0"/>
                <xsd:element ref="ns2:SentencingRule" minOccurs="0"/>
                <xsd:element ref="ns2:TriggerDate" minOccurs="0"/>
                <xsd:element ref="ns2:RetainUntil" minOccurs="0"/>
                <xsd:element ref="ns2:DateDisposed" minOccurs="0"/>
                <xsd:element ref="ns2:RecordStatus" minOccurs="0"/>
                <xsd:element ref="ns2:RecordsManagementNotes" minOccurs="0"/>
                <xsd:element ref="ns2:TIReviewedBy" minOccurs="0"/>
                <xsd:element ref="ns2:TIReviewedOn" minOccurs="0"/>
                <xsd:element ref="ns2:RedactedBy" minOccurs="0"/>
                <xsd:element ref="ns2:RedactedOn" minOccurs="0"/>
                <xsd:element ref="ns2:InterceptTypeAction" minOccurs="0"/>
                <xsd:element ref="ns2:TIDisposalSchedule" minOccurs="0"/>
                <xsd:element ref="ns2:RecordDisposalBatch" minOccurs="0"/>
                <xsd:element ref="ns2:ActionOverride" minOccurs="0"/>
                <xsd:element ref="ns2:RegistryReviewedBy" minOccurs="0"/>
                <xsd:element ref="ns2:RegistryReviewedOn" minOccurs="0"/>
                <xsd:element ref="ns3:Document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618077e-39f8-43bc-9833-8511ed9030d0"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IIWI" ma:index="17" nillable="true" ma:displayName="TI (IWI)" ma:internalName="TIIWI">
      <xsd:simpleType>
        <xsd:restriction base="dms:Boolean"/>
      </xsd:simpleType>
    </xsd:element>
    <xsd:element name="SDPI" ma:index="18" nillable="true" ma:displayName="SD (PI)" ma:internalName="SDPI">
      <xsd:simpleType>
        <xsd:restriction base="dms:Boolean"/>
      </xsd:simpleType>
    </xsd:element>
    <xsd:element name="SDWI" ma:index="19" nillable="true" ma:displayName="SD (WI)" ma:internalName="SDWI">
      <xsd:simpleType>
        <xsd:restriction base="dms:Boolean"/>
      </xsd:simpleType>
    </xsd:element>
    <xsd:element name="PICCreatedDateCopy" ma:index="29" nillable="true" ma:displayName="PIC Created Date Copy" ma:hidden="true" ma:internalName="PICCreatedDateCopy" ma:readOnly="false">
      <xsd:simpleType>
        <xsd:restriction base="dms:DateTime"/>
      </xsd:simpleType>
    </xsd:element>
    <xsd:element name="PICCreatedByCopy" ma:index="30" nillable="true" ma:displayName="PIC Created By Copy" ma:hidden="true" ma:internalName="PICCreatedByCopy" ma:readOnly="false">
      <xsd:simpleType>
        <xsd:restriction base="dms:Text"/>
      </xsd:simpleType>
    </xsd:element>
    <xsd:element name="DLM" ma:index="31" nillable="true" ma:displayName="DLM" ma:internalName="DLM">
      <xsd:complexType>
        <xsd:complexContent>
          <xsd:extension base="dms:MultiChoice">
            <xsd:sequence>
              <xsd:element name="Value" maxOccurs="unbounded" minOccurs="0" nillable="true">
                <xsd:simpleType>
                  <xsd:restriction base="dms:Choice">
                    <xsd:enumeration value="For Official Use Only"/>
                    <xsd:enumeration value="Sensitive"/>
                    <xsd:enumeration value="Sensitive: Personal"/>
                    <xsd:enumeration value="Sensitive: Law Enforcement"/>
                    <xsd:enumeration value="Sensitive: Legal"/>
                    <xsd:enumeration value="Sensitive: NSW Government"/>
                    <xsd:enumeration value="Sensitive: NSW Cabinet"/>
                    <xsd:enumeration value="Sensitive: Cabinet"/>
                  </xsd:restriction>
                </xsd:simpleType>
              </xsd:element>
            </xsd:sequence>
          </xsd:extension>
        </xsd:complexContent>
      </xsd:complexType>
    </xsd:element>
    <xsd:element name="TIEmbedded" ma:index="32" nillable="true" ma:displayName="TI/SD (Embedded)" ma:hidden="true" ma:internalName="TIEmbedded" ma:readOnly="false">
      <xsd:simpleType>
        <xsd:restriction base="dms:Boolean"/>
      </xsd:simpleType>
    </xsd:element>
    <xsd:element name="SentencingRule" ma:index="33" nillable="true" ma:displayName="Sentencing Rule" ma:hidden="true" ma:list="{14AED875-F018-4A54-AB51-A52D04CEA046}" ma:internalName="SentencingRule" ma:readOnly="false" ma:web="e618077e-39f8-43bc-9833-8511ed9030d0">
      <xsd:simpleType>
        <xsd:restriction base="dms:Lookup"/>
      </xsd:simpleType>
    </xsd:element>
    <xsd:element name="TriggerDate" ma:index="34" nillable="true" ma:displayName="Trigger Date" ma:format="DateOnly" ma:hidden="true" ma:internalName="TriggerDate" ma:readOnly="false">
      <xsd:simpleType>
        <xsd:restriction base="dms:DateTime"/>
      </xsd:simpleType>
    </xsd:element>
    <xsd:element name="RetainUntil" ma:index="35" nillable="true" ma:displayName="Retain Until" ma:format="DateOnly" ma:hidden="true" ma:internalName="RetainUntil" ma:readOnly="false">
      <xsd:simpleType>
        <xsd:restriction base="dms:DateTime"/>
      </xsd:simpleType>
    </xsd:element>
    <xsd:element name="DateDisposed" ma:index="36" nillable="true" ma:displayName="Date Disposed" ma:hidden="true" ma:internalName="DateDisposed" ma:readOnly="false">
      <xsd:simpleType>
        <xsd:restriction base="dms:DateTime"/>
      </xsd:simpleType>
    </xsd:element>
    <xsd:element name="RecordStatus" ma:index="37" nillable="true" ma:displayName="Record Status" ma:hidden="true" ma:internalName="RecordStatus" ma:readOnly="false">
      <xsd:simpleType>
        <xsd:restriction base="dms:Choice">
          <xsd:enumeration value="Unclassified"/>
          <xsd:enumeration value="Classified"/>
          <xsd:enumeration value="Retained"/>
          <xsd:enumeration value="Disposed"/>
        </xsd:restriction>
      </xsd:simpleType>
    </xsd:element>
    <xsd:element name="RecordsManagementNotes" ma:index="38" nillable="true" ma:displayName="Records Management Notes" ma:hidden="true" ma:internalName="RecordsManagementNotes" ma:readOnly="false">
      <xsd:simpleType>
        <xsd:restriction base="dms:Note"/>
      </xsd:simpleType>
    </xsd:element>
    <xsd:element name="TIReviewedBy" ma:index="39" nillable="true" ma:displayName="ECU Reviewed By" ma:hidden="true" ma:list="UserInfo" ma:internalName="TI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TIReviewedOn" ma:index="40" nillable="true" ma:displayName="ECU Reviewed On" ma:hidden="true" ma:internalName="TIReviewedOn" ma:readOnly="false">
      <xsd:simpleType>
        <xsd:restriction base="dms:DateTime"/>
      </xsd:simpleType>
    </xsd:element>
    <xsd:element name="RedactedBy" ma:index="41" nillable="true" ma:displayName="Redacted By" ma:hidden="true" ma:list="UserInfo" ma:internalName="Redact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dactedOn" ma:index="42" nillable="true" ma:displayName="Redacted On" ma:hidden="true" ma:internalName="RedactedOn" ma:readOnly="false">
      <xsd:simpleType>
        <xsd:restriction base="dms:DateTime"/>
      </xsd:simpleType>
    </xsd:element>
    <xsd:element name="InterceptTypeAction" ma:index="43" nillable="true" ma:displayName="Intercept Type/Action" ma:hidden="true" ma:internalName="InterceptTypeAction" ma:readOnly="false">
      <xsd:complexType>
        <xsd:complexContent>
          <xsd:extension base="dms:MultiChoice">
            <xsd:sequence>
              <xsd:element name="Value" maxOccurs="unbounded" minOccurs="0" nillable="true">
                <xsd:simpleType>
                  <xsd:restriction base="dms:Choice">
                    <xsd:enumeration value="Communicated"/>
                    <xsd:enumeration value="s180"/>
                    <xsd:enumeration value="Interception"/>
                    <xsd:enumeration value="Stored Communications"/>
                    <xsd:enumeration value="Surveillance Device"/>
                  </xsd:restriction>
                </xsd:simpleType>
              </xsd:element>
            </xsd:sequence>
          </xsd:extension>
        </xsd:complexContent>
      </xsd:complexType>
    </xsd:element>
    <xsd:element name="TIDisposalSchedule" ma:index="44" nillable="true" ma:displayName="ECU Disposal Schedule" ma:hidden="true" ma:list="650d98aa-b933-486f-a105-674fcc3d2b92" ma:internalName="TIDisposalSchedule" ma:readOnly="false" ma:showField="fa564e0f-0c70-4ab9-b863-0177e6ddd247" ma:web="e618077e-39f8-43bc-9833-8511ed9030d0">
      <xsd:simpleType>
        <xsd:restriction base="dms:Lookup"/>
      </xsd:simpleType>
    </xsd:element>
    <xsd:element name="RecordDisposalBatch" ma:index="45" nillable="true" ma:displayName="Record Disposal Batch" ma:hidden="true" ma:list="8b7e02fe-c954-4be7-962b-d991ed738c3f" ma:internalName="RecordDisposalBatch" ma:readOnly="false" ma:showField="fa564e0f-0c70-4ab9-b863-0177e6ddd247" ma:web="e618077e-39f8-43bc-9833-8511ed9030d0">
      <xsd:simpleType>
        <xsd:restriction base="dms:Lookup"/>
      </xsd:simpleType>
    </xsd:element>
    <xsd:element name="ActionOverride" ma:index="46" nillable="true" ma:displayName="Action Override" ma:hidden="true" ma:list="{33F48B34-31BB-4366-A0EF-0A6DAF0BC346}" ma:internalName="ActionOverride" ma:readOnly="false" ma:web="e618077e-39f8-43bc-9833-8511ed9030d0">
      <xsd:simpleType>
        <xsd:restriction base="dms:Lookup"/>
      </xsd:simpleType>
    </xsd:element>
    <xsd:element name="RegistryReviewedBy" ma:index="47" nillable="true" ma:displayName="Registry Reviewed By" ma:hidden="true" ma:list="UserInfo" ma:internalName="RegistryReviewedBy"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RegistryReviewedOn" ma:index="48" nillable="true" ma:displayName="Registry Reviewed On" ma:hidden="true" ma:internalName="RegistryReviewedOn" ma:readOnly="fals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27eee2b1-5df0-41b3-81cc-5dd97b0749f6" elementFormDefault="qualified">
    <xsd:import namespace="http://schemas.microsoft.com/office/2006/documentManagement/types"/>
    <xsd:import namespace="http://schemas.microsoft.com/office/infopath/2007/PartnerControls"/>
    <xsd:element name="DocumentAuthor" ma:index="11" nillable="true" ma:displayName="Author" ma:hidden="true" ma:internalName="DocumentAuthor">
      <xsd:simpleType>
        <xsd:restriction base="dms:Text"/>
      </xsd:simpleType>
    </xsd:element>
    <xsd:element name="DateOfDocument" ma:index="12" nillable="true" ma:displayName="Date of Document" ma:format="DateOnly" ma:internalName="DateOfDocument">
      <xsd:simpleType>
        <xsd:restriction base="dms:DateTime"/>
      </xsd:simpleType>
    </xsd:element>
    <xsd:element name="StartBarcode" ma:index="13" nillable="true" ma:displayName="Start Barcode" ma:decimals="0" ma:hidden="true" ma:internalName="StartBarcode">
      <xsd:simpleType>
        <xsd:restriction base="dms:Number">
          <xsd:maxInclusive value="9999999"/>
          <xsd:minInclusive value="1000000"/>
        </xsd:restriction>
      </xsd:simpleType>
    </xsd:element>
    <xsd:element name="EndBarcode" ma:index="14" nillable="true" ma:displayName="End Barcode" ma:decimals="0" ma:hidden="true" ma:internalName="EndBarcode">
      <xsd:simpleType>
        <xsd:restriction base="dms:Number">
          <xsd:maxInclusive value="9999999"/>
          <xsd:minInclusive value="1000000"/>
        </xsd:restriction>
      </xsd:simpleType>
    </xsd:element>
    <xsd:element name="DocumentSource" ma:index="15" nillable="true" ma:displayName="Document Source" ma:default="Internal" ma:internalName="DocumentSource">
      <xsd:simpleType>
        <xsd:restriction base="dms:Choice">
          <xsd:enumeration value="Internal"/>
          <xsd:enumeration value="External"/>
        </xsd:restriction>
      </xsd:simpleType>
    </xsd:element>
    <xsd:element name="TI" ma:index="16" nillable="true" ma:displayName="TI (LII)" ma:default="0" ma:internalName="TI" ma:readOnly="false">
      <xsd:simpleType>
        <xsd:restriction base="dms:Boolean"/>
      </xsd:simpleType>
    </xsd:element>
    <xsd:element name="Image" ma:index="20" nillable="true" ma:displayName="Image" ma:default="0" ma:internalName="Image" ma:readOnly="true">
      <xsd:simpleType>
        <xsd:restriction base="dms:Boolean"/>
      </xsd:simpleType>
    </xsd:element>
    <xsd:element name="Reference" ma:index="21" nillable="true" ma:displayName="Reference" ma:hidden="true" ma:internalName="Reference">
      <xsd:simpleType>
        <xsd:restriction base="dms:Note"/>
      </xsd:simpleType>
    </xsd:element>
    <xsd:element name="Integration" ma:index="22" nillable="true" ma:displayName="Integration" ma:hidden="true" ma:internalName="Integration">
      <xsd:simpleType>
        <xsd:restriction base="dms:Text"/>
      </xsd:simpleType>
    </xsd:element>
    <xsd:element name="DocumentReference" ma:index="23" nillable="true" ma:displayName="Document Reference" ma:hidden="true" ma:internalName="DocumentReference">
      <xsd:simpleType>
        <xsd:restriction base="dms:Text"/>
      </xsd:simpleType>
    </xsd:element>
    <xsd:element name="Comments" ma:index="24" nillable="true" ma:displayName="Comments" ma:hidden="true" ma:internalName="Comments">
      <xsd:simpleType>
        <xsd:restriction base="dms:Note"/>
      </xsd:simpleType>
    </xsd:element>
    <xsd:element name="Exhibit" ma:index="25" nillable="true" ma:displayName="Exhibit" ma:hidden="true" ma:internalName="Exhibit">
      <xsd:simpleType>
        <xsd:restriction base="dms:Boolean"/>
      </xsd:simpleType>
    </xsd:element>
    <xsd:element name="ExhibitNumber" ma:index="26" nillable="true" ma:displayName="Exhibit Number" ma:hidden="true" ma:internalName="ExhibitNumber">
      <xsd:simpleType>
        <xsd:restriction base="dms:Text"/>
      </xsd:simpleType>
    </xsd:element>
    <xsd:element name="StateArchive" ma:index="28" nillable="true" ma:displayName="State Archive" ma:hidden="true" ma:internalName="StateArchive" ma:readOnly="false">
      <xsd:simpleType>
        <xsd:restriction base="dms:Boolean"/>
      </xsd:simpleType>
    </xsd:element>
    <xsd:element name="DocumentClassification" ma:index="49" ma:displayName="Classification" ma:default="UNCLASSIFIED" ma:internalName="DocumentClassification">
      <xsd:simpleType>
        <xsd:restriction base="dms:Choice">
          <xsd:enumeration value="UNCLASSIFIED"/>
          <xsd:enumeration value="PROTECTED"/>
          <xsd:enumeration value="CONFIDENTIAL"/>
          <xsd:enumeration value="SECRET"/>
          <xsd:enumeration value="TOP SECRET"/>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SentencingRule xmlns="e618077e-39f8-43bc-9833-8511ed9030d0" xsi:nil="true"/>
    <TIReviewedOn xmlns="e618077e-39f8-43bc-9833-8511ed9030d0" xsi:nil="true"/>
    <PICCreatedDateCopy xmlns="e618077e-39f8-43bc-9833-8511ed9030d0">2019-05-12T14:00:00+00:00</PICCreatedDateCopy>
    <TIEmbedded xmlns="e618077e-39f8-43bc-9833-8511ed9030d0" xsi:nil="true"/>
    <RetainUntil xmlns="e618077e-39f8-43bc-9833-8511ed9030d0" xsi:nil="true"/>
    <RegistryReviewedBy xmlns="e618077e-39f8-43bc-9833-8511ed9030d0">
      <UserInfo>
        <DisplayName/>
        <AccountId xsi:nil="true"/>
        <AccountType/>
      </UserInfo>
    </RegistryReviewedBy>
    <TIIWI xmlns="e618077e-39f8-43bc-9833-8511ed9030d0">false</TIIWI>
    <PICCreatedByCopy xmlns="e618077e-39f8-43bc-9833-8511ed9030d0">Sarah Dillon</PICCreatedByCopy>
    <RecordDisposalBatch xmlns="e618077e-39f8-43bc-9833-8511ed9030d0" xsi:nil="true"/>
    <SDPI xmlns="e618077e-39f8-43bc-9833-8511ed9030d0">false</SDPI>
    <RegistryReviewedOn xmlns="e618077e-39f8-43bc-9833-8511ed9030d0" xsi:nil="true"/>
    <RecordsManagementNotes xmlns="e618077e-39f8-43bc-9833-8511ed9030d0" xsi:nil="true"/>
    <DateDisposed xmlns="e618077e-39f8-43bc-9833-8511ed9030d0" xsi:nil="true"/>
    <TriggerDate xmlns="e618077e-39f8-43bc-9833-8511ed9030d0" xsi:nil="true"/>
    <TIReviewedBy xmlns="e618077e-39f8-43bc-9833-8511ed9030d0">
      <UserInfo>
        <DisplayName/>
        <AccountId xsi:nil="true"/>
        <AccountType/>
      </UserInfo>
    </TIReviewedBy>
    <RedactedBy xmlns="e618077e-39f8-43bc-9833-8511ed9030d0">
      <UserInfo>
        <DisplayName/>
        <AccountId xsi:nil="true"/>
        <AccountType/>
      </UserInfo>
    </RedactedBy>
    <InterceptTypeAction xmlns="e618077e-39f8-43bc-9833-8511ed9030d0"/>
    <TIDisposalSchedule xmlns="e618077e-39f8-43bc-9833-8511ed9030d0" xsi:nil="true"/>
    <SDWI xmlns="e618077e-39f8-43bc-9833-8511ed9030d0">false</SDWI>
    <RedactedOn xmlns="e618077e-39f8-43bc-9833-8511ed9030d0" xsi:nil="true"/>
    <ActionOverride xmlns="e618077e-39f8-43bc-9833-8511ed9030d0" xsi:nil="true"/>
    <DLM xmlns="e618077e-39f8-43bc-9833-8511ed9030d0"/>
    <RecordStatus xmlns="e618077e-39f8-43bc-9833-8511ed9030d0">Unclassified</RecordStatus>
    <_dlc_DocId xmlns="e618077e-39f8-43bc-9833-8511ed9030d0">45833/71</_dlc_DocId>
    <_dlc_DocIdUrl xmlns="e618077e-39f8-43bc-9833-8511ed9030d0">
      <Url>http://sharepoint.sharepointapp.picinternal.com.au/_layouts/DocIdRedir.aspx?ID=45833%2f71</Url>
      <Description>45833/71</Description>
    </_dlc_DocIdUrl>
    <StartBarcode xmlns="27eee2b1-5df0-41b3-81cc-5dd97b0749f6" xsi:nil="true"/>
    <StateArchive xmlns="27eee2b1-5df0-41b3-81cc-5dd97b0749f6" xsi:nil="true"/>
    <DocumentSource xmlns="27eee2b1-5df0-41b3-81cc-5dd97b0749f6">Internal</DocumentSource>
    <Reference xmlns="27eee2b1-5df0-41b3-81cc-5dd97b0749f6" xsi:nil="true"/>
    <DocumentReference xmlns="27eee2b1-5df0-41b3-81cc-5dd97b0749f6">04583300719999</DocumentReference>
    <TI xmlns="27eee2b1-5df0-41b3-81cc-5dd97b0749f6">false</TI>
    <Exhibit xmlns="27eee2b1-5df0-41b3-81cc-5dd97b0749f6">false</Exhibit>
    <DocumentAuthor xmlns="27eee2b1-5df0-41b3-81cc-5dd97b0749f6">Sarah Dillon</DocumentAuthor>
    <Comments xmlns="27eee2b1-5df0-41b3-81cc-5dd97b0749f6" xsi:nil="true"/>
    <ExhibitNumber xmlns="27eee2b1-5df0-41b3-81cc-5dd97b0749f6" xsi:nil="true"/>
    <Integration xmlns="27eee2b1-5df0-41b3-81cc-5dd97b0749f6" xsi:nil="true"/>
    <DateOfDocument xmlns="27eee2b1-5df0-41b3-81cc-5dd97b0749f6">2019-07-17T14:00:00+00:00</DateOfDocument>
    <EndBarcode xmlns="27eee2b1-5df0-41b3-81cc-5dd97b0749f6" xsi:nil="true"/>
    <DocumentClassification xmlns="27eee2b1-5df0-41b3-81cc-5dd97b0749f6">UNCLASSIFIED</DocumentClassification>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4DEED6B-FDEC-4424-81F4-E970843710F5}">
  <ds:schemaRefs>
    <ds:schemaRef ds:uri="http://schemas.microsoft.com/office/2006/metadata/customXsn"/>
  </ds:schemaRefs>
</ds:datastoreItem>
</file>

<file path=customXml/itemProps2.xml><?xml version="1.0" encoding="utf-8"?>
<ds:datastoreItem xmlns:ds="http://schemas.openxmlformats.org/officeDocument/2006/customXml" ds:itemID="{7501E5C8-A1FB-422F-80A7-3F4AEBC9B39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618077e-39f8-43bc-9833-8511ed9030d0"/>
    <ds:schemaRef ds:uri="27eee2b1-5df0-41b3-81cc-5dd97b0749f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30298BA-6FB7-4131-B62E-36CFBDBA5F26}">
  <ds:schemaRefs>
    <ds:schemaRef ds:uri="http://schemas.microsoft.com/sharepoint/v3/contenttype/forms"/>
  </ds:schemaRefs>
</ds:datastoreItem>
</file>

<file path=customXml/itemProps4.xml><?xml version="1.0" encoding="utf-8"?>
<ds:datastoreItem xmlns:ds="http://schemas.openxmlformats.org/officeDocument/2006/customXml" ds:itemID="{E1CF63A9-6C56-4119-8E7B-F3173834C974}">
  <ds:schemaRefs>
    <ds:schemaRef ds:uri="http://purl.org/dc/dcmitype/"/>
    <ds:schemaRef ds:uri="http://purl.org/dc/terms/"/>
    <ds:schemaRef ds:uri="http://schemas.microsoft.com/office/2006/metadata/properties"/>
    <ds:schemaRef ds:uri="http://purl.org/dc/elements/1.1/"/>
    <ds:schemaRef ds:uri="http://schemas.microsoft.com/office/infopath/2007/PartnerControls"/>
    <ds:schemaRef ds:uri="http://schemas.microsoft.com/office/2006/documentManagement/types"/>
    <ds:schemaRef ds:uri="27eee2b1-5df0-41b3-81cc-5dd97b0749f6"/>
    <ds:schemaRef ds:uri="http://schemas.openxmlformats.org/package/2006/metadata/core-properties"/>
    <ds:schemaRef ds:uri="e618077e-39f8-43bc-9833-8511ed9030d0"/>
    <ds:schemaRef ds:uri="http://www.w3.org/XML/1998/namespace"/>
  </ds:schemaRefs>
</ds:datastoreItem>
</file>

<file path=customXml/itemProps5.xml><?xml version="1.0" encoding="utf-8"?>
<ds:datastoreItem xmlns:ds="http://schemas.openxmlformats.org/officeDocument/2006/customXml" ds:itemID="{DE485F6E-043A-420C-8879-05D959C6FC79}">
  <ds:schemaRefs>
    <ds:schemaRef ds:uri="http://schemas.microsoft.com/sharepoint/events"/>
  </ds:schemaRefs>
</ds:datastoreItem>
</file>

<file path=customXml/itemProps6.xml><?xml version="1.0" encoding="utf-8"?>
<ds:datastoreItem xmlns:ds="http://schemas.openxmlformats.org/officeDocument/2006/customXml" ds:itemID="{526710EA-1FE8-4D40-A0D1-47FDC54244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223</Pages>
  <Words>71411</Words>
  <Characters>407049</Characters>
  <Application>Microsoft Office Word</Application>
  <DocSecurity>0</DocSecurity>
  <Lines>3392</Lines>
  <Paragraphs>955</Paragraphs>
  <ScaleCrop>false</ScaleCrop>
  <HeadingPairs>
    <vt:vector size="2" baseType="variant">
      <vt:variant>
        <vt:lpstr>Title</vt:lpstr>
      </vt:variant>
      <vt:variant>
        <vt:i4>1</vt:i4>
      </vt:variant>
    </vt:vector>
  </HeadingPairs>
  <TitlesOfParts>
    <vt:vector size="1" baseType="lpstr">
      <vt:lpstr>TUSKET - CURRENT DRAFT - FULL FINAL REPORT FOR MINISTERS- 18 October 2019</vt:lpstr>
    </vt:vector>
  </TitlesOfParts>
  <Company/>
  <LinksUpToDate>false</LinksUpToDate>
  <CharactersWithSpaces>477505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TUSKET - CURRENT DRAFT - FULL FINAL REPORT FOR MINISTERS- 18 October 2019</dc:title>
  <dc:subject/>
  <dc:creator/>
  <cp:keywords/>
  <dc:description/>
  <cp:lastModifiedBy/>
  <cp:revision>1</cp:revision>
  <dcterms:created xsi:type="dcterms:W3CDTF">2019-10-28T20:39:00Z</dcterms:created>
  <dcterms:modified xsi:type="dcterms:W3CDTF">2019-10-28T20:39:00Z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0x010100C6A2A6F052FE4842868BFF0CF549F8510043D27635D5592F449C523787ED099AD6</vt:lpwstr>
  </property>
  <property fmtid="{D5CDD505-2E9C-101B-9397-08002B2CF9AE}" pid="3" name="_dlc_DocIdItemGuid">
    <vt:lpwstr>970836e4-3395-4a32-ab0c-206bef36559e</vt:lpwstr>
  </property>
  <property fmtid="{D5CDD505-2E9C-101B-9397-08002B2CF9AE}" pid="4" name="SPLocation">
    <vt:lpwstr>http://sharepoint.sharepointapp.picinternal.com.au/45/45833</vt:lpwstr>
  </property>
</Properties>
</file>